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DD47E">
      <w:pPr>
        <w:tabs>
          <w:tab w:val="left" w:pos="1710"/>
        </w:tabs>
        <w:spacing w:line="288" w:lineRule="auto"/>
        <w:rPr>
          <w:rFonts w:ascii="Arial" w:hAnsi="Arial" w:eastAsia="宋体" w:cs="Arial"/>
          <w:color w:val="auto"/>
          <w:highlight w:val="none"/>
        </w:rPr>
      </w:pPr>
      <w:bookmarkStart w:id="64" w:name="_GoBack"/>
      <w:bookmarkEnd w:id="64"/>
    </w:p>
    <w:p w14:paraId="0D6C24A9">
      <w:pPr>
        <w:tabs>
          <w:tab w:val="left" w:pos="1710"/>
        </w:tabs>
        <w:spacing w:line="288" w:lineRule="auto"/>
        <w:rPr>
          <w:rFonts w:ascii="Arial" w:hAnsi="Arial" w:eastAsia="宋体" w:cs="Arial"/>
          <w:color w:val="auto"/>
          <w:highlight w:val="none"/>
        </w:rPr>
      </w:pPr>
    </w:p>
    <w:p w14:paraId="5767CBE5">
      <w:pPr>
        <w:tabs>
          <w:tab w:val="left" w:pos="1710"/>
        </w:tabs>
        <w:spacing w:line="288" w:lineRule="auto"/>
        <w:rPr>
          <w:rFonts w:ascii="Arial" w:hAnsi="Arial" w:eastAsia="宋体" w:cs="Arial"/>
          <w:color w:val="auto"/>
          <w:highlight w:val="none"/>
        </w:rPr>
      </w:pPr>
    </w:p>
    <w:p w14:paraId="44D6366A">
      <w:pPr>
        <w:tabs>
          <w:tab w:val="left" w:pos="1710"/>
        </w:tabs>
        <w:spacing w:line="288" w:lineRule="auto"/>
        <w:rPr>
          <w:rFonts w:ascii="Arial" w:hAnsi="Arial" w:eastAsia="宋体" w:cs="Arial"/>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6045"/>
      </w:tblGrid>
      <w:tr w14:paraId="22D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828" w:type="dxa"/>
            <w:gridSpan w:val="2"/>
            <w:tcBorders>
              <w:top w:val="nil"/>
              <w:left w:val="nil"/>
              <w:right w:val="nil"/>
            </w:tcBorders>
          </w:tcPr>
          <w:p w14:paraId="75FA79C8">
            <w:pPr>
              <w:snapToGrid w:val="0"/>
              <w:spacing w:line="288" w:lineRule="auto"/>
              <w:jc w:val="center"/>
              <w:rPr>
                <w:rFonts w:ascii="Arial" w:hAnsi="Arial" w:eastAsia="宋体" w:cs="Arial"/>
                <w:b/>
                <w:color w:val="auto"/>
                <w:sz w:val="60"/>
                <w:szCs w:val="60"/>
                <w:highlight w:val="none"/>
              </w:rPr>
            </w:pPr>
            <w:r>
              <w:rPr>
                <w:rFonts w:ascii="Arial" w:hAnsi="Arial" w:eastAsia="宋体" w:cs="Arial"/>
                <w:b/>
                <w:color w:val="auto"/>
                <w:sz w:val="60"/>
                <w:szCs w:val="60"/>
                <w:highlight w:val="none"/>
              </w:rPr>
              <w:t>谈 判 文 件</w:t>
            </w:r>
          </w:p>
        </w:tc>
      </w:tr>
      <w:tr w14:paraId="06BD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83" w:type="dxa"/>
            <w:vAlign w:val="center"/>
          </w:tcPr>
          <w:p w14:paraId="2E11C4B6">
            <w:pPr>
              <w:spacing w:line="288" w:lineRule="auto"/>
              <w:rPr>
                <w:rFonts w:ascii="Arial" w:hAnsi="Arial" w:eastAsia="宋体" w:cs="Arial"/>
                <w:b/>
                <w:color w:val="auto"/>
                <w:sz w:val="32"/>
                <w:szCs w:val="32"/>
                <w:highlight w:val="none"/>
              </w:rPr>
            </w:pPr>
            <w:r>
              <w:rPr>
                <w:rFonts w:ascii="Arial" w:hAnsi="Arial" w:eastAsia="宋体" w:cs="Arial"/>
                <w:b/>
                <w:color w:val="auto"/>
                <w:sz w:val="32"/>
                <w:szCs w:val="32"/>
                <w:highlight w:val="none"/>
              </w:rPr>
              <w:t>项目编号：</w:t>
            </w:r>
          </w:p>
        </w:tc>
        <w:tc>
          <w:tcPr>
            <w:tcW w:w="6045" w:type="dxa"/>
            <w:vAlign w:val="center"/>
          </w:tcPr>
          <w:p w14:paraId="5B2670CB">
            <w:pPr>
              <w:spacing w:line="288" w:lineRule="auto"/>
              <w:rPr>
                <w:rFonts w:hint="eastAsia" w:ascii="Arial" w:hAnsi="Arial" w:eastAsia="宋体" w:cs="Arial"/>
                <w:b/>
                <w:color w:val="auto"/>
                <w:sz w:val="32"/>
                <w:szCs w:val="32"/>
                <w:highlight w:val="none"/>
                <w:lang w:eastAsia="zh-CN"/>
              </w:rPr>
            </w:pPr>
            <w:r>
              <w:rPr>
                <w:rFonts w:hint="eastAsia" w:ascii="Arial" w:hAnsi="Arial" w:eastAsia="宋体" w:cs="Arial"/>
                <w:b/>
                <w:color w:val="auto"/>
                <w:sz w:val="32"/>
                <w:szCs w:val="32"/>
                <w:highlight w:val="none"/>
                <w:lang w:eastAsia="zh-CN"/>
              </w:rPr>
              <w:t>GXJD-24114CC031368</w:t>
            </w:r>
          </w:p>
        </w:tc>
      </w:tr>
      <w:tr w14:paraId="1614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83" w:type="dxa"/>
            <w:vAlign w:val="center"/>
          </w:tcPr>
          <w:p w14:paraId="03FCF8AF">
            <w:pPr>
              <w:spacing w:line="288" w:lineRule="auto"/>
              <w:rPr>
                <w:rFonts w:ascii="Arial" w:hAnsi="Arial" w:eastAsia="宋体" w:cs="Arial"/>
                <w:b/>
                <w:color w:val="auto"/>
                <w:sz w:val="32"/>
                <w:szCs w:val="32"/>
                <w:highlight w:val="none"/>
              </w:rPr>
            </w:pPr>
            <w:r>
              <w:rPr>
                <w:rFonts w:ascii="Arial" w:hAnsi="Arial" w:eastAsia="宋体" w:cs="Arial"/>
                <w:b/>
                <w:color w:val="auto"/>
                <w:sz w:val="32"/>
                <w:szCs w:val="32"/>
                <w:highlight w:val="none"/>
              </w:rPr>
              <w:t>项目名称：</w:t>
            </w:r>
          </w:p>
        </w:tc>
        <w:tc>
          <w:tcPr>
            <w:tcW w:w="6045" w:type="dxa"/>
            <w:vAlign w:val="center"/>
          </w:tcPr>
          <w:p w14:paraId="0ED2E19B">
            <w:pPr>
              <w:spacing w:line="288" w:lineRule="auto"/>
              <w:rPr>
                <w:rFonts w:ascii="Arial" w:hAnsi="Arial" w:eastAsia="宋体" w:cs="Arial"/>
                <w:b/>
                <w:color w:val="auto"/>
                <w:sz w:val="32"/>
                <w:szCs w:val="32"/>
                <w:highlight w:val="none"/>
              </w:rPr>
            </w:pPr>
            <w:r>
              <w:rPr>
                <w:rFonts w:hint="eastAsia" w:ascii="Arial" w:hAnsi="Arial" w:eastAsia="宋体" w:cs="Arial"/>
                <w:b/>
                <w:color w:val="auto"/>
                <w:sz w:val="32"/>
                <w:szCs w:val="32"/>
                <w:highlight w:val="none"/>
              </w:rPr>
              <w:t>材料学院虚拟仿真实验教学中心建设设备采购项目</w:t>
            </w:r>
          </w:p>
        </w:tc>
      </w:tr>
      <w:tr w14:paraId="538B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783" w:type="dxa"/>
            <w:vAlign w:val="center"/>
          </w:tcPr>
          <w:p w14:paraId="707E03AC">
            <w:pPr>
              <w:spacing w:line="288" w:lineRule="auto"/>
              <w:rPr>
                <w:rFonts w:ascii="Arial" w:hAnsi="Arial" w:eastAsia="宋体" w:cs="Arial"/>
                <w:b/>
                <w:color w:val="auto"/>
                <w:sz w:val="32"/>
                <w:szCs w:val="32"/>
                <w:highlight w:val="none"/>
              </w:rPr>
            </w:pPr>
            <w:r>
              <w:rPr>
                <w:rFonts w:ascii="Arial" w:hAnsi="Arial" w:eastAsia="宋体" w:cs="Arial"/>
                <w:b/>
                <w:color w:val="auto"/>
                <w:sz w:val="32"/>
                <w:szCs w:val="32"/>
                <w:highlight w:val="none"/>
              </w:rPr>
              <w:t>联系电话：</w:t>
            </w:r>
          </w:p>
        </w:tc>
        <w:tc>
          <w:tcPr>
            <w:tcW w:w="6045" w:type="dxa"/>
            <w:vAlign w:val="center"/>
          </w:tcPr>
          <w:p w14:paraId="5F79688C">
            <w:pPr>
              <w:spacing w:line="288" w:lineRule="auto"/>
              <w:rPr>
                <w:rFonts w:ascii="Arial" w:hAnsi="Arial" w:eastAsia="宋体" w:cs="Arial"/>
                <w:b/>
                <w:color w:val="auto"/>
                <w:sz w:val="32"/>
                <w:szCs w:val="32"/>
                <w:highlight w:val="none"/>
              </w:rPr>
            </w:pPr>
            <w:r>
              <w:rPr>
                <w:rFonts w:hint="eastAsia" w:ascii="Arial" w:hAnsi="Arial" w:eastAsia="宋体" w:cs="Arial"/>
                <w:b/>
                <w:color w:val="auto"/>
                <w:sz w:val="32"/>
                <w:szCs w:val="32"/>
                <w:highlight w:val="none"/>
              </w:rPr>
              <w:t>0773-3696789转2</w:t>
            </w:r>
          </w:p>
        </w:tc>
      </w:tr>
    </w:tbl>
    <w:p w14:paraId="10C5F69F">
      <w:pPr>
        <w:tabs>
          <w:tab w:val="left" w:pos="1710"/>
        </w:tabs>
        <w:spacing w:line="288" w:lineRule="auto"/>
        <w:rPr>
          <w:rFonts w:ascii="Arial" w:hAnsi="Arial" w:eastAsia="宋体" w:cs="Arial"/>
          <w:color w:val="auto"/>
          <w:highlight w:val="none"/>
        </w:rPr>
      </w:pPr>
    </w:p>
    <w:p w14:paraId="76E11D8C">
      <w:pPr>
        <w:spacing w:line="288" w:lineRule="auto"/>
        <w:rPr>
          <w:rFonts w:ascii="Arial" w:hAnsi="Arial" w:eastAsia="宋体" w:cs="Arial"/>
          <w:color w:val="auto"/>
          <w:highlight w:val="none"/>
        </w:rPr>
      </w:pPr>
    </w:p>
    <w:p w14:paraId="02A0B3DD">
      <w:pPr>
        <w:spacing w:line="288" w:lineRule="auto"/>
        <w:rPr>
          <w:rFonts w:ascii="Arial" w:hAnsi="Arial" w:eastAsia="宋体" w:cs="Arial"/>
          <w:color w:val="auto"/>
          <w:highlight w:val="none"/>
        </w:rPr>
      </w:pPr>
    </w:p>
    <w:p w14:paraId="341A7BCE">
      <w:pPr>
        <w:spacing w:line="288" w:lineRule="auto"/>
        <w:rPr>
          <w:rFonts w:ascii="Arial" w:hAnsi="Arial" w:eastAsia="宋体" w:cs="Arial"/>
          <w:color w:val="auto"/>
          <w:highlight w:val="none"/>
        </w:rPr>
      </w:pPr>
    </w:p>
    <w:p w14:paraId="4B8B1CFE">
      <w:pPr>
        <w:spacing w:line="288" w:lineRule="auto"/>
        <w:rPr>
          <w:rFonts w:ascii="Arial" w:hAnsi="Arial" w:eastAsia="宋体" w:cs="Arial"/>
          <w:color w:val="auto"/>
          <w:highlight w:val="none"/>
        </w:rPr>
      </w:pPr>
    </w:p>
    <w:p w14:paraId="274F6CE2">
      <w:pPr>
        <w:spacing w:line="288" w:lineRule="auto"/>
        <w:rPr>
          <w:rFonts w:ascii="Arial" w:hAnsi="Arial" w:eastAsia="宋体" w:cs="Arial"/>
          <w:color w:val="auto"/>
          <w:highlight w:val="none"/>
        </w:rPr>
      </w:pPr>
    </w:p>
    <w:p w14:paraId="52CD718C">
      <w:pPr>
        <w:spacing w:line="288" w:lineRule="auto"/>
        <w:rPr>
          <w:rFonts w:ascii="Arial" w:hAnsi="Arial" w:eastAsia="宋体" w:cs="Arial"/>
          <w:color w:val="auto"/>
          <w:highlight w:val="none"/>
        </w:rPr>
      </w:pPr>
    </w:p>
    <w:tbl>
      <w:tblPr>
        <w:tblStyle w:val="24"/>
        <w:tblW w:w="0" w:type="auto"/>
        <w:jc w:val="center"/>
        <w:tblLayout w:type="fixed"/>
        <w:tblCellMar>
          <w:top w:w="0" w:type="dxa"/>
          <w:left w:w="108" w:type="dxa"/>
          <w:bottom w:w="0" w:type="dxa"/>
          <w:right w:w="108" w:type="dxa"/>
        </w:tblCellMar>
      </w:tblPr>
      <w:tblGrid>
        <w:gridCol w:w="2707"/>
        <w:gridCol w:w="6"/>
        <w:gridCol w:w="5925"/>
      </w:tblGrid>
      <w:tr w14:paraId="2FB30EE2">
        <w:tblPrEx>
          <w:tblCellMar>
            <w:top w:w="0" w:type="dxa"/>
            <w:left w:w="108" w:type="dxa"/>
            <w:bottom w:w="0" w:type="dxa"/>
            <w:right w:w="108" w:type="dxa"/>
          </w:tblCellMar>
        </w:tblPrEx>
        <w:trPr>
          <w:trHeight w:val="703" w:hRule="atLeast"/>
          <w:jc w:val="center"/>
        </w:trPr>
        <w:tc>
          <w:tcPr>
            <w:tcW w:w="2707" w:type="dxa"/>
            <w:vAlign w:val="center"/>
          </w:tcPr>
          <w:p w14:paraId="161621C3">
            <w:pPr>
              <w:autoSpaceDE w:val="0"/>
              <w:autoSpaceDN w:val="0"/>
              <w:adjustRightInd w:val="0"/>
              <w:spacing w:line="288" w:lineRule="auto"/>
              <w:jc w:val="right"/>
              <w:rPr>
                <w:rFonts w:ascii="Arial" w:hAnsi="Arial" w:eastAsia="宋体" w:cs="Arial"/>
                <w:b/>
                <w:color w:val="auto"/>
                <w:sz w:val="32"/>
                <w:szCs w:val="32"/>
                <w:highlight w:val="none"/>
              </w:rPr>
            </w:pPr>
            <w:r>
              <w:rPr>
                <w:rFonts w:ascii="Arial" w:hAnsi="Arial" w:eastAsia="宋体" w:cs="Arial"/>
                <w:b/>
                <w:color w:val="auto"/>
                <w:sz w:val="32"/>
                <w:szCs w:val="32"/>
                <w:highlight w:val="none"/>
              </w:rPr>
              <w:t xml:space="preserve">  采购人：</w:t>
            </w:r>
          </w:p>
        </w:tc>
        <w:tc>
          <w:tcPr>
            <w:tcW w:w="5931" w:type="dxa"/>
            <w:gridSpan w:val="2"/>
            <w:vAlign w:val="center"/>
          </w:tcPr>
          <w:p w14:paraId="3A3B6023">
            <w:pPr>
              <w:autoSpaceDE w:val="0"/>
              <w:autoSpaceDN w:val="0"/>
              <w:adjustRightInd w:val="0"/>
              <w:spacing w:line="288" w:lineRule="auto"/>
              <w:jc w:val="left"/>
              <w:rPr>
                <w:rFonts w:ascii="Arial" w:hAnsi="Arial" w:eastAsia="宋体" w:cs="Arial"/>
                <w:b/>
                <w:color w:val="auto"/>
                <w:sz w:val="32"/>
                <w:szCs w:val="32"/>
                <w:highlight w:val="none"/>
              </w:rPr>
            </w:pPr>
            <w:r>
              <w:rPr>
                <w:rFonts w:ascii="Arial" w:hAnsi="Arial" w:eastAsia="宋体" w:cs="Arial"/>
                <w:b/>
                <w:color w:val="auto"/>
                <w:sz w:val="32"/>
                <w:szCs w:val="32"/>
                <w:highlight w:val="none"/>
              </w:rPr>
              <w:t>桂林理工大学</w:t>
            </w:r>
          </w:p>
        </w:tc>
      </w:tr>
      <w:tr w14:paraId="224CDB54">
        <w:tblPrEx>
          <w:tblCellMar>
            <w:top w:w="0" w:type="dxa"/>
            <w:left w:w="108" w:type="dxa"/>
            <w:bottom w:w="0" w:type="dxa"/>
            <w:right w:w="108" w:type="dxa"/>
          </w:tblCellMar>
        </w:tblPrEx>
        <w:trPr>
          <w:trHeight w:val="583" w:hRule="atLeast"/>
          <w:jc w:val="center"/>
        </w:trPr>
        <w:tc>
          <w:tcPr>
            <w:tcW w:w="2713" w:type="dxa"/>
            <w:gridSpan w:val="2"/>
          </w:tcPr>
          <w:p w14:paraId="1E1D94F7">
            <w:pPr>
              <w:autoSpaceDE w:val="0"/>
              <w:autoSpaceDN w:val="0"/>
              <w:adjustRightInd w:val="0"/>
              <w:spacing w:line="288" w:lineRule="auto"/>
              <w:jc w:val="right"/>
              <w:rPr>
                <w:rFonts w:ascii="Arial" w:hAnsi="Arial" w:eastAsia="宋体" w:cs="Arial"/>
                <w:b/>
                <w:color w:val="auto"/>
                <w:sz w:val="32"/>
                <w:szCs w:val="32"/>
                <w:highlight w:val="none"/>
              </w:rPr>
            </w:pPr>
            <w:r>
              <w:rPr>
                <w:rFonts w:ascii="Arial" w:hAnsi="Arial" w:eastAsia="宋体" w:cs="Arial"/>
                <w:b/>
                <w:color w:val="auto"/>
                <w:sz w:val="32"/>
                <w:szCs w:val="32"/>
                <w:highlight w:val="none"/>
              </w:rPr>
              <w:t>采购代理机构：</w:t>
            </w:r>
          </w:p>
        </w:tc>
        <w:tc>
          <w:tcPr>
            <w:tcW w:w="5925" w:type="dxa"/>
          </w:tcPr>
          <w:p w14:paraId="3A73D44F">
            <w:pPr>
              <w:autoSpaceDE w:val="0"/>
              <w:autoSpaceDN w:val="0"/>
              <w:adjustRightInd w:val="0"/>
              <w:spacing w:line="288" w:lineRule="auto"/>
              <w:rPr>
                <w:rFonts w:hint="eastAsia" w:ascii="Arial" w:hAnsi="Arial" w:eastAsia="宋体" w:cs="Arial"/>
                <w:b/>
                <w:color w:val="auto"/>
                <w:sz w:val="32"/>
                <w:szCs w:val="32"/>
                <w:highlight w:val="none"/>
                <w:u w:val="single"/>
                <w:lang w:eastAsia="zh-CN"/>
              </w:rPr>
            </w:pPr>
            <w:r>
              <w:rPr>
                <w:rFonts w:hint="eastAsia" w:ascii="Arial" w:hAnsi="Arial" w:eastAsia="宋体" w:cs="Arial"/>
                <w:b/>
                <w:color w:val="auto"/>
                <w:sz w:val="32"/>
                <w:szCs w:val="32"/>
                <w:highlight w:val="none"/>
                <w:lang w:eastAsia="zh-CN"/>
              </w:rPr>
              <w:t>广西机电设备招标有限公司</w:t>
            </w:r>
          </w:p>
        </w:tc>
      </w:tr>
    </w:tbl>
    <w:p w14:paraId="771FEAA4">
      <w:pPr>
        <w:autoSpaceDE w:val="0"/>
        <w:autoSpaceDN w:val="0"/>
        <w:adjustRightInd w:val="0"/>
        <w:spacing w:line="288" w:lineRule="auto"/>
        <w:jc w:val="center"/>
        <w:rPr>
          <w:rFonts w:ascii="Arial" w:hAnsi="Arial" w:eastAsia="宋体" w:cs="Arial"/>
          <w:b/>
          <w:color w:val="auto"/>
          <w:sz w:val="32"/>
          <w:szCs w:val="32"/>
          <w:highlight w:val="none"/>
        </w:rPr>
      </w:pPr>
    </w:p>
    <w:p w14:paraId="366A7A2D">
      <w:pPr>
        <w:autoSpaceDE w:val="0"/>
        <w:autoSpaceDN w:val="0"/>
        <w:adjustRightInd w:val="0"/>
        <w:spacing w:line="288" w:lineRule="auto"/>
        <w:jc w:val="center"/>
        <w:rPr>
          <w:rFonts w:ascii="Arial" w:hAnsi="Arial" w:eastAsia="宋体" w:cs="Arial"/>
          <w:b/>
          <w:color w:val="auto"/>
          <w:sz w:val="32"/>
          <w:szCs w:val="32"/>
          <w:highlight w:val="none"/>
        </w:rPr>
      </w:pPr>
      <w:r>
        <w:rPr>
          <w:rFonts w:ascii="Arial" w:hAnsi="Arial" w:eastAsia="宋体" w:cs="Arial"/>
          <w:b/>
          <w:color w:val="auto"/>
          <w:sz w:val="32"/>
          <w:szCs w:val="32"/>
          <w:highlight w:val="none"/>
        </w:rPr>
        <w:t>2024年</w:t>
      </w:r>
      <w:r>
        <w:rPr>
          <w:rFonts w:hint="eastAsia" w:ascii="Arial" w:hAnsi="Arial" w:eastAsia="宋体" w:cs="Arial"/>
          <w:b/>
          <w:color w:val="auto"/>
          <w:sz w:val="32"/>
          <w:szCs w:val="32"/>
          <w:highlight w:val="none"/>
          <w:lang w:val="en-US" w:eastAsia="zh-CN"/>
        </w:rPr>
        <w:t>8</w:t>
      </w:r>
      <w:r>
        <w:rPr>
          <w:rFonts w:ascii="Arial" w:hAnsi="Arial" w:eastAsia="宋体" w:cs="Arial"/>
          <w:b/>
          <w:color w:val="auto"/>
          <w:sz w:val="32"/>
          <w:szCs w:val="32"/>
          <w:highlight w:val="none"/>
        </w:rPr>
        <w:t>月</w:t>
      </w:r>
    </w:p>
    <w:p w14:paraId="465040D1">
      <w:pPr>
        <w:rPr>
          <w:rFonts w:ascii="Arial" w:hAnsi="Arial" w:eastAsia="宋体" w:cs="Arial"/>
          <w:b/>
          <w:color w:val="auto"/>
          <w:sz w:val="32"/>
          <w:szCs w:val="32"/>
          <w:highlight w:val="none"/>
        </w:rPr>
      </w:pPr>
      <w:r>
        <w:rPr>
          <w:rFonts w:ascii="Arial" w:hAnsi="Arial" w:eastAsia="宋体" w:cs="Arial"/>
          <w:b/>
          <w:color w:val="auto"/>
          <w:sz w:val="32"/>
          <w:szCs w:val="32"/>
          <w:highlight w:val="none"/>
        </w:rPr>
        <w:br w:type="page"/>
      </w:r>
    </w:p>
    <w:p w14:paraId="5C68F2E6">
      <w:pPr>
        <w:tabs>
          <w:tab w:val="left" w:pos="1080"/>
        </w:tabs>
        <w:spacing w:line="480" w:lineRule="exact"/>
        <w:jc w:val="center"/>
        <w:rPr>
          <w:rFonts w:ascii="Arial" w:hAnsi="Arial" w:eastAsia="宋体" w:cs="Arial"/>
          <w:b/>
          <w:color w:val="auto"/>
          <w:sz w:val="32"/>
          <w:szCs w:val="32"/>
          <w:highlight w:val="none"/>
        </w:rPr>
      </w:pPr>
    </w:p>
    <w:sdt>
      <w:sdtPr>
        <w:rPr>
          <w:rFonts w:ascii="Arial" w:hAnsi="Arial" w:eastAsia="宋体" w:cs="Arial"/>
          <w:b/>
          <w:bCs/>
          <w:color w:val="auto"/>
          <w:kern w:val="0"/>
          <w:sz w:val="24"/>
          <w:szCs w:val="32"/>
          <w:highlight w:val="none"/>
        </w:rPr>
        <w:id w:val="147472183"/>
        <w:docPartObj>
          <w:docPartGallery w:val="Table of Contents"/>
          <w:docPartUnique/>
        </w:docPartObj>
      </w:sdtPr>
      <w:sdtEndPr>
        <w:rPr>
          <w:rFonts w:ascii="Arial" w:hAnsi="Arial" w:eastAsia="宋体" w:cs="Arial"/>
          <w:b/>
          <w:bCs/>
          <w:color w:val="auto"/>
          <w:kern w:val="0"/>
          <w:sz w:val="28"/>
          <w:szCs w:val="28"/>
          <w:highlight w:val="none"/>
        </w:rPr>
      </w:sdtEndPr>
      <w:sdtContent>
        <w:p w14:paraId="6698E83C">
          <w:pPr>
            <w:jc w:val="center"/>
            <w:rPr>
              <w:rFonts w:ascii="Arial" w:hAnsi="Arial" w:eastAsia="宋体" w:cs="Arial"/>
              <w:color w:val="auto"/>
              <w:sz w:val="96"/>
              <w:szCs w:val="160"/>
              <w:highlight w:val="none"/>
            </w:rPr>
          </w:pPr>
          <w:r>
            <w:rPr>
              <w:rFonts w:ascii="Arial" w:hAnsi="Arial" w:eastAsia="宋体" w:cs="Arial"/>
              <w:b/>
              <w:bCs/>
              <w:color w:val="auto"/>
              <w:kern w:val="0"/>
              <w:sz w:val="44"/>
              <w:szCs w:val="52"/>
              <w:highlight w:val="none"/>
            </w:rPr>
            <w:t>目  录</w:t>
          </w:r>
        </w:p>
        <w:p w14:paraId="45AB89AB">
          <w:pPr>
            <w:pStyle w:val="19"/>
            <w:tabs>
              <w:tab w:val="right" w:leader="dot" w:pos="9923"/>
            </w:tabs>
            <w:rPr>
              <w:rFonts w:ascii="Arial" w:hAnsi="Arial" w:eastAsia="宋体" w:cs="Arial"/>
              <w:color w:val="auto"/>
              <w:sz w:val="28"/>
              <w:szCs w:val="28"/>
              <w:highlight w:val="none"/>
            </w:rPr>
          </w:pPr>
          <w:r>
            <w:rPr>
              <w:rFonts w:ascii="Arial" w:hAnsi="Arial" w:eastAsia="宋体" w:cs="Arial"/>
              <w:color w:val="auto"/>
              <w:sz w:val="32"/>
              <w:szCs w:val="32"/>
              <w:highlight w:val="none"/>
            </w:rPr>
            <w:fldChar w:fldCharType="begin"/>
          </w:r>
          <w:r>
            <w:rPr>
              <w:rFonts w:ascii="Arial" w:hAnsi="Arial" w:eastAsia="宋体" w:cs="Arial"/>
              <w:color w:val="auto"/>
              <w:sz w:val="32"/>
              <w:szCs w:val="32"/>
              <w:highlight w:val="none"/>
            </w:rPr>
            <w:instrText xml:space="preserve">TOC \o "1-1" \h \u </w:instrText>
          </w:r>
          <w:r>
            <w:rPr>
              <w:rFonts w:ascii="Arial" w:hAnsi="Arial" w:eastAsia="宋体" w:cs="Arial"/>
              <w:color w:val="auto"/>
              <w:sz w:val="32"/>
              <w:szCs w:val="32"/>
              <w:highlight w:val="none"/>
            </w:rPr>
            <w:fldChar w:fldCharType="separate"/>
          </w:r>
          <w:r>
            <w:rPr>
              <w:color w:val="auto"/>
              <w:highlight w:val="none"/>
            </w:rPr>
            <w:fldChar w:fldCharType="begin"/>
          </w:r>
          <w:r>
            <w:rPr>
              <w:color w:val="auto"/>
              <w:highlight w:val="none"/>
            </w:rPr>
            <w:instrText xml:space="preserve"> HYPERLINK \l "_Toc11589" </w:instrText>
          </w:r>
          <w:r>
            <w:rPr>
              <w:color w:val="auto"/>
              <w:highlight w:val="none"/>
            </w:rPr>
            <w:fldChar w:fldCharType="separate"/>
          </w:r>
          <w:r>
            <w:rPr>
              <w:rFonts w:ascii="Arial" w:hAnsi="Arial" w:eastAsia="宋体" w:cs="Arial"/>
              <w:color w:val="auto"/>
              <w:sz w:val="28"/>
              <w:szCs w:val="28"/>
              <w:highlight w:val="none"/>
            </w:rPr>
            <w:t>第一章 竞争性谈判公告</w:t>
          </w:r>
          <w:r>
            <w:rPr>
              <w:rFonts w:ascii="Arial" w:hAnsi="Arial" w:eastAsia="宋体" w:cs="Arial"/>
              <w:color w:val="auto"/>
              <w:sz w:val="28"/>
              <w:szCs w:val="28"/>
              <w:highlight w:val="none"/>
            </w:rPr>
            <w:tab/>
          </w:r>
          <w:r>
            <w:rPr>
              <w:rFonts w:ascii="Arial" w:hAnsi="Arial" w:eastAsia="宋体" w:cs="Arial"/>
              <w:color w:val="auto"/>
              <w:sz w:val="28"/>
              <w:szCs w:val="28"/>
              <w:highlight w:val="none"/>
            </w:rPr>
            <w:fldChar w:fldCharType="begin"/>
          </w:r>
          <w:r>
            <w:rPr>
              <w:rFonts w:ascii="Arial" w:hAnsi="Arial" w:eastAsia="宋体" w:cs="Arial"/>
              <w:color w:val="auto"/>
              <w:sz w:val="28"/>
              <w:szCs w:val="28"/>
              <w:highlight w:val="none"/>
            </w:rPr>
            <w:instrText xml:space="preserve"> PAGEREF _Toc11589 \h </w:instrText>
          </w:r>
          <w:r>
            <w:rPr>
              <w:rFonts w:ascii="Arial" w:hAnsi="Arial" w:eastAsia="宋体" w:cs="Arial"/>
              <w:color w:val="auto"/>
              <w:sz w:val="28"/>
              <w:szCs w:val="28"/>
              <w:highlight w:val="none"/>
            </w:rPr>
            <w:fldChar w:fldCharType="separate"/>
          </w:r>
          <w:r>
            <w:rPr>
              <w:rFonts w:ascii="Arial" w:hAnsi="Arial" w:eastAsia="宋体" w:cs="Arial"/>
              <w:color w:val="auto"/>
              <w:sz w:val="28"/>
              <w:szCs w:val="28"/>
              <w:highlight w:val="none"/>
            </w:rPr>
            <w:t>1</w:t>
          </w:r>
          <w:r>
            <w:rPr>
              <w:rFonts w:ascii="Arial" w:hAnsi="Arial" w:eastAsia="宋体" w:cs="Arial"/>
              <w:color w:val="auto"/>
              <w:sz w:val="28"/>
              <w:szCs w:val="28"/>
              <w:highlight w:val="none"/>
            </w:rPr>
            <w:fldChar w:fldCharType="end"/>
          </w:r>
          <w:r>
            <w:rPr>
              <w:rFonts w:ascii="Arial" w:hAnsi="Arial" w:eastAsia="宋体" w:cs="Arial"/>
              <w:color w:val="auto"/>
              <w:sz w:val="28"/>
              <w:szCs w:val="28"/>
              <w:highlight w:val="none"/>
            </w:rPr>
            <w:fldChar w:fldCharType="end"/>
          </w:r>
        </w:p>
        <w:p w14:paraId="58FDF57F">
          <w:pPr>
            <w:pStyle w:val="19"/>
            <w:tabs>
              <w:tab w:val="right" w:leader="dot" w:pos="9923"/>
            </w:tabs>
            <w:rPr>
              <w:rFonts w:ascii="Arial" w:hAnsi="Arial" w:eastAsia="宋体" w:cs="Arial"/>
              <w:color w:val="auto"/>
              <w:sz w:val="28"/>
              <w:szCs w:val="28"/>
              <w:highlight w:val="none"/>
            </w:rPr>
          </w:pPr>
          <w:r>
            <w:rPr>
              <w:color w:val="auto"/>
              <w:highlight w:val="none"/>
            </w:rPr>
            <w:fldChar w:fldCharType="begin"/>
          </w:r>
          <w:r>
            <w:rPr>
              <w:color w:val="auto"/>
              <w:highlight w:val="none"/>
            </w:rPr>
            <w:instrText xml:space="preserve"> HYPERLINK \l "_Toc20458" </w:instrText>
          </w:r>
          <w:r>
            <w:rPr>
              <w:color w:val="auto"/>
              <w:highlight w:val="none"/>
            </w:rPr>
            <w:fldChar w:fldCharType="separate"/>
          </w:r>
          <w:r>
            <w:rPr>
              <w:rFonts w:ascii="Arial" w:hAnsi="Arial" w:eastAsia="宋体" w:cs="Arial"/>
              <w:bCs/>
              <w:color w:val="auto"/>
              <w:kern w:val="44"/>
              <w:sz w:val="28"/>
              <w:szCs w:val="28"/>
              <w:highlight w:val="none"/>
            </w:rPr>
            <w:t xml:space="preserve">第二章 </w:t>
          </w:r>
          <w:r>
            <w:rPr>
              <w:rFonts w:ascii="Arial" w:hAnsi="Arial" w:eastAsia="宋体" w:cs="Arial"/>
              <w:bCs/>
              <w:color w:val="auto"/>
              <w:sz w:val="28"/>
              <w:szCs w:val="28"/>
              <w:highlight w:val="none"/>
            </w:rPr>
            <w:t>供应商须知</w:t>
          </w:r>
          <w:r>
            <w:rPr>
              <w:rFonts w:ascii="Arial" w:hAnsi="Arial" w:eastAsia="宋体" w:cs="Arial"/>
              <w:color w:val="auto"/>
              <w:sz w:val="28"/>
              <w:szCs w:val="28"/>
              <w:highlight w:val="none"/>
            </w:rPr>
            <w:tab/>
          </w:r>
          <w:r>
            <w:rPr>
              <w:rFonts w:ascii="Arial" w:hAnsi="Arial" w:eastAsia="宋体" w:cs="Arial"/>
              <w:color w:val="auto"/>
              <w:sz w:val="28"/>
              <w:szCs w:val="28"/>
              <w:highlight w:val="none"/>
            </w:rPr>
            <w:fldChar w:fldCharType="begin"/>
          </w:r>
          <w:r>
            <w:rPr>
              <w:rFonts w:ascii="Arial" w:hAnsi="Arial" w:eastAsia="宋体" w:cs="Arial"/>
              <w:color w:val="auto"/>
              <w:sz w:val="28"/>
              <w:szCs w:val="28"/>
              <w:highlight w:val="none"/>
            </w:rPr>
            <w:instrText xml:space="preserve"> PAGEREF _Toc20458 \h </w:instrText>
          </w:r>
          <w:r>
            <w:rPr>
              <w:rFonts w:ascii="Arial" w:hAnsi="Arial" w:eastAsia="宋体" w:cs="Arial"/>
              <w:color w:val="auto"/>
              <w:sz w:val="28"/>
              <w:szCs w:val="28"/>
              <w:highlight w:val="none"/>
            </w:rPr>
            <w:fldChar w:fldCharType="separate"/>
          </w:r>
          <w:r>
            <w:rPr>
              <w:rFonts w:ascii="Arial" w:hAnsi="Arial" w:eastAsia="宋体" w:cs="Arial"/>
              <w:color w:val="auto"/>
              <w:sz w:val="28"/>
              <w:szCs w:val="28"/>
              <w:highlight w:val="none"/>
            </w:rPr>
            <w:t>3</w:t>
          </w:r>
          <w:r>
            <w:rPr>
              <w:rFonts w:ascii="Arial" w:hAnsi="Arial" w:eastAsia="宋体" w:cs="Arial"/>
              <w:color w:val="auto"/>
              <w:sz w:val="28"/>
              <w:szCs w:val="28"/>
              <w:highlight w:val="none"/>
            </w:rPr>
            <w:fldChar w:fldCharType="end"/>
          </w:r>
          <w:r>
            <w:rPr>
              <w:rFonts w:ascii="Arial" w:hAnsi="Arial" w:eastAsia="宋体" w:cs="Arial"/>
              <w:color w:val="auto"/>
              <w:sz w:val="28"/>
              <w:szCs w:val="28"/>
              <w:highlight w:val="none"/>
            </w:rPr>
            <w:fldChar w:fldCharType="end"/>
          </w:r>
        </w:p>
        <w:p w14:paraId="3AF2DA23">
          <w:pPr>
            <w:pStyle w:val="19"/>
            <w:tabs>
              <w:tab w:val="right" w:leader="dot" w:pos="9923"/>
            </w:tabs>
            <w:rPr>
              <w:rFonts w:ascii="Arial" w:hAnsi="Arial" w:eastAsia="宋体" w:cs="Arial"/>
              <w:color w:val="auto"/>
              <w:sz w:val="28"/>
              <w:szCs w:val="28"/>
              <w:highlight w:val="none"/>
            </w:rPr>
          </w:pPr>
          <w:r>
            <w:rPr>
              <w:color w:val="auto"/>
              <w:highlight w:val="none"/>
            </w:rPr>
            <w:fldChar w:fldCharType="begin"/>
          </w:r>
          <w:r>
            <w:rPr>
              <w:color w:val="auto"/>
              <w:highlight w:val="none"/>
            </w:rPr>
            <w:instrText xml:space="preserve"> HYPERLINK \l "_Toc8686" </w:instrText>
          </w:r>
          <w:r>
            <w:rPr>
              <w:color w:val="auto"/>
              <w:highlight w:val="none"/>
            </w:rPr>
            <w:fldChar w:fldCharType="separate"/>
          </w:r>
          <w:r>
            <w:rPr>
              <w:rFonts w:ascii="Arial" w:hAnsi="Arial" w:eastAsia="宋体" w:cs="Arial"/>
              <w:color w:val="auto"/>
              <w:sz w:val="28"/>
              <w:szCs w:val="28"/>
              <w:highlight w:val="none"/>
            </w:rPr>
            <w:t>第三章  项目采购需求</w:t>
          </w:r>
          <w:r>
            <w:rPr>
              <w:rFonts w:ascii="Arial" w:hAnsi="Arial" w:eastAsia="宋体" w:cs="Arial"/>
              <w:color w:val="auto"/>
              <w:sz w:val="28"/>
              <w:szCs w:val="28"/>
              <w:highlight w:val="none"/>
            </w:rPr>
            <w:tab/>
          </w:r>
          <w:r>
            <w:rPr>
              <w:rFonts w:ascii="Arial" w:hAnsi="Arial" w:eastAsia="宋体" w:cs="Arial"/>
              <w:color w:val="auto"/>
              <w:sz w:val="28"/>
              <w:szCs w:val="28"/>
              <w:highlight w:val="none"/>
            </w:rPr>
            <w:fldChar w:fldCharType="begin"/>
          </w:r>
          <w:r>
            <w:rPr>
              <w:rFonts w:ascii="Arial" w:hAnsi="Arial" w:eastAsia="宋体" w:cs="Arial"/>
              <w:color w:val="auto"/>
              <w:sz w:val="28"/>
              <w:szCs w:val="28"/>
              <w:highlight w:val="none"/>
            </w:rPr>
            <w:instrText xml:space="preserve"> PAGEREF _Toc8686 \h </w:instrText>
          </w:r>
          <w:r>
            <w:rPr>
              <w:rFonts w:ascii="Arial" w:hAnsi="Arial" w:eastAsia="宋体" w:cs="Arial"/>
              <w:color w:val="auto"/>
              <w:sz w:val="28"/>
              <w:szCs w:val="28"/>
              <w:highlight w:val="none"/>
            </w:rPr>
            <w:fldChar w:fldCharType="separate"/>
          </w:r>
          <w:r>
            <w:rPr>
              <w:rFonts w:ascii="Arial" w:hAnsi="Arial" w:eastAsia="宋体" w:cs="Arial"/>
              <w:color w:val="auto"/>
              <w:sz w:val="28"/>
              <w:szCs w:val="28"/>
              <w:highlight w:val="none"/>
            </w:rPr>
            <w:t>16</w:t>
          </w:r>
          <w:r>
            <w:rPr>
              <w:rFonts w:ascii="Arial" w:hAnsi="Arial" w:eastAsia="宋体" w:cs="Arial"/>
              <w:color w:val="auto"/>
              <w:sz w:val="28"/>
              <w:szCs w:val="28"/>
              <w:highlight w:val="none"/>
            </w:rPr>
            <w:fldChar w:fldCharType="end"/>
          </w:r>
          <w:r>
            <w:rPr>
              <w:rFonts w:ascii="Arial" w:hAnsi="Arial" w:eastAsia="宋体" w:cs="Arial"/>
              <w:color w:val="auto"/>
              <w:sz w:val="28"/>
              <w:szCs w:val="28"/>
              <w:highlight w:val="none"/>
            </w:rPr>
            <w:fldChar w:fldCharType="end"/>
          </w:r>
        </w:p>
        <w:p w14:paraId="61C366CD">
          <w:pPr>
            <w:pStyle w:val="19"/>
            <w:tabs>
              <w:tab w:val="right" w:leader="dot" w:pos="9923"/>
            </w:tabs>
            <w:rPr>
              <w:rFonts w:ascii="Arial" w:hAnsi="Arial" w:eastAsia="宋体" w:cs="Arial"/>
              <w:color w:val="auto"/>
              <w:sz w:val="28"/>
              <w:szCs w:val="28"/>
              <w:highlight w:val="none"/>
            </w:rPr>
          </w:pPr>
          <w:r>
            <w:rPr>
              <w:color w:val="auto"/>
              <w:highlight w:val="none"/>
            </w:rPr>
            <w:fldChar w:fldCharType="begin"/>
          </w:r>
          <w:r>
            <w:rPr>
              <w:color w:val="auto"/>
              <w:highlight w:val="none"/>
            </w:rPr>
            <w:instrText xml:space="preserve"> HYPERLINK \l "_Toc16632" </w:instrText>
          </w:r>
          <w:r>
            <w:rPr>
              <w:color w:val="auto"/>
              <w:highlight w:val="none"/>
            </w:rPr>
            <w:fldChar w:fldCharType="separate"/>
          </w:r>
          <w:r>
            <w:rPr>
              <w:rFonts w:ascii="Arial" w:hAnsi="Arial" w:eastAsia="宋体" w:cs="Arial"/>
              <w:color w:val="auto"/>
              <w:sz w:val="28"/>
              <w:szCs w:val="28"/>
              <w:highlight w:val="none"/>
            </w:rPr>
            <w:t>第四章  评审办法</w:t>
          </w:r>
          <w:r>
            <w:rPr>
              <w:rFonts w:ascii="Arial" w:hAnsi="Arial" w:eastAsia="宋体" w:cs="Arial"/>
              <w:color w:val="auto"/>
              <w:sz w:val="28"/>
              <w:szCs w:val="28"/>
              <w:highlight w:val="none"/>
            </w:rPr>
            <w:tab/>
          </w:r>
          <w:r>
            <w:rPr>
              <w:rFonts w:ascii="Arial" w:hAnsi="Arial" w:eastAsia="宋体" w:cs="Arial"/>
              <w:color w:val="auto"/>
              <w:sz w:val="28"/>
              <w:szCs w:val="28"/>
              <w:highlight w:val="none"/>
            </w:rPr>
            <w:fldChar w:fldCharType="begin"/>
          </w:r>
          <w:r>
            <w:rPr>
              <w:rFonts w:ascii="Arial" w:hAnsi="Arial" w:eastAsia="宋体" w:cs="Arial"/>
              <w:color w:val="auto"/>
              <w:sz w:val="28"/>
              <w:szCs w:val="28"/>
              <w:highlight w:val="none"/>
            </w:rPr>
            <w:instrText xml:space="preserve"> PAGEREF _Toc16632 \h </w:instrText>
          </w:r>
          <w:r>
            <w:rPr>
              <w:rFonts w:ascii="Arial" w:hAnsi="Arial" w:eastAsia="宋体" w:cs="Arial"/>
              <w:color w:val="auto"/>
              <w:sz w:val="28"/>
              <w:szCs w:val="28"/>
              <w:highlight w:val="none"/>
            </w:rPr>
            <w:fldChar w:fldCharType="separate"/>
          </w:r>
          <w:r>
            <w:rPr>
              <w:rFonts w:ascii="Arial" w:hAnsi="Arial" w:eastAsia="宋体" w:cs="Arial"/>
              <w:color w:val="auto"/>
              <w:sz w:val="28"/>
              <w:szCs w:val="28"/>
              <w:highlight w:val="none"/>
            </w:rPr>
            <w:t>23</w:t>
          </w:r>
          <w:r>
            <w:rPr>
              <w:rFonts w:ascii="Arial" w:hAnsi="Arial" w:eastAsia="宋体" w:cs="Arial"/>
              <w:color w:val="auto"/>
              <w:sz w:val="28"/>
              <w:szCs w:val="28"/>
              <w:highlight w:val="none"/>
            </w:rPr>
            <w:fldChar w:fldCharType="end"/>
          </w:r>
          <w:r>
            <w:rPr>
              <w:rFonts w:ascii="Arial" w:hAnsi="Arial" w:eastAsia="宋体" w:cs="Arial"/>
              <w:color w:val="auto"/>
              <w:sz w:val="28"/>
              <w:szCs w:val="28"/>
              <w:highlight w:val="none"/>
            </w:rPr>
            <w:fldChar w:fldCharType="end"/>
          </w:r>
        </w:p>
        <w:p w14:paraId="57326A80">
          <w:pPr>
            <w:pStyle w:val="19"/>
            <w:tabs>
              <w:tab w:val="right" w:leader="dot" w:pos="9923"/>
            </w:tabs>
            <w:rPr>
              <w:rFonts w:ascii="Arial" w:hAnsi="Arial" w:eastAsia="宋体" w:cs="Arial"/>
              <w:color w:val="auto"/>
              <w:sz w:val="28"/>
              <w:szCs w:val="28"/>
              <w:highlight w:val="none"/>
            </w:rPr>
          </w:pPr>
          <w:r>
            <w:rPr>
              <w:color w:val="auto"/>
              <w:highlight w:val="none"/>
            </w:rPr>
            <w:fldChar w:fldCharType="begin"/>
          </w:r>
          <w:r>
            <w:rPr>
              <w:color w:val="auto"/>
              <w:highlight w:val="none"/>
            </w:rPr>
            <w:instrText xml:space="preserve"> HYPERLINK \l "_Toc7117" </w:instrText>
          </w:r>
          <w:r>
            <w:rPr>
              <w:color w:val="auto"/>
              <w:highlight w:val="none"/>
            </w:rPr>
            <w:fldChar w:fldCharType="separate"/>
          </w:r>
          <w:r>
            <w:rPr>
              <w:rFonts w:ascii="Arial" w:hAnsi="Arial" w:eastAsia="宋体" w:cs="Arial"/>
              <w:color w:val="auto"/>
              <w:sz w:val="28"/>
              <w:szCs w:val="28"/>
              <w:highlight w:val="none"/>
            </w:rPr>
            <w:t>第五章  采购合同（合同主要条款及格式）</w:t>
          </w:r>
          <w:r>
            <w:rPr>
              <w:rFonts w:ascii="Arial" w:hAnsi="Arial" w:eastAsia="宋体" w:cs="Arial"/>
              <w:color w:val="auto"/>
              <w:sz w:val="28"/>
              <w:szCs w:val="28"/>
              <w:highlight w:val="none"/>
            </w:rPr>
            <w:tab/>
          </w:r>
          <w:r>
            <w:rPr>
              <w:rFonts w:ascii="Arial" w:hAnsi="Arial" w:eastAsia="宋体" w:cs="Arial"/>
              <w:color w:val="auto"/>
              <w:sz w:val="28"/>
              <w:szCs w:val="28"/>
              <w:highlight w:val="none"/>
            </w:rPr>
            <w:fldChar w:fldCharType="begin"/>
          </w:r>
          <w:r>
            <w:rPr>
              <w:rFonts w:ascii="Arial" w:hAnsi="Arial" w:eastAsia="宋体" w:cs="Arial"/>
              <w:color w:val="auto"/>
              <w:sz w:val="28"/>
              <w:szCs w:val="28"/>
              <w:highlight w:val="none"/>
            </w:rPr>
            <w:instrText xml:space="preserve"> PAGEREF _Toc7117 \h </w:instrText>
          </w:r>
          <w:r>
            <w:rPr>
              <w:rFonts w:ascii="Arial" w:hAnsi="Arial" w:eastAsia="宋体" w:cs="Arial"/>
              <w:color w:val="auto"/>
              <w:sz w:val="28"/>
              <w:szCs w:val="28"/>
              <w:highlight w:val="none"/>
            </w:rPr>
            <w:fldChar w:fldCharType="separate"/>
          </w:r>
          <w:r>
            <w:rPr>
              <w:rFonts w:ascii="Arial" w:hAnsi="Arial" w:eastAsia="宋体" w:cs="Arial"/>
              <w:color w:val="auto"/>
              <w:sz w:val="28"/>
              <w:szCs w:val="28"/>
              <w:highlight w:val="none"/>
            </w:rPr>
            <w:t>24</w:t>
          </w:r>
          <w:r>
            <w:rPr>
              <w:rFonts w:ascii="Arial" w:hAnsi="Arial" w:eastAsia="宋体" w:cs="Arial"/>
              <w:color w:val="auto"/>
              <w:sz w:val="28"/>
              <w:szCs w:val="28"/>
              <w:highlight w:val="none"/>
            </w:rPr>
            <w:fldChar w:fldCharType="end"/>
          </w:r>
          <w:r>
            <w:rPr>
              <w:rFonts w:ascii="Arial" w:hAnsi="Arial" w:eastAsia="宋体" w:cs="Arial"/>
              <w:color w:val="auto"/>
              <w:sz w:val="28"/>
              <w:szCs w:val="28"/>
              <w:highlight w:val="none"/>
            </w:rPr>
            <w:fldChar w:fldCharType="end"/>
          </w:r>
        </w:p>
        <w:p w14:paraId="23CDC34C">
          <w:pPr>
            <w:pStyle w:val="19"/>
            <w:tabs>
              <w:tab w:val="right" w:leader="dot" w:pos="9923"/>
            </w:tabs>
            <w:rPr>
              <w:rFonts w:hint="eastAsia"/>
              <w:color w:val="auto"/>
              <w:highlight w:val="none"/>
            </w:rPr>
          </w:pPr>
          <w:r>
            <w:rPr>
              <w:color w:val="auto"/>
              <w:highlight w:val="none"/>
            </w:rPr>
            <w:fldChar w:fldCharType="begin"/>
          </w:r>
          <w:r>
            <w:rPr>
              <w:color w:val="auto"/>
              <w:highlight w:val="none"/>
            </w:rPr>
            <w:instrText xml:space="preserve"> HYPERLINK \l "_Toc15843" </w:instrText>
          </w:r>
          <w:r>
            <w:rPr>
              <w:color w:val="auto"/>
              <w:highlight w:val="none"/>
            </w:rPr>
            <w:fldChar w:fldCharType="separate"/>
          </w:r>
          <w:r>
            <w:rPr>
              <w:rFonts w:ascii="Arial" w:hAnsi="Arial" w:eastAsia="宋体" w:cs="Arial"/>
              <w:color w:val="auto"/>
              <w:sz w:val="28"/>
              <w:szCs w:val="28"/>
              <w:highlight w:val="none"/>
            </w:rPr>
            <w:t>第六章 响应文件（格式）</w:t>
          </w:r>
          <w:r>
            <w:rPr>
              <w:rFonts w:ascii="Arial" w:hAnsi="Arial" w:eastAsia="宋体" w:cs="Arial"/>
              <w:color w:val="auto"/>
              <w:sz w:val="28"/>
              <w:szCs w:val="28"/>
              <w:highlight w:val="none"/>
            </w:rPr>
            <w:tab/>
          </w:r>
          <w:r>
            <w:rPr>
              <w:rFonts w:ascii="Arial" w:hAnsi="Arial" w:eastAsia="宋体" w:cs="Arial"/>
              <w:color w:val="auto"/>
              <w:sz w:val="28"/>
              <w:szCs w:val="28"/>
              <w:highlight w:val="none"/>
            </w:rPr>
            <w:fldChar w:fldCharType="begin"/>
          </w:r>
          <w:r>
            <w:rPr>
              <w:rFonts w:ascii="Arial" w:hAnsi="Arial" w:eastAsia="宋体" w:cs="Arial"/>
              <w:color w:val="auto"/>
              <w:sz w:val="28"/>
              <w:szCs w:val="28"/>
              <w:highlight w:val="none"/>
            </w:rPr>
            <w:instrText xml:space="preserve"> PAGEREF _Toc15843 \h </w:instrText>
          </w:r>
          <w:r>
            <w:rPr>
              <w:rFonts w:ascii="Arial" w:hAnsi="Arial" w:eastAsia="宋体" w:cs="Arial"/>
              <w:color w:val="auto"/>
              <w:sz w:val="28"/>
              <w:szCs w:val="28"/>
              <w:highlight w:val="none"/>
            </w:rPr>
            <w:fldChar w:fldCharType="separate"/>
          </w:r>
          <w:r>
            <w:rPr>
              <w:rFonts w:ascii="Arial" w:hAnsi="Arial" w:eastAsia="宋体" w:cs="Arial"/>
              <w:color w:val="auto"/>
              <w:sz w:val="28"/>
              <w:szCs w:val="28"/>
              <w:highlight w:val="none"/>
            </w:rPr>
            <w:t>30</w:t>
          </w:r>
          <w:r>
            <w:rPr>
              <w:rFonts w:ascii="Arial" w:hAnsi="Arial" w:eastAsia="宋体" w:cs="Arial"/>
              <w:color w:val="auto"/>
              <w:sz w:val="28"/>
              <w:szCs w:val="28"/>
              <w:highlight w:val="none"/>
            </w:rPr>
            <w:fldChar w:fldCharType="end"/>
          </w:r>
          <w:r>
            <w:rPr>
              <w:rFonts w:ascii="Arial" w:hAnsi="Arial" w:eastAsia="宋体" w:cs="Arial"/>
              <w:color w:val="auto"/>
              <w:sz w:val="28"/>
              <w:szCs w:val="28"/>
              <w:highlight w:val="none"/>
            </w:rPr>
            <w:fldChar w:fldCharType="end"/>
          </w:r>
        </w:p>
        <w:p w14:paraId="5DB16D0C">
          <w:pPr>
            <w:pStyle w:val="5"/>
            <w:rPr>
              <w:rFonts w:ascii="Arial" w:hAnsi="Arial" w:eastAsia="宋体" w:cs="Arial"/>
              <w:color w:val="auto"/>
              <w:highlight w:val="none"/>
            </w:rPr>
            <w:sectPr>
              <w:headerReference r:id="rId3" w:type="default"/>
              <w:footerReference r:id="rId4" w:type="default"/>
              <w:pgSz w:w="11906" w:h="16838"/>
              <w:pgMar w:top="1134" w:right="1669" w:bottom="1134" w:left="1417" w:header="720" w:footer="720" w:gutter="0"/>
              <w:pgNumType w:start="0"/>
              <w:cols w:space="720" w:num="1"/>
              <w:titlePg/>
              <w:docGrid w:type="linesAndChars" w:linePitch="331" w:charSpace="0"/>
            </w:sectPr>
          </w:pPr>
          <w:r>
            <w:rPr>
              <w:rFonts w:ascii="Arial" w:hAnsi="Arial" w:eastAsia="宋体" w:cs="Arial"/>
              <w:color w:val="auto"/>
              <w:szCs w:val="48"/>
              <w:highlight w:val="none"/>
            </w:rPr>
            <w:fldChar w:fldCharType="end"/>
          </w:r>
        </w:p>
      </w:sdtContent>
    </w:sdt>
    <w:p w14:paraId="30C7B775">
      <w:pPr>
        <w:pStyle w:val="2"/>
        <w:snapToGrid w:val="0"/>
        <w:spacing w:before="0" w:after="0" w:line="240" w:lineRule="auto"/>
        <w:jc w:val="center"/>
        <w:rPr>
          <w:rFonts w:hint="eastAsia"/>
          <w:color w:val="auto"/>
          <w:highlight w:val="none"/>
        </w:rPr>
      </w:pPr>
      <w:bookmarkStart w:id="0" w:name="_Toc25419"/>
      <w:bookmarkStart w:id="1" w:name="_Toc11589"/>
      <w:r>
        <w:rPr>
          <w:color w:val="auto"/>
          <w:highlight w:val="none"/>
        </w:rPr>
        <w:t>第一章 竞争性谈判</w:t>
      </w:r>
      <w:bookmarkEnd w:id="0"/>
      <w:r>
        <w:rPr>
          <w:color w:val="auto"/>
          <w:highlight w:val="none"/>
        </w:rPr>
        <w:t>公告</w:t>
      </w:r>
      <w:bookmarkEnd w:id="1"/>
    </w:p>
    <w:p w14:paraId="3E13DF22">
      <w:pPr>
        <w:pBdr>
          <w:top w:val="single" w:color="auto" w:sz="4" w:space="1"/>
          <w:left w:val="single" w:color="auto" w:sz="4" w:space="4"/>
          <w:bottom w:val="single" w:color="auto" w:sz="4" w:space="1"/>
          <w:right w:val="single" w:color="auto" w:sz="4" w:space="4"/>
        </w:pBdr>
        <w:spacing w:line="320" w:lineRule="exact"/>
        <w:ind w:firstLine="420" w:firstLineChars="200"/>
        <w:rPr>
          <w:rFonts w:ascii="Arial" w:hAnsi="Arial" w:eastAsia="宋体" w:cs="Arial"/>
          <w:color w:val="auto"/>
          <w:highlight w:val="none"/>
        </w:rPr>
      </w:pPr>
      <w:r>
        <w:rPr>
          <w:rFonts w:ascii="Arial" w:hAnsi="Arial" w:eastAsia="宋体" w:cs="Arial"/>
          <w:color w:val="auto"/>
          <w:highlight w:val="none"/>
        </w:rPr>
        <w:t>项目概况</w:t>
      </w:r>
    </w:p>
    <w:p w14:paraId="7567EE70">
      <w:pPr>
        <w:pBdr>
          <w:top w:val="single" w:color="auto" w:sz="4" w:space="1"/>
          <w:left w:val="single" w:color="auto" w:sz="4" w:space="4"/>
          <w:bottom w:val="single" w:color="auto" w:sz="4" w:space="1"/>
          <w:right w:val="single" w:color="auto" w:sz="4" w:space="4"/>
        </w:pBdr>
        <w:spacing w:line="320" w:lineRule="exact"/>
        <w:ind w:firstLine="420" w:firstLineChars="200"/>
        <w:rPr>
          <w:rFonts w:ascii="Arial" w:hAnsi="Arial" w:eastAsia="宋体" w:cs="Arial"/>
          <w:color w:val="auto"/>
          <w:highlight w:val="none"/>
        </w:rPr>
      </w:pPr>
      <w:r>
        <w:rPr>
          <w:rFonts w:hint="eastAsia" w:ascii="Arial" w:hAnsi="Arial" w:eastAsia="宋体" w:cs="Arial"/>
          <w:bCs/>
          <w:color w:val="auto"/>
          <w:highlight w:val="none"/>
          <w:u w:val="single"/>
        </w:rPr>
        <w:t>材料学院虚拟仿真实验教学中心建设设备采购项目</w:t>
      </w:r>
      <w:r>
        <w:rPr>
          <w:rFonts w:ascii="Arial" w:hAnsi="Arial" w:eastAsia="宋体" w:cs="Arial"/>
          <w:bCs/>
          <w:color w:val="auto"/>
          <w:highlight w:val="none"/>
          <w:u w:val="single"/>
        </w:rPr>
        <w:t>（项目编号：</w:t>
      </w:r>
      <w:r>
        <w:rPr>
          <w:rFonts w:hint="eastAsia" w:ascii="Arial" w:hAnsi="Arial" w:eastAsia="宋体" w:cs="Arial"/>
          <w:bCs/>
          <w:color w:val="auto"/>
          <w:highlight w:val="none"/>
          <w:u w:val="single"/>
          <w:lang w:eastAsia="zh-CN"/>
        </w:rPr>
        <w:t>GXJD-24114CC031368</w:t>
      </w:r>
      <w:r>
        <w:rPr>
          <w:rFonts w:ascii="Arial" w:hAnsi="Arial" w:eastAsia="宋体" w:cs="Arial"/>
          <w:bCs/>
          <w:color w:val="auto"/>
          <w:highlight w:val="none"/>
          <w:u w:val="single"/>
        </w:rPr>
        <w:t>）</w:t>
      </w:r>
      <w:r>
        <w:rPr>
          <w:rFonts w:ascii="Arial" w:hAnsi="Arial" w:eastAsia="宋体" w:cs="Arial"/>
          <w:color w:val="auto"/>
          <w:highlight w:val="none"/>
        </w:rPr>
        <w:t>的潜在供应商应登录中国招标投标公共服务平台网（www.cebpubservice.com），从网上下载竞争性谈判文件电子版，并于</w:t>
      </w:r>
      <w:r>
        <w:rPr>
          <w:rFonts w:ascii="Arial" w:hAnsi="Arial" w:eastAsia="宋体" w:cs="Arial"/>
          <w:color w:val="auto"/>
          <w:highlight w:val="none"/>
          <w:u w:val="single"/>
        </w:rPr>
        <w:t>2024年</w:t>
      </w:r>
      <w:r>
        <w:rPr>
          <w:rFonts w:hint="eastAsia" w:ascii="Arial" w:hAnsi="Arial" w:eastAsia="宋体" w:cs="Arial"/>
          <w:color w:val="auto"/>
          <w:highlight w:val="none"/>
          <w:u w:val="single"/>
          <w:lang w:val="en-US" w:eastAsia="zh-CN"/>
        </w:rPr>
        <w:t>8</w:t>
      </w:r>
      <w:r>
        <w:rPr>
          <w:rFonts w:ascii="Arial" w:hAnsi="Arial" w:eastAsia="宋体" w:cs="Arial"/>
          <w:color w:val="auto"/>
          <w:highlight w:val="none"/>
          <w:u w:val="single"/>
        </w:rPr>
        <w:t>月</w:t>
      </w:r>
      <w:r>
        <w:rPr>
          <w:rFonts w:hint="eastAsia" w:ascii="Arial" w:hAnsi="Arial" w:eastAsia="宋体" w:cs="Arial"/>
          <w:color w:val="auto"/>
          <w:highlight w:val="none"/>
          <w:u w:val="single"/>
          <w:lang w:val="en-US" w:eastAsia="zh-CN"/>
        </w:rPr>
        <w:t>23</w:t>
      </w:r>
      <w:r>
        <w:rPr>
          <w:rFonts w:ascii="Arial" w:hAnsi="Arial" w:eastAsia="宋体" w:cs="Arial"/>
          <w:color w:val="auto"/>
          <w:highlight w:val="none"/>
          <w:u w:val="single"/>
        </w:rPr>
        <w:t>日</w:t>
      </w:r>
      <w:r>
        <w:rPr>
          <w:rFonts w:hint="eastAsia" w:ascii="Arial" w:hAnsi="Arial" w:eastAsia="宋体" w:cs="Arial"/>
          <w:bCs/>
          <w:color w:val="auto"/>
          <w:highlight w:val="none"/>
          <w:u w:val="single"/>
          <w:lang w:val="en-US" w:eastAsia="zh-CN"/>
        </w:rPr>
        <w:t>14</w:t>
      </w:r>
      <w:r>
        <w:rPr>
          <w:rFonts w:ascii="Arial" w:hAnsi="Arial" w:eastAsia="宋体" w:cs="Arial"/>
          <w:bCs/>
          <w:color w:val="auto"/>
          <w:highlight w:val="none"/>
          <w:u w:val="single"/>
        </w:rPr>
        <w:t>：30</w:t>
      </w:r>
      <w:r>
        <w:rPr>
          <w:rFonts w:ascii="Arial" w:hAnsi="Arial" w:eastAsia="宋体" w:cs="Arial"/>
          <w:bCs/>
          <w:color w:val="auto"/>
          <w:highlight w:val="none"/>
        </w:rPr>
        <w:t>（北京时间）前提交响应文件</w:t>
      </w:r>
      <w:r>
        <w:rPr>
          <w:rFonts w:ascii="Arial" w:hAnsi="Arial" w:eastAsia="宋体" w:cs="Arial"/>
          <w:color w:val="auto"/>
          <w:highlight w:val="none"/>
        </w:rPr>
        <w:t>。</w:t>
      </w:r>
    </w:p>
    <w:p w14:paraId="4DAC3229">
      <w:pPr>
        <w:snapToGrid w:val="0"/>
        <w:spacing w:line="360" w:lineRule="auto"/>
        <w:ind w:firstLine="422" w:firstLineChars="200"/>
        <w:rPr>
          <w:rFonts w:ascii="Arial" w:hAnsi="Arial" w:eastAsia="宋体" w:cs="Arial"/>
          <w:b/>
          <w:bCs/>
          <w:color w:val="auto"/>
          <w:szCs w:val="21"/>
          <w:highlight w:val="none"/>
        </w:rPr>
      </w:pPr>
      <w:r>
        <w:rPr>
          <w:rFonts w:ascii="Arial" w:hAnsi="Arial" w:eastAsia="宋体" w:cs="Arial"/>
          <w:b/>
          <w:bCs/>
          <w:color w:val="auto"/>
          <w:szCs w:val="21"/>
          <w:highlight w:val="none"/>
        </w:rPr>
        <w:t>一、项目基本情况</w:t>
      </w:r>
    </w:p>
    <w:p w14:paraId="414A52C4">
      <w:pPr>
        <w:snapToGrid w:val="0"/>
        <w:spacing w:line="360" w:lineRule="auto"/>
        <w:ind w:firstLine="420" w:firstLineChars="200"/>
        <w:rPr>
          <w:rFonts w:hint="eastAsia" w:ascii="Arial" w:hAnsi="Arial" w:eastAsia="宋体" w:cs="Arial"/>
          <w:color w:val="auto"/>
          <w:szCs w:val="21"/>
          <w:highlight w:val="none"/>
          <w:lang w:eastAsia="zh-CN"/>
        </w:rPr>
      </w:pPr>
      <w:r>
        <w:rPr>
          <w:rFonts w:ascii="Arial" w:hAnsi="Arial" w:eastAsia="宋体" w:cs="Arial"/>
          <w:color w:val="auto"/>
          <w:highlight w:val="none"/>
        </w:rPr>
        <w:t>项目编号：</w:t>
      </w:r>
      <w:r>
        <w:rPr>
          <w:rFonts w:hint="eastAsia" w:ascii="Arial" w:hAnsi="Arial" w:eastAsia="宋体" w:cs="Arial"/>
          <w:color w:val="auto"/>
          <w:szCs w:val="21"/>
          <w:highlight w:val="none"/>
          <w:lang w:eastAsia="zh-CN"/>
        </w:rPr>
        <w:t>GXJD-24114CC031368</w:t>
      </w:r>
    </w:p>
    <w:p w14:paraId="60840E7B">
      <w:pPr>
        <w:snapToGrid w:val="0"/>
        <w:spacing w:line="360" w:lineRule="auto"/>
        <w:ind w:firstLine="420" w:firstLineChars="200"/>
        <w:rPr>
          <w:rFonts w:ascii="Arial" w:hAnsi="Arial" w:eastAsia="宋体" w:cs="Arial"/>
          <w:color w:val="auto"/>
          <w:highlight w:val="none"/>
          <w:u w:val="single"/>
        </w:rPr>
      </w:pPr>
      <w:r>
        <w:rPr>
          <w:rFonts w:ascii="Arial" w:hAnsi="Arial" w:eastAsia="宋体" w:cs="Arial"/>
          <w:color w:val="auto"/>
          <w:highlight w:val="none"/>
        </w:rPr>
        <w:t>项目名称：</w:t>
      </w:r>
      <w:r>
        <w:rPr>
          <w:rFonts w:hint="eastAsia" w:ascii="Arial" w:hAnsi="Arial" w:eastAsia="宋体" w:cs="Arial"/>
          <w:color w:val="auto"/>
          <w:highlight w:val="none"/>
        </w:rPr>
        <w:t>材料学院虚拟仿真实验教学中心建设设备采购项目</w:t>
      </w:r>
    </w:p>
    <w:p w14:paraId="36D91B34">
      <w:pPr>
        <w:snapToGrid w:val="0"/>
        <w:spacing w:line="360" w:lineRule="auto"/>
        <w:ind w:firstLine="420" w:firstLineChars="200"/>
        <w:rPr>
          <w:rFonts w:ascii="Arial" w:hAnsi="Arial" w:eastAsia="宋体" w:cs="Arial"/>
          <w:color w:val="auto"/>
          <w:highlight w:val="none"/>
        </w:rPr>
      </w:pPr>
      <w:r>
        <w:rPr>
          <w:rFonts w:ascii="Arial" w:hAnsi="Arial" w:eastAsia="宋体" w:cs="Arial"/>
          <w:color w:val="auto"/>
          <w:highlight w:val="none"/>
        </w:rPr>
        <w:t>采购方式：竞争性谈判</w:t>
      </w:r>
    </w:p>
    <w:p w14:paraId="217BC38E">
      <w:pPr>
        <w:snapToGrid w:val="0"/>
        <w:spacing w:line="360" w:lineRule="auto"/>
        <w:ind w:firstLine="420" w:firstLineChars="200"/>
        <w:rPr>
          <w:rFonts w:ascii="Arial" w:hAnsi="Arial" w:eastAsia="宋体" w:cs="Arial"/>
          <w:color w:val="auto"/>
          <w:highlight w:val="none"/>
        </w:rPr>
      </w:pPr>
      <w:r>
        <w:rPr>
          <w:rFonts w:ascii="Arial" w:hAnsi="Arial" w:eastAsia="宋体" w:cs="Arial"/>
          <w:color w:val="auto"/>
          <w:highlight w:val="none"/>
        </w:rPr>
        <w:t>采购预算金额：</w:t>
      </w:r>
      <w:r>
        <w:rPr>
          <w:rFonts w:hint="eastAsia" w:ascii="Arial" w:hAnsi="Arial" w:eastAsia="宋体" w:cs="Arial"/>
          <w:color w:val="auto"/>
          <w:highlight w:val="none"/>
        </w:rPr>
        <w:t>人民币叁拾捌万元整（¥380000.00）</w:t>
      </w:r>
    </w:p>
    <w:p w14:paraId="0D5DBEA8">
      <w:pPr>
        <w:snapToGrid w:val="0"/>
        <w:spacing w:line="360" w:lineRule="auto"/>
        <w:ind w:firstLine="420" w:firstLineChars="200"/>
        <w:rPr>
          <w:rFonts w:ascii="Arial" w:hAnsi="Arial" w:eastAsia="宋体" w:cs="Arial"/>
          <w:color w:val="auto"/>
          <w:highlight w:val="none"/>
        </w:rPr>
      </w:pPr>
      <w:r>
        <w:rPr>
          <w:rFonts w:ascii="Arial" w:hAnsi="Arial" w:eastAsia="宋体" w:cs="Arial"/>
          <w:color w:val="auto"/>
          <w:highlight w:val="none"/>
        </w:rPr>
        <w:t>项目采购需求：</w:t>
      </w:r>
      <w:r>
        <w:rPr>
          <w:rFonts w:hint="eastAsia" w:ascii="Arial" w:hAnsi="Arial" w:eastAsia="宋体" w:cs="Arial"/>
          <w:color w:val="auto"/>
          <w:highlight w:val="none"/>
        </w:rPr>
        <w:t>主控台1套、多功能平台60套、云终端系统平台1套、专用实验座椅91套、线路改造1项、地面改造翻新1项、房间清理及垃圾下楼1项</w:t>
      </w:r>
      <w:r>
        <w:rPr>
          <w:rFonts w:ascii="Arial" w:hAnsi="Arial" w:eastAsia="宋体" w:cs="Arial"/>
          <w:color w:val="auto"/>
          <w:szCs w:val="21"/>
          <w:highlight w:val="none"/>
        </w:rPr>
        <w:t>，</w:t>
      </w:r>
      <w:r>
        <w:rPr>
          <w:rFonts w:ascii="Arial" w:hAnsi="Arial" w:eastAsia="宋体" w:cs="Arial"/>
          <w:color w:val="auto"/>
          <w:highlight w:val="none"/>
        </w:rPr>
        <w:t>如需进一步了解，具体详见谈判文件。</w:t>
      </w:r>
    </w:p>
    <w:p w14:paraId="09B6C67E">
      <w:pPr>
        <w:snapToGrid w:val="0"/>
        <w:spacing w:line="360" w:lineRule="auto"/>
        <w:ind w:firstLine="422" w:firstLineChars="200"/>
        <w:rPr>
          <w:rFonts w:ascii="Arial" w:hAnsi="Arial" w:eastAsia="宋体" w:cs="Arial"/>
          <w:b/>
          <w:bCs/>
          <w:color w:val="auto"/>
          <w:szCs w:val="21"/>
          <w:highlight w:val="none"/>
        </w:rPr>
      </w:pPr>
      <w:r>
        <w:rPr>
          <w:rFonts w:ascii="Arial" w:hAnsi="Arial" w:eastAsia="宋体" w:cs="Arial"/>
          <w:b/>
          <w:bCs/>
          <w:color w:val="auto"/>
          <w:szCs w:val="21"/>
          <w:highlight w:val="none"/>
        </w:rPr>
        <w:t>二、供应商的资格条件：</w:t>
      </w:r>
    </w:p>
    <w:p w14:paraId="042AF35E">
      <w:pPr>
        <w:snapToGrid w:val="0"/>
        <w:spacing w:line="360" w:lineRule="auto"/>
        <w:ind w:firstLine="420" w:firstLineChars="200"/>
        <w:rPr>
          <w:rFonts w:ascii="Arial" w:hAnsi="Arial" w:eastAsia="宋体" w:cs="Arial"/>
          <w:color w:val="auto"/>
          <w:highlight w:val="none"/>
        </w:rPr>
      </w:pPr>
      <w:bookmarkStart w:id="2" w:name="_Toc28359091"/>
      <w:bookmarkStart w:id="3" w:name="_Toc28359014"/>
      <w:r>
        <w:rPr>
          <w:rFonts w:ascii="Arial" w:hAnsi="Arial" w:eastAsia="宋体" w:cs="Arial"/>
          <w:color w:val="auto"/>
          <w:highlight w:val="none"/>
        </w:rPr>
        <w:t>1.符合《中华人民共和国政府采购法》第二十二条规定。</w:t>
      </w:r>
    </w:p>
    <w:p w14:paraId="694FC9BD">
      <w:pPr>
        <w:snapToGrid w:val="0"/>
        <w:spacing w:line="360" w:lineRule="auto"/>
        <w:ind w:firstLine="420" w:firstLineChars="200"/>
        <w:rPr>
          <w:rFonts w:ascii="Arial" w:hAnsi="Arial" w:eastAsia="宋体" w:cs="Arial"/>
          <w:color w:val="auto"/>
          <w:highlight w:val="none"/>
        </w:rPr>
      </w:pPr>
      <w:r>
        <w:rPr>
          <w:rFonts w:ascii="Arial" w:hAnsi="Arial" w:eastAsia="宋体" w:cs="Arial"/>
          <w:color w:val="auto"/>
          <w:highlight w:val="none"/>
        </w:rPr>
        <w:t>2.供应商的特定资格要求：</w:t>
      </w:r>
      <w:r>
        <w:rPr>
          <w:rFonts w:hint="eastAsia" w:ascii="Arial" w:hAnsi="Arial" w:eastAsia="宋体" w:cs="Arial"/>
          <w:b/>
          <w:bCs/>
          <w:color w:val="auto"/>
          <w:highlight w:val="none"/>
        </w:rPr>
        <w:t>本项目非专门面向中小微企业采购</w:t>
      </w:r>
      <w:r>
        <w:rPr>
          <w:rFonts w:ascii="Arial" w:hAnsi="Arial" w:eastAsia="宋体" w:cs="Arial"/>
          <w:b/>
          <w:bCs/>
          <w:color w:val="auto"/>
          <w:highlight w:val="none"/>
        </w:rPr>
        <w:t>。</w:t>
      </w:r>
    </w:p>
    <w:p w14:paraId="60B3EEEE">
      <w:pPr>
        <w:snapToGrid w:val="0"/>
        <w:spacing w:line="360" w:lineRule="auto"/>
        <w:ind w:firstLine="420" w:firstLineChars="200"/>
        <w:rPr>
          <w:rFonts w:ascii="Arial" w:hAnsi="Arial" w:eastAsia="宋体" w:cs="Arial"/>
          <w:color w:val="auto"/>
          <w:highlight w:val="none"/>
        </w:rPr>
      </w:pPr>
      <w:r>
        <w:rPr>
          <w:rFonts w:ascii="Arial" w:hAnsi="Arial" w:eastAsia="宋体" w:cs="Arial"/>
          <w:color w:val="auto"/>
          <w:highlight w:val="none"/>
        </w:rPr>
        <w:t>3.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3F45FC59">
      <w:pPr>
        <w:snapToGrid w:val="0"/>
        <w:spacing w:line="312" w:lineRule="auto"/>
        <w:ind w:firstLine="420" w:firstLineChars="200"/>
        <w:rPr>
          <w:rFonts w:ascii="Arial" w:hAnsi="Arial" w:eastAsia="宋体" w:cs="Arial"/>
          <w:color w:val="auto"/>
          <w:highlight w:val="none"/>
        </w:rPr>
      </w:pPr>
      <w:r>
        <w:rPr>
          <w:rFonts w:ascii="Arial" w:hAnsi="Arial" w:eastAsia="宋体" w:cs="Arial"/>
          <w:color w:val="auto"/>
          <w:highlight w:val="none"/>
        </w:rPr>
        <w:t>4.对在“信用中国”网站(www.creditchina.gov.cn)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采购活动。</w:t>
      </w:r>
    </w:p>
    <w:p w14:paraId="77590236">
      <w:pPr>
        <w:snapToGrid w:val="0"/>
        <w:spacing w:line="312" w:lineRule="auto"/>
        <w:ind w:firstLine="420" w:firstLineChars="200"/>
        <w:rPr>
          <w:rFonts w:ascii="Arial" w:hAnsi="Arial" w:eastAsia="宋体" w:cs="Arial"/>
          <w:color w:val="auto"/>
          <w:highlight w:val="none"/>
        </w:rPr>
      </w:pPr>
      <w:r>
        <w:rPr>
          <w:rFonts w:ascii="Arial" w:hAnsi="Arial" w:eastAsia="宋体" w:cs="Arial"/>
          <w:color w:val="auto"/>
          <w:highlight w:val="none"/>
        </w:rPr>
        <w:t>5.本项目不接受联合体参与谈判。</w:t>
      </w:r>
    </w:p>
    <w:bookmarkEnd w:id="2"/>
    <w:bookmarkEnd w:id="3"/>
    <w:p w14:paraId="031FDFE2">
      <w:pPr>
        <w:snapToGrid w:val="0"/>
        <w:spacing w:line="312" w:lineRule="auto"/>
        <w:ind w:firstLine="422" w:firstLineChars="200"/>
        <w:rPr>
          <w:rFonts w:ascii="Arial" w:hAnsi="Arial" w:eastAsia="宋体" w:cs="Arial"/>
          <w:b/>
          <w:bCs/>
          <w:color w:val="auto"/>
          <w:szCs w:val="21"/>
          <w:highlight w:val="none"/>
        </w:rPr>
      </w:pPr>
      <w:r>
        <w:rPr>
          <w:rFonts w:ascii="Arial" w:hAnsi="Arial" w:eastAsia="宋体" w:cs="Arial"/>
          <w:b/>
          <w:bCs/>
          <w:color w:val="auto"/>
          <w:szCs w:val="21"/>
          <w:highlight w:val="none"/>
        </w:rPr>
        <w:t>三、获取采购文件</w:t>
      </w:r>
    </w:p>
    <w:p w14:paraId="3F7000B5">
      <w:pPr>
        <w:snapToGrid w:val="0"/>
        <w:spacing w:line="312" w:lineRule="auto"/>
        <w:ind w:firstLine="420" w:firstLineChars="200"/>
        <w:rPr>
          <w:rFonts w:ascii="Arial" w:hAnsi="Arial" w:eastAsia="宋体" w:cs="Arial"/>
          <w:color w:val="auto"/>
          <w:highlight w:val="none"/>
        </w:rPr>
      </w:pPr>
      <w:r>
        <w:rPr>
          <w:rFonts w:ascii="Arial" w:hAnsi="Arial" w:eastAsia="宋体" w:cs="Arial"/>
          <w:color w:val="auto"/>
          <w:highlight w:val="none"/>
        </w:rPr>
        <w:t>获取竞争性谈判文件方式：潜在供应商登陆中国招标投标公共服务平台网（www.cebpubservice.com），从网上下载竞争性谈判文件电子版；并根据竞争性谈判文件规定的响应文件递交截止时间和地点直接提交响应文件参与谈判。</w:t>
      </w:r>
    </w:p>
    <w:p w14:paraId="538AA3E4">
      <w:pPr>
        <w:snapToGrid w:val="0"/>
        <w:spacing w:line="312" w:lineRule="auto"/>
        <w:ind w:firstLine="420" w:firstLineChars="200"/>
        <w:rPr>
          <w:rFonts w:ascii="Arial" w:hAnsi="Arial" w:eastAsia="宋体" w:cs="Arial"/>
          <w:color w:val="auto"/>
          <w:highlight w:val="none"/>
        </w:rPr>
      </w:pPr>
      <w:r>
        <w:rPr>
          <w:rFonts w:ascii="Arial" w:hAnsi="Arial" w:eastAsia="宋体" w:cs="Arial"/>
          <w:color w:val="auto"/>
          <w:highlight w:val="none"/>
        </w:rPr>
        <w:t>售价(元)：0元。</w:t>
      </w:r>
    </w:p>
    <w:p w14:paraId="2CA1A8B5">
      <w:pPr>
        <w:snapToGrid w:val="0"/>
        <w:spacing w:line="312" w:lineRule="auto"/>
        <w:ind w:firstLine="422" w:firstLineChars="200"/>
        <w:rPr>
          <w:rFonts w:ascii="Arial" w:hAnsi="Arial" w:eastAsia="宋体" w:cs="Arial"/>
          <w:b/>
          <w:bCs/>
          <w:color w:val="auto"/>
          <w:szCs w:val="21"/>
          <w:highlight w:val="none"/>
        </w:rPr>
      </w:pPr>
      <w:r>
        <w:rPr>
          <w:rFonts w:ascii="Arial" w:hAnsi="Arial" w:eastAsia="宋体" w:cs="Arial"/>
          <w:b/>
          <w:bCs/>
          <w:color w:val="auto"/>
          <w:szCs w:val="21"/>
          <w:highlight w:val="none"/>
        </w:rPr>
        <w:t>四、谈判保证金的金额（人民币）：</w:t>
      </w:r>
      <w:r>
        <w:rPr>
          <w:rFonts w:hint="eastAsia" w:ascii="Arial" w:hAnsi="Arial" w:eastAsia="宋体" w:cs="Arial"/>
          <w:b/>
          <w:bCs/>
          <w:color w:val="auto"/>
          <w:szCs w:val="21"/>
          <w:highlight w:val="none"/>
        </w:rPr>
        <w:t>叁仟捌佰元整（¥3800.00）</w:t>
      </w:r>
      <w:r>
        <w:rPr>
          <w:rFonts w:ascii="Arial" w:hAnsi="Arial" w:eastAsia="宋体" w:cs="Arial"/>
          <w:b/>
          <w:bCs/>
          <w:color w:val="auto"/>
          <w:szCs w:val="21"/>
          <w:highlight w:val="none"/>
        </w:rPr>
        <w:t>；（须足额缴纳）</w:t>
      </w:r>
    </w:p>
    <w:p w14:paraId="133D191F">
      <w:pPr>
        <w:snapToGrid w:val="0"/>
        <w:spacing w:line="312" w:lineRule="auto"/>
        <w:ind w:firstLine="420" w:firstLineChars="200"/>
        <w:rPr>
          <w:rFonts w:ascii="Arial" w:hAnsi="Arial" w:eastAsia="宋体" w:cs="Arial"/>
          <w:color w:val="auto"/>
          <w:highlight w:val="none"/>
        </w:rPr>
      </w:pPr>
      <w:r>
        <w:rPr>
          <w:rFonts w:ascii="Arial" w:hAnsi="Arial" w:eastAsia="宋体" w:cs="Arial"/>
          <w:color w:val="auto"/>
          <w:highlight w:val="none"/>
        </w:rPr>
        <w:t>供应商应于截标时间前将谈判保证金以电汇、转账形式从供应商账户一次性足额交纳至以下账号。本项目谈判保证金交纳账号信息如下：</w:t>
      </w:r>
    </w:p>
    <w:p w14:paraId="2243362F">
      <w:pPr>
        <w:snapToGrid w:val="0"/>
        <w:spacing w:line="312" w:lineRule="auto"/>
        <w:ind w:firstLine="420" w:firstLineChars="200"/>
        <w:rPr>
          <w:rFonts w:hint="eastAsia" w:ascii="Arial" w:hAnsi="Arial" w:eastAsia="宋体" w:cs="Arial"/>
          <w:color w:val="auto"/>
          <w:highlight w:val="none"/>
        </w:rPr>
      </w:pPr>
      <w:r>
        <w:rPr>
          <w:rFonts w:hint="eastAsia" w:ascii="Arial" w:hAnsi="Arial" w:eastAsia="宋体" w:cs="Arial"/>
          <w:color w:val="auto"/>
          <w:highlight w:val="none"/>
        </w:rPr>
        <w:t>开户银行：平安银行南宁分行营业部</w:t>
      </w:r>
    </w:p>
    <w:p w14:paraId="4BF8AF33">
      <w:pPr>
        <w:snapToGrid w:val="0"/>
        <w:spacing w:line="312" w:lineRule="auto"/>
        <w:ind w:firstLine="420" w:firstLineChars="200"/>
        <w:rPr>
          <w:rFonts w:hint="eastAsia" w:ascii="Arial" w:hAnsi="Arial" w:eastAsia="宋体" w:cs="Arial"/>
          <w:color w:val="auto"/>
          <w:highlight w:val="none"/>
        </w:rPr>
      </w:pPr>
      <w:r>
        <w:rPr>
          <w:rFonts w:hint="eastAsia" w:ascii="Arial" w:hAnsi="Arial" w:eastAsia="宋体" w:cs="Arial"/>
          <w:color w:val="auto"/>
          <w:highlight w:val="none"/>
        </w:rPr>
        <w:t>开户名称：广西机电设备招标有限公司</w:t>
      </w:r>
    </w:p>
    <w:p w14:paraId="7CD09DA6">
      <w:pPr>
        <w:snapToGrid w:val="0"/>
        <w:spacing w:line="312" w:lineRule="auto"/>
        <w:ind w:firstLine="420" w:firstLineChars="200"/>
        <w:rPr>
          <w:rFonts w:ascii="Arial" w:hAnsi="Arial" w:eastAsia="宋体" w:cs="Arial"/>
          <w:color w:val="auto"/>
          <w:highlight w:val="none"/>
        </w:rPr>
      </w:pPr>
      <w:r>
        <w:rPr>
          <w:rFonts w:hint="eastAsia" w:ascii="Arial" w:hAnsi="Arial" w:eastAsia="宋体" w:cs="Arial"/>
          <w:color w:val="auto"/>
          <w:highlight w:val="none"/>
        </w:rPr>
        <w:t>开户账户：30210485851931</w:t>
      </w:r>
    </w:p>
    <w:p w14:paraId="2F99F37A">
      <w:pPr>
        <w:snapToGrid w:val="0"/>
        <w:spacing w:line="312" w:lineRule="auto"/>
        <w:ind w:firstLine="420" w:firstLineChars="200"/>
        <w:rPr>
          <w:rFonts w:ascii="Arial" w:hAnsi="Arial" w:eastAsia="宋体" w:cs="Arial"/>
          <w:color w:val="auto"/>
          <w:highlight w:val="none"/>
        </w:rPr>
      </w:pPr>
      <w:r>
        <w:rPr>
          <w:rFonts w:ascii="Arial" w:hAnsi="Arial" w:eastAsia="宋体" w:cs="Arial"/>
          <w:color w:val="auto"/>
          <w:highlight w:val="none"/>
        </w:rPr>
        <w:t>特别说明：本项目保证金退还时将采用原路返回的方式，因此本项目不接受现金、支付宝、微信等第三方支付形式递交的保证金。凡未在规定时间内足额交纳或以其它方式交纳的谈判保证金均视为无效，其响应文件一律作无效处理。</w:t>
      </w:r>
    </w:p>
    <w:p w14:paraId="1278D08E">
      <w:pPr>
        <w:snapToGrid w:val="0"/>
        <w:spacing w:line="312" w:lineRule="auto"/>
        <w:ind w:firstLine="422" w:firstLineChars="200"/>
        <w:rPr>
          <w:rFonts w:ascii="Arial" w:hAnsi="Arial" w:eastAsia="宋体" w:cs="Arial"/>
          <w:b/>
          <w:bCs/>
          <w:color w:val="auto"/>
          <w:szCs w:val="21"/>
          <w:highlight w:val="none"/>
        </w:rPr>
      </w:pPr>
      <w:r>
        <w:rPr>
          <w:rFonts w:ascii="Arial" w:hAnsi="Arial" w:eastAsia="宋体" w:cs="Arial"/>
          <w:b/>
          <w:bCs/>
          <w:color w:val="auto"/>
          <w:szCs w:val="21"/>
          <w:highlight w:val="none"/>
        </w:rPr>
        <w:t>五、响应文件提交</w:t>
      </w:r>
    </w:p>
    <w:p w14:paraId="5725A846">
      <w:pPr>
        <w:adjustRightInd w:val="0"/>
        <w:snapToGrid w:val="0"/>
        <w:spacing w:line="312"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首次响应文件提交截止时间：2024年</w:t>
      </w:r>
      <w:r>
        <w:rPr>
          <w:rFonts w:hint="eastAsia" w:ascii="Arial" w:hAnsi="Arial" w:eastAsia="宋体" w:cs="Arial"/>
          <w:color w:val="auto"/>
          <w:szCs w:val="21"/>
          <w:highlight w:val="none"/>
        </w:rPr>
        <w:t>8月23日</w:t>
      </w:r>
      <w:r>
        <w:rPr>
          <w:rFonts w:hint="eastAsia" w:ascii="Arial" w:hAnsi="Arial" w:eastAsia="宋体" w:cs="Arial"/>
          <w:bCs/>
          <w:color w:val="auto"/>
          <w:szCs w:val="21"/>
          <w:highlight w:val="none"/>
          <w:lang w:val="en-US" w:eastAsia="zh-CN"/>
        </w:rPr>
        <w:t>14</w:t>
      </w:r>
      <w:r>
        <w:rPr>
          <w:rFonts w:ascii="Arial" w:hAnsi="Arial" w:eastAsia="宋体" w:cs="Arial"/>
          <w:bCs/>
          <w:color w:val="auto"/>
          <w:szCs w:val="21"/>
          <w:highlight w:val="none"/>
        </w:rPr>
        <w:t>时30分</w:t>
      </w:r>
    </w:p>
    <w:p w14:paraId="0897070B">
      <w:pPr>
        <w:adjustRightInd w:val="0"/>
        <w:snapToGrid w:val="0"/>
        <w:spacing w:line="312" w:lineRule="auto"/>
        <w:ind w:firstLine="420" w:firstLineChars="200"/>
        <w:rPr>
          <w:rFonts w:ascii="Arial" w:hAnsi="Arial" w:eastAsia="宋体" w:cs="Arial"/>
          <w:bCs/>
          <w:color w:val="auto"/>
          <w:szCs w:val="21"/>
          <w:highlight w:val="none"/>
        </w:rPr>
      </w:pPr>
      <w:r>
        <w:rPr>
          <w:rFonts w:ascii="Arial" w:hAnsi="Arial" w:eastAsia="宋体" w:cs="Arial"/>
          <w:bCs/>
          <w:color w:val="auto"/>
          <w:szCs w:val="21"/>
          <w:highlight w:val="none"/>
        </w:rPr>
        <w:t>首次响应文件提交起止时间：</w:t>
      </w:r>
      <w:r>
        <w:rPr>
          <w:rFonts w:ascii="Arial" w:hAnsi="Arial" w:eastAsia="宋体" w:cs="Arial"/>
          <w:color w:val="auto"/>
          <w:szCs w:val="21"/>
          <w:highlight w:val="none"/>
        </w:rPr>
        <w:t>2024年</w:t>
      </w:r>
      <w:r>
        <w:rPr>
          <w:rFonts w:hint="eastAsia" w:ascii="Arial" w:hAnsi="Arial" w:eastAsia="宋体" w:cs="Arial"/>
          <w:color w:val="auto"/>
          <w:szCs w:val="21"/>
          <w:highlight w:val="none"/>
        </w:rPr>
        <w:t>8月23日</w:t>
      </w:r>
      <w:r>
        <w:rPr>
          <w:rFonts w:hint="eastAsia" w:ascii="Arial" w:hAnsi="Arial" w:eastAsia="宋体" w:cs="Arial"/>
          <w:bCs/>
          <w:color w:val="auto"/>
          <w:szCs w:val="21"/>
          <w:highlight w:val="none"/>
          <w:lang w:val="en-US" w:eastAsia="zh-CN"/>
        </w:rPr>
        <w:t>14</w:t>
      </w:r>
      <w:r>
        <w:rPr>
          <w:rFonts w:ascii="Arial" w:hAnsi="Arial" w:eastAsia="宋体" w:cs="Arial"/>
          <w:bCs/>
          <w:color w:val="auto"/>
          <w:szCs w:val="21"/>
          <w:highlight w:val="none"/>
        </w:rPr>
        <w:t>时</w:t>
      </w:r>
      <w:r>
        <w:rPr>
          <w:rFonts w:hint="eastAsia" w:ascii="Arial" w:hAnsi="Arial" w:eastAsia="宋体" w:cs="Arial"/>
          <w:bCs/>
          <w:color w:val="auto"/>
          <w:szCs w:val="21"/>
          <w:highlight w:val="none"/>
          <w:lang w:val="en-US" w:eastAsia="zh-CN"/>
        </w:rPr>
        <w:t>0</w:t>
      </w:r>
      <w:r>
        <w:rPr>
          <w:rFonts w:ascii="Arial" w:hAnsi="Arial" w:eastAsia="宋体" w:cs="Arial"/>
          <w:bCs/>
          <w:color w:val="auto"/>
          <w:szCs w:val="21"/>
          <w:highlight w:val="none"/>
        </w:rPr>
        <w:t>0分起至</w:t>
      </w:r>
      <w:r>
        <w:rPr>
          <w:rFonts w:hint="eastAsia" w:ascii="Arial" w:hAnsi="Arial" w:eastAsia="宋体" w:cs="Arial"/>
          <w:bCs/>
          <w:color w:val="auto"/>
          <w:szCs w:val="21"/>
          <w:highlight w:val="none"/>
          <w:lang w:val="en-US" w:eastAsia="zh-CN"/>
        </w:rPr>
        <w:t>14</w:t>
      </w:r>
      <w:r>
        <w:rPr>
          <w:rFonts w:ascii="Arial" w:hAnsi="Arial" w:eastAsia="宋体" w:cs="Arial"/>
          <w:bCs/>
          <w:color w:val="auto"/>
          <w:szCs w:val="21"/>
          <w:highlight w:val="none"/>
        </w:rPr>
        <w:t>时30分止</w:t>
      </w:r>
    </w:p>
    <w:p w14:paraId="2A0BEA63">
      <w:pPr>
        <w:adjustRightInd w:val="0"/>
        <w:snapToGrid w:val="0"/>
        <w:spacing w:after="0" w:line="288"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首次响应文件提交地点：</w:t>
      </w:r>
      <w:r>
        <w:rPr>
          <w:rFonts w:hint="eastAsia" w:ascii="Arial" w:hAnsi="Arial" w:eastAsia="宋体" w:cs="Arial"/>
          <w:color w:val="auto"/>
          <w:szCs w:val="21"/>
          <w:highlight w:val="none"/>
        </w:rPr>
        <w:t>广西机电设备招标有限公司桂林分公司</w:t>
      </w:r>
      <w:r>
        <w:rPr>
          <w:rFonts w:hint="eastAsia" w:ascii="Arial" w:hAnsi="Arial" w:eastAsia="宋体" w:cs="Arial"/>
          <w:color w:val="auto"/>
          <w:szCs w:val="21"/>
          <w:highlight w:val="none"/>
          <w:lang w:val="en-US" w:eastAsia="zh-CN"/>
        </w:rPr>
        <w:t>开标室</w:t>
      </w:r>
    </w:p>
    <w:p w14:paraId="23298B29">
      <w:pPr>
        <w:adjustRightInd w:val="0"/>
        <w:snapToGrid w:val="0"/>
        <w:spacing w:line="312" w:lineRule="auto"/>
        <w:ind w:firstLine="420" w:firstLineChars="200"/>
        <w:rPr>
          <w:rFonts w:ascii="Arial" w:hAnsi="Arial" w:eastAsia="宋体" w:cs="Arial"/>
          <w:bCs/>
          <w:color w:val="auto"/>
          <w:szCs w:val="21"/>
          <w:highlight w:val="none"/>
        </w:rPr>
      </w:pPr>
      <w:r>
        <w:rPr>
          <w:rFonts w:ascii="Arial" w:hAnsi="Arial" w:eastAsia="宋体" w:cs="Arial"/>
          <w:bCs/>
          <w:color w:val="auto"/>
          <w:szCs w:val="21"/>
          <w:highlight w:val="none"/>
        </w:rPr>
        <w:t>注：供应商应当在首次响应文件提交截止时间前，</w:t>
      </w:r>
      <w:r>
        <w:rPr>
          <w:rFonts w:ascii="Arial" w:hAnsi="Arial" w:eastAsia="宋体" w:cs="Arial"/>
          <w:b/>
          <w:color w:val="auto"/>
          <w:szCs w:val="21"/>
          <w:highlight w:val="none"/>
        </w:rPr>
        <w:t>授权代表</w:t>
      </w:r>
      <w:r>
        <w:rPr>
          <w:rFonts w:ascii="Arial" w:hAnsi="Arial" w:eastAsia="宋体" w:cs="Arial"/>
          <w:b/>
          <w:bCs/>
          <w:color w:val="auto"/>
          <w:kern w:val="0"/>
          <w:szCs w:val="21"/>
          <w:highlight w:val="none"/>
        </w:rPr>
        <w:t>携带授权委托书及身份证原件（法定代表人携带法定代表人身份证原件与法定代表人身份证明原件）</w:t>
      </w:r>
      <w:r>
        <w:rPr>
          <w:rFonts w:ascii="Arial" w:hAnsi="Arial" w:eastAsia="宋体" w:cs="Arial"/>
          <w:bCs/>
          <w:color w:val="auto"/>
          <w:szCs w:val="21"/>
          <w:highlight w:val="none"/>
        </w:rPr>
        <w:t>将响应文件密封送达首次响应文件提交地点。在首次响应文件提交截止时间后送达的响应文件为无效文件，采购代理机构应当拒收。</w:t>
      </w:r>
    </w:p>
    <w:p w14:paraId="29A1D209">
      <w:pPr>
        <w:adjustRightInd w:val="0"/>
        <w:snapToGrid w:val="0"/>
        <w:spacing w:line="312" w:lineRule="auto"/>
        <w:ind w:firstLine="422" w:firstLineChars="200"/>
        <w:rPr>
          <w:rFonts w:ascii="Arial" w:hAnsi="Arial" w:eastAsia="宋体" w:cs="Arial"/>
          <w:b/>
          <w:bCs/>
          <w:color w:val="auto"/>
          <w:szCs w:val="21"/>
          <w:highlight w:val="none"/>
        </w:rPr>
      </w:pPr>
      <w:bookmarkStart w:id="4" w:name="_Toc35393633"/>
      <w:bookmarkStart w:id="5" w:name="_Toc35393802"/>
      <w:bookmarkStart w:id="6" w:name="_Toc28359016"/>
      <w:bookmarkStart w:id="7" w:name="_Toc28359093"/>
      <w:r>
        <w:rPr>
          <w:rFonts w:ascii="Arial" w:hAnsi="Arial" w:eastAsia="宋体" w:cs="Arial"/>
          <w:b/>
          <w:bCs/>
          <w:color w:val="auto"/>
          <w:szCs w:val="21"/>
          <w:highlight w:val="none"/>
        </w:rPr>
        <w:t>六、</w:t>
      </w:r>
      <w:bookmarkEnd w:id="4"/>
      <w:bookmarkEnd w:id="5"/>
      <w:bookmarkEnd w:id="6"/>
      <w:bookmarkEnd w:id="7"/>
      <w:r>
        <w:rPr>
          <w:rFonts w:ascii="Arial" w:hAnsi="Arial" w:eastAsia="宋体" w:cs="Arial"/>
          <w:b/>
          <w:bCs/>
          <w:color w:val="auto"/>
          <w:szCs w:val="21"/>
          <w:highlight w:val="none"/>
        </w:rPr>
        <w:t>响应文件开启时间、谈判时间及地点</w:t>
      </w:r>
    </w:p>
    <w:p w14:paraId="08436BAD">
      <w:pPr>
        <w:adjustRightInd w:val="0"/>
        <w:snapToGrid w:val="0"/>
        <w:spacing w:line="312" w:lineRule="auto"/>
        <w:ind w:firstLine="420" w:firstLineChars="200"/>
        <w:rPr>
          <w:rFonts w:ascii="Arial" w:hAnsi="Arial" w:eastAsia="宋体" w:cs="Arial"/>
          <w:color w:val="auto"/>
          <w:szCs w:val="21"/>
          <w:highlight w:val="none"/>
        </w:rPr>
      </w:pPr>
      <w:r>
        <w:rPr>
          <w:rFonts w:ascii="Arial" w:hAnsi="Arial" w:eastAsia="宋体" w:cs="Arial"/>
          <w:bCs/>
          <w:color w:val="auto"/>
          <w:szCs w:val="21"/>
          <w:highlight w:val="none"/>
        </w:rPr>
        <w:t>响应文件开启时间</w:t>
      </w:r>
      <w:r>
        <w:rPr>
          <w:rFonts w:ascii="Arial" w:hAnsi="Arial" w:eastAsia="宋体" w:cs="Arial"/>
          <w:color w:val="auto"/>
          <w:szCs w:val="21"/>
          <w:highlight w:val="none"/>
        </w:rPr>
        <w:t>：首次响应文件提交截止时间后</w:t>
      </w:r>
    </w:p>
    <w:p w14:paraId="10889806">
      <w:pPr>
        <w:adjustRightInd w:val="0"/>
        <w:snapToGrid w:val="0"/>
        <w:spacing w:line="312" w:lineRule="auto"/>
        <w:ind w:firstLine="420" w:firstLineChars="200"/>
        <w:rPr>
          <w:rFonts w:ascii="Arial" w:hAnsi="Arial" w:eastAsia="宋体" w:cs="Arial"/>
          <w:color w:val="auto"/>
          <w:szCs w:val="21"/>
          <w:highlight w:val="none"/>
        </w:rPr>
      </w:pPr>
      <w:r>
        <w:rPr>
          <w:rFonts w:ascii="Arial" w:hAnsi="Arial" w:eastAsia="宋体" w:cs="Arial"/>
          <w:bCs/>
          <w:color w:val="auto"/>
          <w:szCs w:val="21"/>
          <w:highlight w:val="none"/>
        </w:rPr>
        <w:t>谈判时间：</w:t>
      </w:r>
      <w:r>
        <w:rPr>
          <w:rFonts w:ascii="Arial" w:hAnsi="Arial" w:eastAsia="宋体" w:cs="Arial"/>
          <w:color w:val="auto"/>
          <w:szCs w:val="21"/>
          <w:highlight w:val="none"/>
        </w:rPr>
        <w:t>首次响应文件提交截止时间后（具体时间由采购代理机构另行通知）</w:t>
      </w:r>
    </w:p>
    <w:p w14:paraId="5E3D15B3">
      <w:pPr>
        <w:adjustRightInd w:val="0"/>
        <w:snapToGrid w:val="0"/>
        <w:spacing w:line="312" w:lineRule="auto"/>
        <w:ind w:firstLine="420" w:firstLineChars="200"/>
        <w:rPr>
          <w:rFonts w:ascii="Arial" w:hAnsi="Arial" w:eastAsia="宋体" w:cs="Arial"/>
          <w:bCs/>
          <w:color w:val="auto"/>
          <w:szCs w:val="21"/>
          <w:highlight w:val="none"/>
        </w:rPr>
      </w:pPr>
      <w:r>
        <w:rPr>
          <w:rFonts w:ascii="Arial" w:hAnsi="Arial" w:eastAsia="宋体" w:cs="Arial"/>
          <w:color w:val="auto"/>
          <w:szCs w:val="21"/>
          <w:highlight w:val="none"/>
        </w:rPr>
        <w:t>地点：</w:t>
      </w:r>
      <w:r>
        <w:rPr>
          <w:rFonts w:hint="eastAsia" w:ascii="Arial" w:hAnsi="Arial" w:eastAsia="宋体" w:cs="Arial"/>
          <w:color w:val="auto"/>
          <w:szCs w:val="21"/>
          <w:highlight w:val="none"/>
          <w:lang w:eastAsia="zh-CN"/>
        </w:rPr>
        <w:t>广西机电设备招标有限公司</w:t>
      </w:r>
      <w:r>
        <w:rPr>
          <w:rFonts w:hint="eastAsia" w:ascii="Arial" w:hAnsi="Arial" w:eastAsia="宋体" w:cs="Arial"/>
          <w:color w:val="auto"/>
          <w:szCs w:val="21"/>
          <w:highlight w:val="none"/>
        </w:rPr>
        <w:t>桂林分公司</w:t>
      </w:r>
      <w:r>
        <w:rPr>
          <w:rFonts w:hint="eastAsia" w:ascii="Arial" w:hAnsi="Arial" w:eastAsia="宋体" w:cs="Arial"/>
          <w:color w:val="auto"/>
          <w:szCs w:val="21"/>
          <w:highlight w:val="none"/>
          <w:lang w:val="en-US" w:eastAsia="zh-CN"/>
        </w:rPr>
        <w:t>评标室</w:t>
      </w:r>
    </w:p>
    <w:p w14:paraId="7004E383">
      <w:pPr>
        <w:adjustRightInd w:val="0"/>
        <w:snapToGrid w:val="0"/>
        <w:spacing w:line="312" w:lineRule="auto"/>
        <w:ind w:firstLine="422" w:firstLineChars="200"/>
        <w:rPr>
          <w:rFonts w:ascii="Arial" w:hAnsi="Arial" w:eastAsia="宋体" w:cs="Arial"/>
          <w:b/>
          <w:bCs/>
          <w:color w:val="auto"/>
          <w:szCs w:val="21"/>
          <w:highlight w:val="none"/>
        </w:rPr>
      </w:pPr>
      <w:bookmarkStart w:id="8" w:name="_Toc35393803"/>
      <w:bookmarkStart w:id="9" w:name="_Toc28359017"/>
      <w:bookmarkStart w:id="10" w:name="_Toc35393634"/>
      <w:bookmarkStart w:id="11" w:name="_Toc28359094"/>
      <w:r>
        <w:rPr>
          <w:rFonts w:ascii="Arial" w:hAnsi="Arial" w:eastAsia="宋体" w:cs="Arial"/>
          <w:b/>
          <w:bCs/>
          <w:color w:val="auto"/>
          <w:szCs w:val="21"/>
          <w:highlight w:val="none"/>
        </w:rPr>
        <w:t>七、公告期限</w:t>
      </w:r>
      <w:bookmarkEnd w:id="8"/>
      <w:bookmarkEnd w:id="9"/>
      <w:bookmarkEnd w:id="10"/>
      <w:bookmarkEnd w:id="11"/>
    </w:p>
    <w:p w14:paraId="6AA1B3BC">
      <w:pPr>
        <w:adjustRightInd w:val="0"/>
        <w:snapToGrid w:val="0"/>
        <w:spacing w:line="312" w:lineRule="auto"/>
        <w:ind w:firstLine="420" w:firstLineChars="200"/>
        <w:rPr>
          <w:rFonts w:ascii="Arial" w:hAnsi="Arial" w:eastAsia="宋体" w:cs="Arial"/>
          <w:color w:val="auto"/>
          <w:kern w:val="0"/>
          <w:szCs w:val="21"/>
          <w:highlight w:val="none"/>
        </w:rPr>
      </w:pPr>
      <w:r>
        <w:rPr>
          <w:rFonts w:ascii="Arial" w:hAnsi="Arial" w:eastAsia="宋体" w:cs="Arial"/>
          <w:color w:val="auto"/>
          <w:kern w:val="0"/>
          <w:szCs w:val="21"/>
          <w:highlight w:val="none"/>
        </w:rPr>
        <w:t>自本公告发布之日起3个工作日。</w:t>
      </w:r>
    </w:p>
    <w:p w14:paraId="7DD6866D">
      <w:pPr>
        <w:adjustRightInd w:val="0"/>
        <w:snapToGrid w:val="0"/>
        <w:spacing w:line="312" w:lineRule="auto"/>
        <w:ind w:firstLine="422" w:firstLineChars="200"/>
        <w:rPr>
          <w:rFonts w:ascii="Arial" w:hAnsi="Arial" w:eastAsia="宋体" w:cs="Arial"/>
          <w:b/>
          <w:bCs/>
          <w:color w:val="auto"/>
          <w:szCs w:val="21"/>
          <w:highlight w:val="none"/>
        </w:rPr>
      </w:pPr>
      <w:r>
        <w:rPr>
          <w:rFonts w:ascii="Arial" w:hAnsi="Arial" w:eastAsia="宋体" w:cs="Arial"/>
          <w:b/>
          <w:bCs/>
          <w:color w:val="auto"/>
          <w:szCs w:val="21"/>
          <w:highlight w:val="none"/>
        </w:rPr>
        <w:t>八、其他补充事宜</w:t>
      </w:r>
    </w:p>
    <w:p w14:paraId="2A843595">
      <w:pPr>
        <w:tabs>
          <w:tab w:val="left" w:pos="410"/>
        </w:tabs>
        <w:snapToGrid w:val="0"/>
        <w:spacing w:line="312" w:lineRule="auto"/>
        <w:ind w:firstLine="420" w:firstLineChars="200"/>
        <w:rPr>
          <w:rFonts w:ascii="Arial" w:hAnsi="Arial" w:eastAsia="宋体" w:cs="Arial"/>
          <w:color w:val="auto"/>
          <w:kern w:val="0"/>
          <w:szCs w:val="21"/>
          <w:highlight w:val="none"/>
        </w:rPr>
      </w:pPr>
      <w:bookmarkStart w:id="12" w:name="_Toc28359018"/>
      <w:bookmarkStart w:id="13" w:name="_Toc28359095"/>
      <w:bookmarkStart w:id="14" w:name="_Toc35393805"/>
      <w:bookmarkStart w:id="15" w:name="_Toc35393636"/>
      <w:r>
        <w:rPr>
          <w:rFonts w:ascii="Arial" w:hAnsi="Arial" w:eastAsia="宋体" w:cs="Arial"/>
          <w:color w:val="auto"/>
          <w:kern w:val="0"/>
          <w:szCs w:val="21"/>
          <w:highlight w:val="none"/>
        </w:rPr>
        <w:t>公告媒体：中国招标投标公共服务平台（http://www.cebpubservice.com/）。</w:t>
      </w:r>
    </w:p>
    <w:p w14:paraId="31ADCC7A">
      <w:pPr>
        <w:adjustRightInd w:val="0"/>
        <w:snapToGrid w:val="0"/>
        <w:spacing w:line="312" w:lineRule="auto"/>
        <w:ind w:firstLine="422" w:firstLineChars="200"/>
        <w:rPr>
          <w:rFonts w:ascii="Arial" w:hAnsi="Arial" w:eastAsia="宋体" w:cs="Arial"/>
          <w:b/>
          <w:bCs/>
          <w:color w:val="auto"/>
          <w:szCs w:val="21"/>
          <w:highlight w:val="none"/>
        </w:rPr>
      </w:pPr>
      <w:r>
        <w:rPr>
          <w:rFonts w:ascii="Arial" w:hAnsi="Arial" w:eastAsia="宋体" w:cs="Arial"/>
          <w:b/>
          <w:bCs/>
          <w:color w:val="auto"/>
          <w:szCs w:val="21"/>
          <w:highlight w:val="none"/>
        </w:rPr>
        <w:t>九、凡对本次采购提出询问，请按以下方式联系</w:t>
      </w:r>
      <w:bookmarkEnd w:id="12"/>
      <w:bookmarkEnd w:id="13"/>
      <w:bookmarkEnd w:id="14"/>
      <w:bookmarkEnd w:id="15"/>
      <w:r>
        <w:rPr>
          <w:rFonts w:ascii="Arial" w:hAnsi="Arial" w:eastAsia="宋体" w:cs="Arial"/>
          <w:b/>
          <w:bCs/>
          <w:color w:val="auto"/>
          <w:szCs w:val="21"/>
          <w:highlight w:val="none"/>
        </w:rPr>
        <w:t>：</w:t>
      </w:r>
    </w:p>
    <w:p w14:paraId="36DCE761">
      <w:pPr>
        <w:adjustRightInd w:val="0"/>
        <w:snapToGrid w:val="0"/>
        <w:spacing w:line="312" w:lineRule="auto"/>
        <w:ind w:firstLine="420" w:firstLineChars="200"/>
        <w:rPr>
          <w:rFonts w:ascii="Arial" w:hAnsi="Arial" w:eastAsia="宋体" w:cs="Arial"/>
          <w:color w:val="auto"/>
          <w:szCs w:val="21"/>
          <w:highlight w:val="none"/>
        </w:rPr>
      </w:pPr>
      <w:bookmarkStart w:id="16" w:name="_Toc28359096"/>
      <w:bookmarkStart w:id="17" w:name="_Toc35393806"/>
      <w:bookmarkStart w:id="18" w:name="_Toc28359019"/>
      <w:bookmarkStart w:id="19" w:name="_Toc35393637"/>
      <w:r>
        <w:rPr>
          <w:rFonts w:ascii="Arial" w:hAnsi="Arial" w:eastAsia="宋体" w:cs="Arial"/>
          <w:color w:val="auto"/>
          <w:szCs w:val="21"/>
          <w:highlight w:val="none"/>
        </w:rPr>
        <w:t>1.采购人信息</w:t>
      </w:r>
      <w:bookmarkEnd w:id="16"/>
      <w:bookmarkEnd w:id="17"/>
      <w:bookmarkEnd w:id="18"/>
      <w:bookmarkEnd w:id="19"/>
    </w:p>
    <w:p w14:paraId="05DE5E0C">
      <w:pPr>
        <w:adjustRightInd w:val="0"/>
        <w:snapToGrid w:val="0"/>
        <w:spacing w:line="312"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名称：桂林理工大学</w:t>
      </w:r>
    </w:p>
    <w:p w14:paraId="6FC36E4B">
      <w:pPr>
        <w:adjustRightInd w:val="0"/>
        <w:snapToGrid w:val="0"/>
        <w:spacing w:line="312"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地址：广西桂林市建干路12号</w:t>
      </w:r>
    </w:p>
    <w:p w14:paraId="05BB0A69">
      <w:pPr>
        <w:adjustRightInd w:val="0"/>
        <w:snapToGrid w:val="0"/>
        <w:spacing w:line="312"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联系方式：0773-5895090</w:t>
      </w:r>
    </w:p>
    <w:p w14:paraId="23C15877">
      <w:pPr>
        <w:adjustRightInd w:val="0"/>
        <w:snapToGrid w:val="0"/>
        <w:spacing w:line="312" w:lineRule="auto"/>
        <w:ind w:firstLine="420" w:firstLineChars="200"/>
        <w:rPr>
          <w:rFonts w:ascii="Arial" w:hAnsi="Arial" w:eastAsia="宋体" w:cs="Arial"/>
          <w:color w:val="auto"/>
          <w:szCs w:val="21"/>
          <w:highlight w:val="none"/>
        </w:rPr>
      </w:pPr>
      <w:bookmarkStart w:id="20" w:name="_Toc35393638"/>
      <w:bookmarkStart w:id="21" w:name="_Toc28359020"/>
      <w:bookmarkStart w:id="22" w:name="_Toc35393807"/>
      <w:bookmarkStart w:id="23" w:name="_Toc28359097"/>
      <w:r>
        <w:rPr>
          <w:rFonts w:ascii="Arial" w:hAnsi="Arial" w:eastAsia="宋体" w:cs="Arial"/>
          <w:color w:val="auto"/>
          <w:szCs w:val="21"/>
          <w:highlight w:val="none"/>
        </w:rPr>
        <w:t>2.采购代理机构信息</w:t>
      </w:r>
      <w:bookmarkEnd w:id="20"/>
      <w:bookmarkEnd w:id="21"/>
      <w:bookmarkEnd w:id="22"/>
      <w:bookmarkEnd w:id="23"/>
    </w:p>
    <w:p w14:paraId="1FC37117">
      <w:pPr>
        <w:adjustRightInd w:val="0"/>
        <w:snapToGrid w:val="0"/>
        <w:spacing w:line="312" w:lineRule="auto"/>
        <w:ind w:firstLine="420" w:firstLineChars="200"/>
        <w:rPr>
          <w:rFonts w:hint="eastAsia" w:ascii="Arial" w:hAnsi="Arial" w:eastAsia="宋体" w:cs="Arial"/>
          <w:color w:val="auto"/>
          <w:szCs w:val="21"/>
          <w:highlight w:val="none"/>
          <w:lang w:eastAsia="zh-CN"/>
        </w:rPr>
      </w:pPr>
      <w:r>
        <w:rPr>
          <w:rFonts w:ascii="Arial" w:hAnsi="Arial" w:eastAsia="宋体" w:cs="Arial"/>
          <w:color w:val="auto"/>
          <w:szCs w:val="21"/>
          <w:highlight w:val="none"/>
        </w:rPr>
        <w:t>名称：</w:t>
      </w:r>
      <w:r>
        <w:rPr>
          <w:rFonts w:hint="eastAsia" w:ascii="Arial" w:hAnsi="Arial" w:eastAsia="宋体" w:cs="Arial"/>
          <w:color w:val="auto"/>
          <w:szCs w:val="21"/>
          <w:highlight w:val="none"/>
          <w:lang w:eastAsia="zh-CN"/>
        </w:rPr>
        <w:t>广西机电设备招标有限公司</w:t>
      </w:r>
    </w:p>
    <w:p w14:paraId="40285B44">
      <w:pPr>
        <w:adjustRightInd w:val="0"/>
        <w:snapToGrid w:val="0"/>
        <w:spacing w:after="0" w:line="288" w:lineRule="auto"/>
        <w:ind w:firstLine="420" w:firstLineChars="200"/>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地址：桂林市骖鸾路31号湘商大厦6楼603（桂林分公司）</w:t>
      </w:r>
    </w:p>
    <w:p w14:paraId="49CDC4A5">
      <w:pPr>
        <w:adjustRightInd w:val="0"/>
        <w:snapToGrid w:val="0"/>
        <w:spacing w:after="0" w:line="288" w:lineRule="auto"/>
        <w:ind w:firstLine="420" w:firstLineChars="200"/>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项目联系人：曾昭卉</w:t>
      </w:r>
    </w:p>
    <w:p w14:paraId="1718BE2F">
      <w:pPr>
        <w:adjustRightInd w:val="0"/>
        <w:snapToGrid w:val="0"/>
        <w:spacing w:after="0" w:line="288" w:lineRule="auto"/>
        <w:ind w:firstLine="420" w:firstLineChars="200"/>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联系方式：0773-3696789转2</w:t>
      </w:r>
    </w:p>
    <w:p w14:paraId="327E8488">
      <w:pPr>
        <w:adjustRightInd w:val="0"/>
        <w:snapToGrid w:val="0"/>
        <w:spacing w:line="312" w:lineRule="auto"/>
        <w:jc w:val="right"/>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广西机电设备招标有限公司</w:t>
      </w:r>
    </w:p>
    <w:p w14:paraId="3E9CABBC">
      <w:pPr>
        <w:adjustRightInd w:val="0"/>
        <w:snapToGrid w:val="0"/>
        <w:spacing w:line="312" w:lineRule="auto"/>
        <w:jc w:val="right"/>
        <w:rPr>
          <w:rFonts w:ascii="Arial" w:hAnsi="Arial" w:eastAsia="宋体" w:cs="Arial"/>
          <w:color w:val="auto"/>
          <w:szCs w:val="21"/>
          <w:highlight w:val="none"/>
        </w:rPr>
        <w:sectPr>
          <w:footerReference r:id="rId6" w:type="first"/>
          <w:footerReference r:id="rId5" w:type="default"/>
          <w:pgSz w:w="11906" w:h="16838"/>
          <w:pgMar w:top="1417" w:right="1417" w:bottom="1417" w:left="1417" w:header="680" w:footer="907" w:gutter="0"/>
          <w:pgNumType w:start="1"/>
          <w:cols w:space="720" w:num="1"/>
          <w:titlePg/>
          <w:docGrid w:linePitch="271" w:charSpace="0"/>
        </w:sectPr>
      </w:pPr>
      <w:r>
        <w:rPr>
          <w:rFonts w:ascii="Arial" w:hAnsi="Arial" w:eastAsia="宋体" w:cs="Arial"/>
          <w:color w:val="auto"/>
          <w:szCs w:val="21"/>
          <w:highlight w:val="none"/>
        </w:rPr>
        <w:t>2024年</w:t>
      </w:r>
      <w:r>
        <w:rPr>
          <w:rFonts w:hint="eastAsia" w:ascii="Arial" w:hAnsi="Arial" w:eastAsia="宋体" w:cs="Arial"/>
          <w:color w:val="auto"/>
          <w:szCs w:val="21"/>
          <w:highlight w:val="none"/>
          <w:lang w:val="en-US" w:eastAsia="zh-CN"/>
        </w:rPr>
        <w:t>8</w:t>
      </w:r>
      <w:r>
        <w:rPr>
          <w:rFonts w:ascii="Arial" w:hAnsi="Arial" w:eastAsia="宋体" w:cs="Arial"/>
          <w:color w:val="auto"/>
          <w:szCs w:val="21"/>
          <w:highlight w:val="none"/>
        </w:rPr>
        <w:t>月</w:t>
      </w:r>
      <w:r>
        <w:rPr>
          <w:rFonts w:hint="eastAsia" w:ascii="Arial" w:hAnsi="Arial" w:eastAsia="宋体" w:cs="Arial"/>
          <w:color w:val="auto"/>
          <w:szCs w:val="21"/>
          <w:highlight w:val="none"/>
          <w:lang w:val="en-US" w:eastAsia="zh-CN"/>
        </w:rPr>
        <w:t>19</w:t>
      </w:r>
      <w:r>
        <w:rPr>
          <w:rFonts w:ascii="Arial" w:hAnsi="Arial" w:eastAsia="宋体" w:cs="Arial"/>
          <w:color w:val="auto"/>
          <w:szCs w:val="21"/>
          <w:highlight w:val="none"/>
        </w:rPr>
        <w:t>日</w:t>
      </w:r>
    </w:p>
    <w:p w14:paraId="63C4FC5D">
      <w:pPr>
        <w:pStyle w:val="2"/>
        <w:ind w:left="1080" w:hanging="1080"/>
        <w:jc w:val="center"/>
        <w:rPr>
          <w:rFonts w:ascii="Arial" w:hAnsi="Arial" w:eastAsia="宋体" w:cs="Arial"/>
          <w:color w:val="auto"/>
          <w:sz w:val="32"/>
          <w:szCs w:val="32"/>
          <w:highlight w:val="none"/>
        </w:rPr>
      </w:pPr>
      <w:bookmarkStart w:id="24" w:name="_Toc20458"/>
      <w:bookmarkStart w:id="25" w:name="_Toc10921"/>
      <w:r>
        <w:rPr>
          <w:rFonts w:ascii="Arial" w:hAnsi="Arial" w:eastAsia="宋体" w:cs="Arial"/>
          <w:color w:val="auto"/>
          <w:sz w:val="32"/>
          <w:szCs w:val="32"/>
          <w:highlight w:val="none"/>
        </w:rPr>
        <w:t>第二章</w:t>
      </w:r>
      <w:r>
        <w:rPr>
          <w:rFonts w:hint="eastAsia" w:ascii="Arial" w:hAnsi="Arial" w:eastAsia="宋体" w:cs="Arial"/>
          <w:color w:val="auto"/>
          <w:sz w:val="32"/>
          <w:szCs w:val="32"/>
          <w:highlight w:val="none"/>
        </w:rPr>
        <w:t xml:space="preserve"> </w:t>
      </w:r>
      <w:r>
        <w:rPr>
          <w:rStyle w:val="36"/>
          <w:rFonts w:ascii="Arial" w:hAnsi="Arial" w:eastAsia="宋体" w:cs="Arial"/>
          <w:b/>
          <w:bCs/>
          <w:color w:val="auto"/>
          <w:highlight w:val="none"/>
        </w:rPr>
        <w:t>供应商须知</w:t>
      </w:r>
      <w:bookmarkEnd w:id="24"/>
      <w:bookmarkEnd w:id="25"/>
    </w:p>
    <w:p w14:paraId="29C5D5B3">
      <w:pPr>
        <w:tabs>
          <w:tab w:val="left" w:pos="1065"/>
          <w:tab w:val="center" w:pos="4411"/>
        </w:tabs>
        <w:spacing w:line="340" w:lineRule="exact"/>
        <w:jc w:val="center"/>
        <w:rPr>
          <w:rFonts w:ascii="Arial" w:hAnsi="Arial" w:eastAsia="宋体" w:cs="Arial"/>
          <w:b/>
          <w:color w:val="auto"/>
          <w:sz w:val="24"/>
          <w:highlight w:val="none"/>
        </w:rPr>
      </w:pPr>
      <w:r>
        <w:rPr>
          <w:rFonts w:ascii="Arial" w:hAnsi="Arial" w:eastAsia="宋体" w:cs="Arial"/>
          <w:b/>
          <w:color w:val="auto"/>
          <w:sz w:val="24"/>
          <w:highlight w:val="none"/>
        </w:rPr>
        <w:t>供 应 商 须 知 前 附 表</w:t>
      </w:r>
    </w:p>
    <w:tbl>
      <w:tblPr>
        <w:tblStyle w:val="24"/>
        <w:tblW w:w="986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77"/>
        <w:gridCol w:w="1549"/>
        <w:gridCol w:w="6612"/>
      </w:tblGrid>
      <w:tr w14:paraId="33E3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28" w:type="dxa"/>
            <w:vAlign w:val="center"/>
          </w:tcPr>
          <w:p w14:paraId="14C1219F">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序号</w:t>
            </w:r>
          </w:p>
        </w:tc>
        <w:tc>
          <w:tcPr>
            <w:tcW w:w="877" w:type="dxa"/>
            <w:vAlign w:val="center"/>
          </w:tcPr>
          <w:p w14:paraId="488F4BAA">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条款号</w:t>
            </w:r>
          </w:p>
        </w:tc>
        <w:tc>
          <w:tcPr>
            <w:tcW w:w="1549" w:type="dxa"/>
            <w:vAlign w:val="center"/>
          </w:tcPr>
          <w:p w14:paraId="1040E52E">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条款名称</w:t>
            </w:r>
          </w:p>
        </w:tc>
        <w:tc>
          <w:tcPr>
            <w:tcW w:w="6612" w:type="dxa"/>
            <w:vAlign w:val="center"/>
          </w:tcPr>
          <w:p w14:paraId="087E4AC8">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内容、要求</w:t>
            </w:r>
          </w:p>
        </w:tc>
      </w:tr>
      <w:tr w14:paraId="1F87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8" w:type="dxa"/>
            <w:vAlign w:val="center"/>
          </w:tcPr>
          <w:p w14:paraId="0F058CCF">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877" w:type="dxa"/>
            <w:vAlign w:val="center"/>
          </w:tcPr>
          <w:p w14:paraId="55025103">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1.1</w:t>
            </w:r>
          </w:p>
        </w:tc>
        <w:tc>
          <w:tcPr>
            <w:tcW w:w="1549" w:type="dxa"/>
            <w:vAlign w:val="center"/>
          </w:tcPr>
          <w:p w14:paraId="0AA66B62">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项目名称及项目编号</w:t>
            </w:r>
          </w:p>
        </w:tc>
        <w:tc>
          <w:tcPr>
            <w:tcW w:w="6612" w:type="dxa"/>
          </w:tcPr>
          <w:p w14:paraId="55D27DF5">
            <w:pPr>
              <w:snapToGrid w:val="0"/>
              <w:spacing w:line="300" w:lineRule="auto"/>
              <w:rPr>
                <w:rFonts w:ascii="Arial" w:hAnsi="Arial" w:eastAsia="宋体" w:cs="Arial"/>
                <w:color w:val="auto"/>
                <w:highlight w:val="none"/>
              </w:rPr>
            </w:pPr>
            <w:r>
              <w:rPr>
                <w:rFonts w:ascii="Arial" w:hAnsi="Arial" w:eastAsia="宋体" w:cs="Arial"/>
                <w:color w:val="auto"/>
                <w:szCs w:val="21"/>
                <w:highlight w:val="none"/>
              </w:rPr>
              <w:t>项目名称：</w:t>
            </w:r>
            <w:r>
              <w:rPr>
                <w:rFonts w:hint="eastAsia" w:ascii="Arial" w:hAnsi="Arial" w:eastAsia="宋体" w:cs="Arial"/>
                <w:color w:val="auto"/>
                <w:highlight w:val="none"/>
              </w:rPr>
              <w:t>材料学院虚拟仿真实验教学中心建设设备采购项目</w:t>
            </w:r>
          </w:p>
          <w:p w14:paraId="794CC50E">
            <w:pPr>
              <w:snapToGrid w:val="0"/>
              <w:spacing w:line="300" w:lineRule="auto"/>
              <w:rPr>
                <w:rFonts w:hint="eastAsia" w:ascii="Arial" w:hAnsi="Arial" w:eastAsia="宋体" w:cs="Arial"/>
                <w:color w:val="auto"/>
                <w:highlight w:val="none"/>
                <w:lang w:eastAsia="zh-CN"/>
              </w:rPr>
            </w:pPr>
            <w:r>
              <w:rPr>
                <w:rFonts w:ascii="Arial" w:hAnsi="Arial" w:eastAsia="宋体" w:cs="Arial"/>
                <w:color w:val="auto"/>
                <w:szCs w:val="21"/>
                <w:highlight w:val="none"/>
              </w:rPr>
              <w:t>项目编号：</w:t>
            </w:r>
            <w:r>
              <w:rPr>
                <w:rFonts w:hint="eastAsia" w:ascii="Arial" w:hAnsi="Arial" w:eastAsia="宋体" w:cs="Arial"/>
                <w:color w:val="auto"/>
                <w:szCs w:val="21"/>
                <w:highlight w:val="none"/>
                <w:lang w:eastAsia="zh-CN"/>
              </w:rPr>
              <w:t>GXJD-24114CC031368</w:t>
            </w:r>
          </w:p>
        </w:tc>
      </w:tr>
      <w:tr w14:paraId="5A96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trPr>
        <w:tc>
          <w:tcPr>
            <w:tcW w:w="828" w:type="dxa"/>
            <w:vAlign w:val="center"/>
          </w:tcPr>
          <w:p w14:paraId="41BE0AB2">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2</w:t>
            </w:r>
          </w:p>
        </w:tc>
        <w:tc>
          <w:tcPr>
            <w:tcW w:w="877" w:type="dxa"/>
            <w:vAlign w:val="center"/>
          </w:tcPr>
          <w:p w14:paraId="16FB3D10">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3</w:t>
            </w:r>
          </w:p>
        </w:tc>
        <w:tc>
          <w:tcPr>
            <w:tcW w:w="1549" w:type="dxa"/>
            <w:vAlign w:val="center"/>
          </w:tcPr>
          <w:p w14:paraId="3D79D7C8">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供应商资格</w:t>
            </w:r>
          </w:p>
        </w:tc>
        <w:tc>
          <w:tcPr>
            <w:tcW w:w="6612" w:type="dxa"/>
            <w:vAlign w:val="center"/>
          </w:tcPr>
          <w:p w14:paraId="57182474">
            <w:pPr>
              <w:tabs>
                <w:tab w:val="left" w:pos="1635"/>
              </w:tabs>
              <w:snapToGrid w:val="0"/>
              <w:spacing w:line="300" w:lineRule="auto"/>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3.1符合《中华人民共和国政府采购法》第二十二条规定。</w:t>
            </w:r>
          </w:p>
          <w:p w14:paraId="182549C2">
            <w:pPr>
              <w:tabs>
                <w:tab w:val="left" w:pos="1635"/>
              </w:tabs>
              <w:snapToGrid w:val="0"/>
              <w:spacing w:line="300" w:lineRule="auto"/>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3.2供应商的特定资格要求：</w:t>
            </w:r>
            <w:r>
              <w:rPr>
                <w:rFonts w:hint="eastAsia" w:ascii="Arial" w:hAnsi="Arial" w:eastAsia="宋体" w:cs="Arial"/>
                <w:b/>
                <w:bCs/>
                <w:color w:val="auto"/>
                <w:highlight w:val="none"/>
              </w:rPr>
              <w:t>本项目非专门面向中小微企业采购</w:t>
            </w:r>
            <w:r>
              <w:rPr>
                <w:rFonts w:ascii="Arial" w:hAnsi="Arial" w:eastAsia="宋体" w:cs="Arial"/>
                <w:b/>
                <w:bCs/>
                <w:color w:val="auto"/>
                <w:highlight w:val="none"/>
              </w:rPr>
              <w:t>。</w:t>
            </w:r>
          </w:p>
          <w:p w14:paraId="733BC6D6">
            <w:pPr>
              <w:snapToGrid w:val="0"/>
              <w:spacing w:line="300" w:lineRule="auto"/>
              <w:rPr>
                <w:rFonts w:ascii="Arial" w:hAnsi="Arial" w:eastAsia="宋体" w:cs="Arial"/>
                <w:color w:val="auto"/>
                <w:kern w:val="0"/>
                <w:szCs w:val="21"/>
                <w:highlight w:val="none"/>
              </w:rPr>
            </w:pPr>
            <w:r>
              <w:rPr>
                <w:rFonts w:ascii="Arial" w:hAnsi="Arial" w:eastAsia="宋体" w:cs="Arial"/>
                <w:color w:val="auto"/>
                <w:kern w:val="0"/>
                <w:szCs w:val="21"/>
                <w:highlight w:val="none"/>
              </w:rPr>
              <w:t>3.3.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1274FA38">
            <w:pPr>
              <w:snapToGrid w:val="0"/>
              <w:spacing w:line="300" w:lineRule="auto"/>
              <w:rPr>
                <w:rFonts w:ascii="Arial" w:hAnsi="Arial" w:eastAsia="宋体" w:cs="Arial"/>
                <w:color w:val="auto"/>
                <w:kern w:val="0"/>
                <w:szCs w:val="21"/>
                <w:highlight w:val="none"/>
              </w:rPr>
            </w:pPr>
            <w:r>
              <w:rPr>
                <w:rFonts w:ascii="Arial" w:hAnsi="Arial" w:eastAsia="宋体" w:cs="Arial"/>
                <w:color w:val="auto"/>
                <w:kern w:val="0"/>
                <w:szCs w:val="21"/>
                <w:highlight w:val="none"/>
              </w:rPr>
              <w:t>3.4.对在“信用中国”网站(www.creditchina.gov.cn)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采购活动。</w:t>
            </w:r>
          </w:p>
          <w:p w14:paraId="1B50121E">
            <w:pPr>
              <w:snapToGrid w:val="0"/>
              <w:spacing w:line="300" w:lineRule="auto"/>
              <w:rPr>
                <w:rFonts w:ascii="Arial" w:hAnsi="Arial" w:eastAsia="宋体" w:cs="Arial"/>
                <w:color w:val="auto"/>
                <w:highlight w:val="none"/>
              </w:rPr>
            </w:pPr>
            <w:r>
              <w:rPr>
                <w:rFonts w:ascii="Arial" w:hAnsi="Arial" w:eastAsia="宋体" w:cs="Arial"/>
                <w:color w:val="auto"/>
                <w:kern w:val="0"/>
                <w:szCs w:val="21"/>
                <w:highlight w:val="none"/>
              </w:rPr>
              <w:t>3.5.本项目不接受联合体参与谈判。</w:t>
            </w:r>
          </w:p>
        </w:tc>
      </w:tr>
      <w:tr w14:paraId="3BD0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28" w:type="dxa"/>
            <w:vAlign w:val="center"/>
          </w:tcPr>
          <w:p w14:paraId="51890522">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3</w:t>
            </w:r>
          </w:p>
        </w:tc>
        <w:tc>
          <w:tcPr>
            <w:tcW w:w="877" w:type="dxa"/>
            <w:vAlign w:val="center"/>
          </w:tcPr>
          <w:p w14:paraId="2107010C">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4</w:t>
            </w:r>
          </w:p>
        </w:tc>
        <w:tc>
          <w:tcPr>
            <w:tcW w:w="1549" w:type="dxa"/>
            <w:vAlign w:val="center"/>
          </w:tcPr>
          <w:p w14:paraId="240F436C">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谈判费用</w:t>
            </w:r>
          </w:p>
        </w:tc>
        <w:tc>
          <w:tcPr>
            <w:tcW w:w="6612" w:type="dxa"/>
            <w:vAlign w:val="center"/>
          </w:tcPr>
          <w:p w14:paraId="564C93F5">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 xml:space="preserve">不论谈判结果如何，供应商均应自行承担所有与谈判有关的全部费用。 </w:t>
            </w:r>
          </w:p>
        </w:tc>
      </w:tr>
      <w:tr w14:paraId="6EF3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Align w:val="center"/>
          </w:tcPr>
          <w:p w14:paraId="024A4231">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4</w:t>
            </w:r>
          </w:p>
        </w:tc>
        <w:tc>
          <w:tcPr>
            <w:tcW w:w="877" w:type="dxa"/>
            <w:vAlign w:val="center"/>
          </w:tcPr>
          <w:p w14:paraId="66460C19">
            <w:pPr>
              <w:snapToGrid w:val="0"/>
              <w:spacing w:line="300" w:lineRule="auto"/>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13</w:t>
            </w:r>
          </w:p>
        </w:tc>
        <w:tc>
          <w:tcPr>
            <w:tcW w:w="1549" w:type="dxa"/>
            <w:vAlign w:val="center"/>
          </w:tcPr>
          <w:p w14:paraId="3A990581">
            <w:pPr>
              <w:snapToGrid w:val="0"/>
              <w:spacing w:line="300" w:lineRule="auto"/>
              <w:jc w:val="center"/>
              <w:rPr>
                <w:rFonts w:ascii="Arial" w:hAnsi="Arial" w:eastAsia="宋体" w:cs="Arial"/>
                <w:color w:val="auto"/>
                <w:position w:val="-2"/>
                <w:szCs w:val="21"/>
                <w:highlight w:val="none"/>
              </w:rPr>
            </w:pPr>
            <w:r>
              <w:rPr>
                <w:rFonts w:ascii="Arial" w:hAnsi="Arial" w:eastAsia="宋体" w:cs="Arial"/>
                <w:color w:val="auto"/>
                <w:szCs w:val="21"/>
                <w:highlight w:val="none"/>
              </w:rPr>
              <w:t>谈判报价及</w:t>
            </w:r>
            <w:r>
              <w:rPr>
                <w:rFonts w:ascii="Arial" w:hAnsi="Arial" w:eastAsia="宋体" w:cs="Arial"/>
                <w:color w:val="auto"/>
                <w:position w:val="-2"/>
                <w:szCs w:val="21"/>
                <w:highlight w:val="none"/>
              </w:rPr>
              <w:t>采购预算金额</w:t>
            </w:r>
          </w:p>
        </w:tc>
        <w:tc>
          <w:tcPr>
            <w:tcW w:w="6612" w:type="dxa"/>
            <w:vAlign w:val="center"/>
          </w:tcPr>
          <w:p w14:paraId="4B9A8084">
            <w:pPr>
              <w:spacing w:line="340" w:lineRule="exact"/>
              <w:rPr>
                <w:rFonts w:ascii="Arial" w:hAnsi="Arial" w:eastAsia="宋体" w:cs="Arial"/>
                <w:color w:val="auto"/>
                <w:szCs w:val="21"/>
                <w:highlight w:val="none"/>
              </w:rPr>
            </w:pPr>
            <w:r>
              <w:rPr>
                <w:rFonts w:ascii="Arial" w:hAnsi="Arial" w:eastAsia="宋体" w:cs="Arial"/>
                <w:color w:val="auto"/>
                <w:szCs w:val="21"/>
                <w:highlight w:val="none"/>
              </w:rPr>
              <w:t>13.1 谈判报价必须按谈判文件中相关附件格式填写。</w:t>
            </w:r>
            <w:r>
              <w:rPr>
                <w:rFonts w:ascii="Arial" w:hAnsi="Arial" w:eastAsia="宋体" w:cs="Arial"/>
                <w:b/>
                <w:bCs/>
                <w:color w:val="auto"/>
                <w:szCs w:val="21"/>
                <w:highlight w:val="none"/>
              </w:rPr>
              <w:t>采购预算金额：</w:t>
            </w:r>
            <w:r>
              <w:rPr>
                <w:rFonts w:hint="eastAsia" w:ascii="Arial" w:hAnsi="Arial" w:eastAsia="宋体" w:cs="Arial"/>
                <w:b/>
                <w:bCs/>
                <w:color w:val="auto"/>
                <w:szCs w:val="21"/>
                <w:highlight w:val="none"/>
              </w:rPr>
              <w:t>人民币叁拾捌万元整（¥380000.00）</w:t>
            </w:r>
            <w:r>
              <w:rPr>
                <w:rFonts w:ascii="Arial" w:hAnsi="Arial" w:eastAsia="宋体" w:cs="Arial"/>
                <w:b/>
                <w:bCs/>
                <w:color w:val="auto"/>
                <w:szCs w:val="21"/>
                <w:highlight w:val="none"/>
              </w:rPr>
              <w:t>。</w:t>
            </w:r>
            <w:r>
              <w:rPr>
                <w:rFonts w:ascii="Arial" w:hAnsi="Arial" w:eastAsia="宋体" w:cs="Arial"/>
                <w:color w:val="auto"/>
                <w:szCs w:val="21"/>
                <w:highlight w:val="none"/>
              </w:rPr>
              <w:t>供应商报价超过相应采购预算金额的，响应文件作无效处理。</w:t>
            </w:r>
          </w:p>
          <w:p w14:paraId="6A14B6C7">
            <w:pPr>
              <w:tabs>
                <w:tab w:val="left" w:pos="1305"/>
              </w:tabs>
              <w:spacing w:line="340" w:lineRule="exact"/>
              <w:rPr>
                <w:rFonts w:ascii="Arial" w:hAnsi="Arial" w:eastAsia="宋体" w:cs="Arial"/>
                <w:color w:val="auto"/>
                <w:szCs w:val="21"/>
                <w:highlight w:val="none"/>
              </w:rPr>
            </w:pPr>
            <w:r>
              <w:rPr>
                <w:rFonts w:ascii="Arial" w:hAnsi="Arial" w:eastAsia="宋体" w:cs="Arial"/>
                <w:color w:val="auto"/>
                <w:szCs w:val="21"/>
                <w:highlight w:val="none"/>
              </w:rPr>
              <w:t>13.2供应商必须就“项目采购需求”中所有内容作完整唯一报价，否则，其响应将被拒绝。</w:t>
            </w:r>
          </w:p>
          <w:p w14:paraId="4BEC1AE7">
            <w:pPr>
              <w:tabs>
                <w:tab w:val="left" w:pos="1305"/>
              </w:tabs>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13.3 谈判报价包括</w:t>
            </w:r>
            <w:r>
              <w:rPr>
                <w:rFonts w:hint="eastAsia" w:ascii="Arial" w:hAnsi="Arial" w:eastAsia="宋体" w:cs="Arial"/>
                <w:color w:val="auto"/>
                <w:szCs w:val="21"/>
                <w:highlight w:val="none"/>
              </w:rPr>
              <w:t>本次采购范围内货物货款、货物标准附件、备品备件、专用工具、包装、运输、装卸、保险、税金、货到就位以及安装、安装所需辅材、调试、培训、保修和采购文件要求提供的所有伴随服务、工程等费用和税费</w:t>
            </w:r>
            <w:r>
              <w:rPr>
                <w:rFonts w:ascii="Arial" w:hAnsi="Arial" w:eastAsia="宋体" w:cs="Arial"/>
                <w:color w:val="auto"/>
                <w:szCs w:val="21"/>
                <w:highlight w:val="none"/>
              </w:rPr>
              <w:t>；供应商综合考虑在报价中。</w:t>
            </w:r>
          </w:p>
          <w:p w14:paraId="0C8268E9">
            <w:pPr>
              <w:tabs>
                <w:tab w:val="left" w:pos="1305"/>
              </w:tabs>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13.4未书面退出谈判的供应商必须在规定时间内密封提交最后报价，其最后报价不得超出采购预算；谈判过程中谈判文件未作实质性变动的，最后报价不得超过首次报价。</w:t>
            </w:r>
          </w:p>
        </w:tc>
      </w:tr>
      <w:tr w14:paraId="1F31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14:paraId="3FED474E">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5</w:t>
            </w:r>
          </w:p>
        </w:tc>
        <w:tc>
          <w:tcPr>
            <w:tcW w:w="877" w:type="dxa"/>
            <w:vAlign w:val="center"/>
          </w:tcPr>
          <w:p w14:paraId="503494D7">
            <w:pPr>
              <w:snapToGrid w:val="0"/>
              <w:spacing w:line="300" w:lineRule="auto"/>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14.1</w:t>
            </w:r>
          </w:p>
        </w:tc>
        <w:tc>
          <w:tcPr>
            <w:tcW w:w="1549" w:type="dxa"/>
            <w:vAlign w:val="center"/>
          </w:tcPr>
          <w:p w14:paraId="10AB7A52">
            <w:pPr>
              <w:snapToGrid w:val="0"/>
              <w:spacing w:line="300" w:lineRule="auto"/>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响应文件有效期</w:t>
            </w:r>
          </w:p>
        </w:tc>
        <w:tc>
          <w:tcPr>
            <w:tcW w:w="6612" w:type="dxa"/>
            <w:vAlign w:val="center"/>
          </w:tcPr>
          <w:p w14:paraId="16494948">
            <w:pPr>
              <w:tabs>
                <w:tab w:val="left" w:pos="1305"/>
              </w:tabs>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响应文件递交截止时间之日起90天，有效期不足的响应文件将被拒绝。</w:t>
            </w:r>
          </w:p>
        </w:tc>
      </w:tr>
      <w:tr w14:paraId="0834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28" w:type="dxa"/>
            <w:vAlign w:val="center"/>
          </w:tcPr>
          <w:p w14:paraId="0D76EF00">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6</w:t>
            </w:r>
          </w:p>
        </w:tc>
        <w:tc>
          <w:tcPr>
            <w:tcW w:w="877" w:type="dxa"/>
            <w:vAlign w:val="center"/>
          </w:tcPr>
          <w:p w14:paraId="2936B564">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15.1</w:t>
            </w:r>
          </w:p>
        </w:tc>
        <w:tc>
          <w:tcPr>
            <w:tcW w:w="1549" w:type="dxa"/>
            <w:vAlign w:val="center"/>
          </w:tcPr>
          <w:p w14:paraId="57C88D37">
            <w:pPr>
              <w:snapToGrid w:val="0"/>
              <w:spacing w:line="300" w:lineRule="auto"/>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响应文件份数</w:t>
            </w:r>
          </w:p>
        </w:tc>
        <w:tc>
          <w:tcPr>
            <w:tcW w:w="6612" w:type="dxa"/>
            <w:vAlign w:val="center"/>
          </w:tcPr>
          <w:p w14:paraId="415AF38C">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正本壹册，副本贰册，须完整提交（A4纸装订）。</w:t>
            </w:r>
          </w:p>
        </w:tc>
      </w:tr>
      <w:tr w14:paraId="2666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14:paraId="5BCA28B4">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7</w:t>
            </w:r>
          </w:p>
        </w:tc>
        <w:tc>
          <w:tcPr>
            <w:tcW w:w="877" w:type="dxa"/>
            <w:vAlign w:val="center"/>
          </w:tcPr>
          <w:p w14:paraId="636147A5">
            <w:pPr>
              <w:snapToGrid w:val="0"/>
              <w:spacing w:line="300" w:lineRule="auto"/>
              <w:jc w:val="center"/>
              <w:rPr>
                <w:rFonts w:ascii="Arial" w:hAnsi="Arial" w:eastAsia="宋体" w:cs="Arial"/>
                <w:color w:val="auto"/>
                <w:position w:val="10"/>
                <w:szCs w:val="21"/>
                <w:highlight w:val="none"/>
              </w:rPr>
            </w:pPr>
            <w:r>
              <w:rPr>
                <w:rFonts w:ascii="Arial" w:hAnsi="Arial" w:eastAsia="宋体" w:cs="Arial"/>
                <w:color w:val="auto"/>
                <w:position w:val="10"/>
                <w:szCs w:val="21"/>
                <w:highlight w:val="none"/>
              </w:rPr>
              <w:t>15.2</w:t>
            </w:r>
          </w:p>
        </w:tc>
        <w:tc>
          <w:tcPr>
            <w:tcW w:w="1549" w:type="dxa"/>
            <w:vAlign w:val="center"/>
          </w:tcPr>
          <w:p w14:paraId="4BD45608">
            <w:pPr>
              <w:snapToGrid w:val="0"/>
              <w:spacing w:line="300" w:lineRule="auto"/>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响应文件装订要求</w:t>
            </w:r>
          </w:p>
        </w:tc>
        <w:tc>
          <w:tcPr>
            <w:tcW w:w="6612" w:type="dxa"/>
            <w:vAlign w:val="center"/>
          </w:tcPr>
          <w:p w14:paraId="39127BB7">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供应商必须按供应商须知第11.1条“响应文件组成”规定的顺序自编目录及页码，响应文件的“正本”、“副本”必须单独装订成册并标注页码，装订牢固，不易拆散和换页。封面注明“正本”、“副本”字样，封面上写明项目名称、项目编号、采购代理机构、供应商单位名称。</w:t>
            </w:r>
          </w:p>
        </w:tc>
      </w:tr>
      <w:tr w14:paraId="426A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28" w:type="dxa"/>
            <w:vAlign w:val="center"/>
          </w:tcPr>
          <w:p w14:paraId="0988A026">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8</w:t>
            </w:r>
          </w:p>
        </w:tc>
        <w:tc>
          <w:tcPr>
            <w:tcW w:w="877" w:type="dxa"/>
            <w:vAlign w:val="center"/>
          </w:tcPr>
          <w:p w14:paraId="14506AAD">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15.6</w:t>
            </w:r>
          </w:p>
        </w:tc>
        <w:tc>
          <w:tcPr>
            <w:tcW w:w="1549" w:type="dxa"/>
            <w:vAlign w:val="center"/>
          </w:tcPr>
          <w:p w14:paraId="32EA155E">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响应文件包装、密封、标记</w:t>
            </w:r>
          </w:p>
        </w:tc>
        <w:tc>
          <w:tcPr>
            <w:tcW w:w="6612" w:type="dxa"/>
            <w:vAlign w:val="center"/>
          </w:tcPr>
          <w:p w14:paraId="2B6F97D6">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15.6.1响应文件包装、密封：供应商须将响应文件正、副本全部装入一个或多个包封袋/箱（响应文件的补充、修改可另行单独递交）中并加以密封，封口处必须密封签字【供应商的法定代表人（负责人)或委托代理人签字均可】或加盖供应商公章，以示密封。</w:t>
            </w:r>
          </w:p>
          <w:p w14:paraId="089AD90C">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15.6.2响应文件袋（盒、箱）标记：</w:t>
            </w:r>
          </w:p>
          <w:p w14:paraId="7EC39436">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项目名称：</w:t>
            </w:r>
            <w:r>
              <w:rPr>
                <w:rFonts w:hint="eastAsia" w:ascii="Arial" w:hAnsi="Arial" w:eastAsia="宋体" w:cs="Arial"/>
                <w:color w:val="auto"/>
                <w:szCs w:val="21"/>
                <w:highlight w:val="none"/>
              </w:rPr>
              <w:t>材料学院虚拟仿真实验教学中心建设设备采购项目</w:t>
            </w:r>
          </w:p>
          <w:p w14:paraId="6ECF191F">
            <w:pPr>
              <w:snapToGrid w:val="0"/>
              <w:spacing w:line="300" w:lineRule="auto"/>
              <w:rPr>
                <w:rFonts w:hint="eastAsia" w:ascii="Arial" w:hAnsi="Arial" w:eastAsia="宋体" w:cs="Arial"/>
                <w:color w:val="auto"/>
                <w:szCs w:val="21"/>
                <w:highlight w:val="none"/>
                <w:lang w:eastAsia="zh-CN"/>
              </w:rPr>
            </w:pPr>
            <w:r>
              <w:rPr>
                <w:rFonts w:ascii="Arial" w:hAnsi="Arial" w:eastAsia="宋体" w:cs="Arial"/>
                <w:color w:val="auto"/>
                <w:szCs w:val="21"/>
                <w:highlight w:val="none"/>
              </w:rPr>
              <w:t>项目编号：</w:t>
            </w:r>
            <w:r>
              <w:rPr>
                <w:rFonts w:hint="eastAsia" w:ascii="Arial" w:hAnsi="Arial" w:eastAsia="宋体" w:cs="Arial"/>
                <w:color w:val="auto"/>
                <w:szCs w:val="21"/>
                <w:highlight w:val="none"/>
                <w:lang w:eastAsia="zh-CN"/>
              </w:rPr>
              <w:t>GXJD-24114CC031368</w:t>
            </w:r>
          </w:p>
          <w:p w14:paraId="416B3B11">
            <w:pPr>
              <w:snapToGrid w:val="0"/>
              <w:spacing w:line="300" w:lineRule="auto"/>
              <w:rPr>
                <w:rFonts w:hint="eastAsia" w:ascii="Arial" w:hAnsi="Arial" w:eastAsia="宋体" w:cs="Arial"/>
                <w:color w:val="auto"/>
                <w:szCs w:val="21"/>
                <w:highlight w:val="none"/>
                <w:lang w:eastAsia="zh-CN"/>
              </w:rPr>
            </w:pPr>
            <w:r>
              <w:rPr>
                <w:rFonts w:ascii="Arial" w:hAnsi="Arial" w:eastAsia="宋体" w:cs="Arial"/>
                <w:color w:val="auto"/>
                <w:szCs w:val="21"/>
                <w:highlight w:val="none"/>
              </w:rPr>
              <w:t>采购代理机构：</w:t>
            </w:r>
            <w:r>
              <w:rPr>
                <w:rFonts w:hint="eastAsia" w:ascii="Arial" w:hAnsi="Arial" w:eastAsia="宋体" w:cs="Arial"/>
                <w:color w:val="auto"/>
                <w:szCs w:val="21"/>
                <w:highlight w:val="none"/>
                <w:lang w:eastAsia="zh-CN"/>
              </w:rPr>
              <w:t>广西机电设备招标有限公司</w:t>
            </w:r>
          </w:p>
          <w:p w14:paraId="7DD9B16C">
            <w:pPr>
              <w:snapToGrid w:val="0"/>
              <w:spacing w:line="300" w:lineRule="auto"/>
              <w:rPr>
                <w:rFonts w:ascii="Arial" w:hAnsi="Arial" w:eastAsia="宋体" w:cs="Arial"/>
                <w:color w:val="auto"/>
                <w:highlight w:val="none"/>
              </w:rPr>
            </w:pPr>
            <w:r>
              <w:rPr>
                <w:rFonts w:ascii="Arial" w:hAnsi="Arial" w:eastAsia="宋体" w:cs="Arial"/>
                <w:color w:val="auto"/>
                <w:szCs w:val="21"/>
                <w:highlight w:val="none"/>
              </w:rPr>
              <w:t>供应商名称：</w:t>
            </w:r>
          </w:p>
        </w:tc>
      </w:tr>
      <w:tr w14:paraId="6621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14:paraId="33FFB597">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9</w:t>
            </w:r>
          </w:p>
        </w:tc>
        <w:tc>
          <w:tcPr>
            <w:tcW w:w="877" w:type="dxa"/>
            <w:vAlign w:val="center"/>
          </w:tcPr>
          <w:p w14:paraId="6EC52B68">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15.7</w:t>
            </w:r>
          </w:p>
        </w:tc>
        <w:tc>
          <w:tcPr>
            <w:tcW w:w="1549" w:type="dxa"/>
            <w:vAlign w:val="center"/>
          </w:tcPr>
          <w:p w14:paraId="47122363">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供应商公章</w:t>
            </w:r>
          </w:p>
        </w:tc>
        <w:tc>
          <w:tcPr>
            <w:tcW w:w="6612" w:type="dxa"/>
            <w:vAlign w:val="center"/>
          </w:tcPr>
          <w:p w14:paraId="28388D03">
            <w:pPr>
              <w:snapToGrid w:val="0"/>
              <w:spacing w:line="300" w:lineRule="auto"/>
              <w:rPr>
                <w:rFonts w:ascii="Arial" w:hAnsi="Arial" w:eastAsia="宋体" w:cs="Arial"/>
                <w:color w:val="auto"/>
                <w:szCs w:val="21"/>
                <w:highlight w:val="none"/>
              </w:rPr>
            </w:pPr>
            <w:r>
              <w:rPr>
                <w:rFonts w:ascii="Arial" w:hAnsi="Arial" w:eastAsia="宋体" w:cs="Arial"/>
                <w:color w:val="auto"/>
                <w:highlight w:val="none"/>
              </w:rPr>
              <w:t>本竞争性谈判文件中描述供应商的“公章”是指根据我国对公章的管理规定，用供应商登记注册法定主体的名称合法制作的公章，除本竞争性谈判文件中有特殊规定外，供应商的其他专用章均不能代替公章。</w:t>
            </w:r>
          </w:p>
        </w:tc>
      </w:tr>
      <w:tr w14:paraId="6041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14:paraId="11F381B3">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10</w:t>
            </w:r>
          </w:p>
        </w:tc>
        <w:tc>
          <w:tcPr>
            <w:tcW w:w="877" w:type="dxa"/>
            <w:vAlign w:val="center"/>
          </w:tcPr>
          <w:p w14:paraId="21F4C9C8">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17.1</w:t>
            </w:r>
          </w:p>
        </w:tc>
        <w:tc>
          <w:tcPr>
            <w:tcW w:w="1549" w:type="dxa"/>
            <w:vAlign w:val="center"/>
          </w:tcPr>
          <w:p w14:paraId="15DBFBA6">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响应文件递交</w:t>
            </w:r>
          </w:p>
        </w:tc>
        <w:tc>
          <w:tcPr>
            <w:tcW w:w="6612" w:type="dxa"/>
            <w:vAlign w:val="center"/>
          </w:tcPr>
          <w:p w14:paraId="34844CF9">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供应商必须于2024年</w:t>
            </w:r>
            <w:r>
              <w:rPr>
                <w:rFonts w:hint="eastAsia" w:ascii="Arial" w:hAnsi="Arial" w:eastAsia="宋体" w:cs="Arial"/>
                <w:color w:val="auto"/>
                <w:szCs w:val="21"/>
                <w:highlight w:val="none"/>
              </w:rPr>
              <w:t>8月23日</w:t>
            </w:r>
            <w:r>
              <w:rPr>
                <w:rFonts w:hint="eastAsia" w:ascii="Arial" w:hAnsi="Arial" w:eastAsia="宋体" w:cs="Arial"/>
                <w:bCs/>
                <w:color w:val="auto"/>
                <w:szCs w:val="21"/>
                <w:highlight w:val="none"/>
                <w:lang w:val="en-US" w:eastAsia="zh-CN"/>
              </w:rPr>
              <w:t>14</w:t>
            </w:r>
            <w:r>
              <w:rPr>
                <w:rFonts w:ascii="Arial" w:hAnsi="Arial" w:eastAsia="宋体" w:cs="Arial"/>
                <w:bCs/>
                <w:color w:val="auto"/>
                <w:szCs w:val="21"/>
                <w:highlight w:val="none"/>
              </w:rPr>
              <w:t>时</w:t>
            </w:r>
            <w:r>
              <w:rPr>
                <w:rFonts w:hint="eastAsia" w:ascii="Arial" w:hAnsi="Arial" w:eastAsia="宋体" w:cs="Arial"/>
                <w:bCs/>
                <w:color w:val="auto"/>
                <w:szCs w:val="21"/>
                <w:highlight w:val="none"/>
                <w:lang w:val="en-US" w:eastAsia="zh-CN"/>
              </w:rPr>
              <w:t>0</w:t>
            </w:r>
            <w:r>
              <w:rPr>
                <w:rFonts w:ascii="Arial" w:hAnsi="Arial" w:eastAsia="宋体" w:cs="Arial"/>
                <w:bCs/>
                <w:color w:val="auto"/>
                <w:szCs w:val="21"/>
                <w:highlight w:val="none"/>
              </w:rPr>
              <w:t>0分起至</w:t>
            </w:r>
            <w:r>
              <w:rPr>
                <w:rFonts w:hint="eastAsia" w:ascii="Arial" w:hAnsi="Arial" w:eastAsia="宋体" w:cs="Arial"/>
                <w:bCs/>
                <w:color w:val="auto"/>
                <w:szCs w:val="21"/>
                <w:highlight w:val="none"/>
                <w:lang w:val="en-US" w:eastAsia="zh-CN"/>
              </w:rPr>
              <w:t>14</w:t>
            </w:r>
            <w:r>
              <w:rPr>
                <w:rFonts w:ascii="Arial" w:hAnsi="Arial" w:eastAsia="宋体" w:cs="Arial"/>
                <w:bCs/>
                <w:color w:val="auto"/>
                <w:szCs w:val="21"/>
                <w:highlight w:val="none"/>
              </w:rPr>
              <w:t>时30分止</w:t>
            </w:r>
            <w:r>
              <w:rPr>
                <w:rFonts w:ascii="Arial" w:hAnsi="Arial" w:eastAsia="宋体" w:cs="Arial"/>
                <w:color w:val="auto"/>
                <w:szCs w:val="21"/>
                <w:highlight w:val="none"/>
              </w:rPr>
              <w:t>，将响应文件密封提交至</w:t>
            </w:r>
            <w:r>
              <w:rPr>
                <w:rFonts w:hint="eastAsia" w:ascii="Arial" w:hAnsi="Arial" w:eastAsia="宋体" w:cs="Arial"/>
                <w:color w:val="auto"/>
                <w:szCs w:val="21"/>
                <w:highlight w:val="none"/>
              </w:rPr>
              <w:t>广西机电设备招标有限公司桂林分公司开标室</w:t>
            </w:r>
            <w:r>
              <w:rPr>
                <w:rFonts w:ascii="Arial" w:hAnsi="Arial" w:eastAsia="宋体" w:cs="Arial"/>
                <w:b/>
                <w:bCs/>
                <w:color w:val="auto"/>
                <w:szCs w:val="21"/>
                <w:highlight w:val="none"/>
              </w:rPr>
              <w:t>，</w:t>
            </w:r>
            <w:r>
              <w:rPr>
                <w:rFonts w:ascii="Arial" w:hAnsi="Arial" w:eastAsia="宋体" w:cs="Arial"/>
                <w:b/>
                <w:bCs/>
                <w:color w:val="auto"/>
                <w:highlight w:val="none"/>
              </w:rPr>
              <w:t>供应商参加谈判的法定代表人或委托代理人须持有效证件（法定代表人凭身份证或委托代理人凭法人授权委托书原件、本人身份证原件，不须密封，单独提交），依时到达指定地点提交响应文件，未携带以上相关材料递交的或逾期送达的或未按照谈判文件要求密封的响应文件将予以拒收</w:t>
            </w:r>
            <w:r>
              <w:rPr>
                <w:rFonts w:ascii="Arial" w:hAnsi="Arial" w:eastAsia="宋体" w:cs="Arial"/>
                <w:b/>
                <w:bCs/>
                <w:color w:val="auto"/>
                <w:szCs w:val="21"/>
                <w:highlight w:val="none"/>
              </w:rPr>
              <w:t>。</w:t>
            </w:r>
          </w:p>
        </w:tc>
      </w:tr>
      <w:tr w14:paraId="6FCB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28" w:type="dxa"/>
            <w:vAlign w:val="center"/>
          </w:tcPr>
          <w:p w14:paraId="2B1394C0">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11</w:t>
            </w:r>
          </w:p>
        </w:tc>
        <w:tc>
          <w:tcPr>
            <w:tcW w:w="877" w:type="dxa"/>
            <w:vAlign w:val="center"/>
          </w:tcPr>
          <w:p w14:paraId="0608F20D">
            <w:pPr>
              <w:snapToGrid w:val="0"/>
              <w:spacing w:line="300" w:lineRule="auto"/>
              <w:ind w:firstLine="105" w:firstLineChars="50"/>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18.1</w:t>
            </w:r>
          </w:p>
        </w:tc>
        <w:tc>
          <w:tcPr>
            <w:tcW w:w="1549" w:type="dxa"/>
            <w:vAlign w:val="center"/>
          </w:tcPr>
          <w:p w14:paraId="36C4E9D9">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谈判小组组成</w:t>
            </w:r>
          </w:p>
        </w:tc>
        <w:tc>
          <w:tcPr>
            <w:tcW w:w="6612" w:type="dxa"/>
            <w:vAlign w:val="center"/>
          </w:tcPr>
          <w:p w14:paraId="2ECB3162">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谈判及评审组织工作由采购代理机构负责，具体谈判、评审工作由依法组建的谈判小组负责，谈判小组由采购人代表和有关方面的专家组成。谈判小组的构成：3人，其中采购人代表 1 人，有关专家 2人。</w:t>
            </w:r>
          </w:p>
        </w:tc>
      </w:tr>
      <w:tr w14:paraId="0E9E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28" w:type="dxa"/>
            <w:vAlign w:val="center"/>
          </w:tcPr>
          <w:p w14:paraId="12539BD2">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12</w:t>
            </w:r>
          </w:p>
        </w:tc>
        <w:tc>
          <w:tcPr>
            <w:tcW w:w="877" w:type="dxa"/>
            <w:vAlign w:val="center"/>
          </w:tcPr>
          <w:p w14:paraId="132437C7">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18.2</w:t>
            </w:r>
          </w:p>
        </w:tc>
        <w:tc>
          <w:tcPr>
            <w:tcW w:w="1549" w:type="dxa"/>
            <w:vAlign w:val="center"/>
          </w:tcPr>
          <w:p w14:paraId="03D7481C">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谈判时间、地点、人员</w:t>
            </w:r>
          </w:p>
        </w:tc>
        <w:tc>
          <w:tcPr>
            <w:tcW w:w="6612" w:type="dxa"/>
          </w:tcPr>
          <w:p w14:paraId="700C086E">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18.2.1谈判时间：首次响应文件递交截止时间后。</w:t>
            </w:r>
          </w:p>
          <w:p w14:paraId="3B5784A8">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18.2.2谈判地点：</w:t>
            </w:r>
            <w:r>
              <w:rPr>
                <w:rFonts w:hint="eastAsia" w:ascii="Arial" w:hAnsi="Arial" w:eastAsia="宋体" w:cs="Arial"/>
                <w:color w:val="auto"/>
                <w:szCs w:val="21"/>
                <w:highlight w:val="none"/>
                <w:lang w:eastAsia="zh-CN"/>
              </w:rPr>
              <w:t>广西机电设备招标有限公司</w:t>
            </w:r>
            <w:r>
              <w:rPr>
                <w:rFonts w:hint="eastAsia" w:ascii="Arial" w:hAnsi="Arial" w:eastAsia="宋体" w:cs="Arial"/>
                <w:color w:val="auto"/>
                <w:szCs w:val="21"/>
                <w:highlight w:val="none"/>
              </w:rPr>
              <w:t>桂林分公司</w:t>
            </w:r>
            <w:r>
              <w:rPr>
                <w:rFonts w:hint="eastAsia" w:ascii="Arial" w:hAnsi="Arial" w:eastAsia="宋体" w:cs="Arial"/>
                <w:color w:val="auto"/>
                <w:szCs w:val="21"/>
                <w:highlight w:val="none"/>
                <w:lang w:val="en-US" w:eastAsia="zh-CN"/>
              </w:rPr>
              <w:t>评标室</w:t>
            </w:r>
            <w:r>
              <w:rPr>
                <w:rFonts w:ascii="Arial" w:hAnsi="Arial" w:eastAsia="宋体" w:cs="Arial"/>
                <w:color w:val="auto"/>
                <w:szCs w:val="21"/>
                <w:highlight w:val="none"/>
              </w:rPr>
              <w:t>。</w:t>
            </w:r>
          </w:p>
          <w:p w14:paraId="1EC554D2">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18.2.3谈判参加人员：供应商法定代表人(负责人)或相应的委托代理人持有效身份证原件参加谈判。请供应商按时到达指定地点等候当面谈判。</w:t>
            </w:r>
          </w:p>
          <w:p w14:paraId="5DB9695E">
            <w:pPr>
              <w:snapToGrid w:val="0"/>
              <w:spacing w:line="300" w:lineRule="auto"/>
              <w:rPr>
                <w:rFonts w:ascii="Arial" w:hAnsi="Arial" w:eastAsia="宋体" w:cs="Arial"/>
                <w:b/>
                <w:color w:val="auto"/>
                <w:szCs w:val="21"/>
                <w:highlight w:val="none"/>
              </w:rPr>
            </w:pPr>
            <w:r>
              <w:rPr>
                <w:rFonts w:ascii="Arial" w:hAnsi="Arial" w:eastAsia="宋体" w:cs="Arial"/>
                <w:color w:val="auto"/>
                <w:szCs w:val="21"/>
                <w:highlight w:val="none"/>
              </w:rPr>
              <w:t>18.2.4首次响应文件递交截止时间后，由谈判小组在评标室内开启响应文件。</w:t>
            </w:r>
          </w:p>
        </w:tc>
      </w:tr>
      <w:tr w14:paraId="2C3F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28" w:type="dxa"/>
            <w:vAlign w:val="center"/>
          </w:tcPr>
          <w:p w14:paraId="0A7B2CF0">
            <w:pPr>
              <w:snapToGrid w:val="0"/>
              <w:spacing w:line="300" w:lineRule="auto"/>
              <w:jc w:val="center"/>
              <w:rPr>
                <w:rFonts w:ascii="Arial" w:hAnsi="Arial" w:eastAsia="宋体" w:cs="Arial"/>
                <w:color w:val="auto"/>
                <w:position w:val="-2"/>
                <w:szCs w:val="21"/>
                <w:highlight w:val="none"/>
              </w:rPr>
            </w:pPr>
            <w:r>
              <w:rPr>
                <w:rFonts w:ascii="Arial" w:hAnsi="Arial" w:eastAsia="宋体" w:cs="Arial"/>
                <w:color w:val="auto"/>
                <w:position w:val="-2"/>
                <w:szCs w:val="21"/>
                <w:highlight w:val="none"/>
              </w:rPr>
              <w:t>13</w:t>
            </w:r>
          </w:p>
        </w:tc>
        <w:tc>
          <w:tcPr>
            <w:tcW w:w="877" w:type="dxa"/>
            <w:vAlign w:val="center"/>
          </w:tcPr>
          <w:p w14:paraId="167AA2E0">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19.2</w:t>
            </w:r>
          </w:p>
        </w:tc>
        <w:tc>
          <w:tcPr>
            <w:tcW w:w="1549" w:type="dxa"/>
            <w:vAlign w:val="center"/>
          </w:tcPr>
          <w:p w14:paraId="0377C881">
            <w:pPr>
              <w:pStyle w:val="14"/>
              <w:snapToGrid w:val="0"/>
              <w:spacing w:line="300" w:lineRule="auto"/>
              <w:jc w:val="center"/>
              <w:rPr>
                <w:rFonts w:ascii="Arial" w:hAnsi="Arial" w:eastAsia="宋体" w:cs="Arial"/>
                <w:color w:val="auto"/>
                <w:kern w:val="0"/>
                <w:szCs w:val="21"/>
                <w:highlight w:val="none"/>
              </w:rPr>
            </w:pPr>
            <w:r>
              <w:rPr>
                <w:rFonts w:ascii="Arial" w:hAnsi="Arial" w:eastAsia="宋体" w:cs="Arial"/>
                <w:color w:val="auto"/>
                <w:kern w:val="0"/>
                <w:szCs w:val="21"/>
                <w:highlight w:val="none"/>
              </w:rPr>
              <w:t>评审办法</w:t>
            </w:r>
          </w:p>
        </w:tc>
        <w:tc>
          <w:tcPr>
            <w:tcW w:w="6612" w:type="dxa"/>
            <w:vAlign w:val="center"/>
          </w:tcPr>
          <w:p w14:paraId="01858B70">
            <w:pPr>
              <w:tabs>
                <w:tab w:val="left" w:pos="1140"/>
              </w:tabs>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具体详见第四章评审办法。</w:t>
            </w:r>
          </w:p>
        </w:tc>
      </w:tr>
      <w:tr w14:paraId="0C9B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28" w:type="dxa"/>
            <w:vAlign w:val="center"/>
          </w:tcPr>
          <w:p w14:paraId="2ADDA7B9">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14</w:t>
            </w:r>
          </w:p>
        </w:tc>
        <w:tc>
          <w:tcPr>
            <w:tcW w:w="877" w:type="dxa"/>
            <w:vAlign w:val="center"/>
          </w:tcPr>
          <w:p w14:paraId="3840EC00">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27</w:t>
            </w:r>
          </w:p>
        </w:tc>
        <w:tc>
          <w:tcPr>
            <w:tcW w:w="1549" w:type="dxa"/>
            <w:vAlign w:val="center"/>
          </w:tcPr>
          <w:p w14:paraId="304BA765">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成交公告</w:t>
            </w:r>
          </w:p>
          <w:p w14:paraId="7894ED45">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及成交通知书</w:t>
            </w:r>
          </w:p>
        </w:tc>
        <w:tc>
          <w:tcPr>
            <w:tcW w:w="6612" w:type="dxa"/>
          </w:tcPr>
          <w:p w14:paraId="78B14C52">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27.1 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1C7FF07">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27.2在发布成交公告的同时，采购代理机构向成交供应商发出成交通知书。成交供应商应自接到通知之日起七个工作日内，办理成交通知书领取手续。</w:t>
            </w:r>
          </w:p>
        </w:tc>
      </w:tr>
      <w:tr w14:paraId="79BF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8" w:type="dxa"/>
            <w:vAlign w:val="center"/>
          </w:tcPr>
          <w:p w14:paraId="38DCB6C6">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15</w:t>
            </w:r>
          </w:p>
        </w:tc>
        <w:tc>
          <w:tcPr>
            <w:tcW w:w="877" w:type="dxa"/>
            <w:vAlign w:val="center"/>
          </w:tcPr>
          <w:p w14:paraId="3EB6EA67">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28.1</w:t>
            </w:r>
          </w:p>
        </w:tc>
        <w:tc>
          <w:tcPr>
            <w:tcW w:w="1549" w:type="dxa"/>
            <w:vAlign w:val="center"/>
          </w:tcPr>
          <w:p w14:paraId="7030271F">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履约保证金</w:t>
            </w:r>
          </w:p>
        </w:tc>
        <w:tc>
          <w:tcPr>
            <w:tcW w:w="6612" w:type="dxa"/>
            <w:vAlign w:val="center"/>
          </w:tcPr>
          <w:p w14:paraId="2ED0C2FE">
            <w:pPr>
              <w:snapToGrid w:val="0"/>
              <w:spacing w:line="300" w:lineRule="auto"/>
              <w:outlineLvl w:val="4"/>
              <w:rPr>
                <w:rFonts w:ascii="Arial" w:hAnsi="Arial" w:eastAsia="宋体" w:cs="Arial"/>
                <w:color w:val="auto"/>
                <w:kern w:val="0"/>
                <w:szCs w:val="21"/>
                <w:highlight w:val="none"/>
              </w:rPr>
            </w:pPr>
            <w:r>
              <w:rPr>
                <w:rFonts w:ascii="Arial" w:hAnsi="Arial" w:eastAsia="宋体" w:cs="Arial"/>
                <w:color w:val="auto"/>
                <w:kern w:val="0"/>
                <w:szCs w:val="21"/>
                <w:highlight w:val="none"/>
              </w:rPr>
              <w:t>28.1.履约保证金金额：在合同签订之前</w:t>
            </w:r>
            <w:r>
              <w:rPr>
                <w:rFonts w:hint="eastAsia" w:ascii="Arial" w:hAnsi="Arial" w:eastAsia="宋体" w:cs="Arial"/>
                <w:color w:val="auto"/>
                <w:kern w:val="0"/>
                <w:szCs w:val="21"/>
                <w:highlight w:val="none"/>
              </w:rPr>
              <w:t>，成交供应商</w:t>
            </w:r>
            <w:r>
              <w:rPr>
                <w:rFonts w:ascii="Arial" w:hAnsi="Arial" w:eastAsia="宋体" w:cs="Arial"/>
                <w:color w:val="auto"/>
                <w:kern w:val="0"/>
                <w:szCs w:val="21"/>
                <w:highlight w:val="none"/>
              </w:rPr>
              <w:t>按成交金额的5%（如成交供应商为中小微企业的，按成交金额的2%）向采购人交纳履约保证金。</w:t>
            </w:r>
          </w:p>
          <w:p w14:paraId="54BD959F">
            <w:pPr>
              <w:snapToGrid w:val="0"/>
              <w:spacing w:line="300" w:lineRule="auto"/>
              <w:outlineLvl w:val="4"/>
              <w:rPr>
                <w:rFonts w:ascii="Arial" w:hAnsi="Arial" w:eastAsia="宋体" w:cs="Arial"/>
                <w:color w:val="auto"/>
                <w:kern w:val="0"/>
                <w:szCs w:val="21"/>
                <w:highlight w:val="none"/>
              </w:rPr>
            </w:pPr>
            <w:r>
              <w:rPr>
                <w:rFonts w:ascii="Arial" w:hAnsi="Arial" w:eastAsia="宋体" w:cs="Arial"/>
                <w:color w:val="auto"/>
                <w:kern w:val="0"/>
                <w:szCs w:val="21"/>
                <w:highlight w:val="none"/>
              </w:rPr>
              <w:t>28.2.履约保证金递交方式：转账或电汇等非现金形式。</w:t>
            </w:r>
          </w:p>
          <w:p w14:paraId="43D45B09">
            <w:pPr>
              <w:snapToGrid w:val="0"/>
              <w:spacing w:line="300" w:lineRule="auto"/>
              <w:outlineLvl w:val="4"/>
              <w:rPr>
                <w:rFonts w:ascii="Arial" w:hAnsi="Arial" w:eastAsia="宋体" w:cs="Arial"/>
                <w:color w:val="auto"/>
                <w:kern w:val="0"/>
                <w:szCs w:val="21"/>
                <w:highlight w:val="none"/>
              </w:rPr>
            </w:pPr>
            <w:r>
              <w:rPr>
                <w:rFonts w:ascii="Arial" w:hAnsi="Arial" w:eastAsia="宋体" w:cs="Arial"/>
                <w:color w:val="auto"/>
                <w:kern w:val="0"/>
                <w:szCs w:val="21"/>
                <w:highlight w:val="none"/>
              </w:rPr>
              <w:t>28.3.履约保证金指定账户</w:t>
            </w:r>
          </w:p>
          <w:p w14:paraId="03E81382">
            <w:pPr>
              <w:snapToGrid w:val="0"/>
              <w:spacing w:line="300" w:lineRule="auto"/>
              <w:outlineLvl w:val="4"/>
              <w:rPr>
                <w:rFonts w:ascii="Arial" w:hAnsi="Arial" w:eastAsia="宋体" w:cs="Arial"/>
                <w:color w:val="auto"/>
                <w:kern w:val="0"/>
                <w:szCs w:val="21"/>
                <w:highlight w:val="none"/>
              </w:rPr>
            </w:pPr>
            <w:r>
              <w:rPr>
                <w:rFonts w:ascii="Arial" w:hAnsi="Arial" w:eastAsia="宋体" w:cs="Arial"/>
                <w:color w:val="auto"/>
                <w:kern w:val="0"/>
                <w:szCs w:val="21"/>
                <w:highlight w:val="none"/>
              </w:rPr>
              <w:t>开户名称：桂林理工大学</w:t>
            </w:r>
          </w:p>
          <w:p w14:paraId="2E39565C">
            <w:pPr>
              <w:snapToGrid w:val="0"/>
              <w:spacing w:line="300" w:lineRule="auto"/>
              <w:outlineLvl w:val="4"/>
              <w:rPr>
                <w:rFonts w:ascii="Arial" w:hAnsi="Arial" w:eastAsia="宋体" w:cs="Arial"/>
                <w:color w:val="auto"/>
                <w:kern w:val="0"/>
                <w:szCs w:val="21"/>
                <w:highlight w:val="none"/>
              </w:rPr>
            </w:pPr>
            <w:r>
              <w:rPr>
                <w:rFonts w:ascii="Arial" w:hAnsi="Arial" w:eastAsia="宋体" w:cs="Arial"/>
                <w:color w:val="auto"/>
                <w:kern w:val="0"/>
                <w:szCs w:val="21"/>
                <w:highlight w:val="none"/>
              </w:rPr>
              <w:t>开户银行：中国银行桂林分行</w:t>
            </w:r>
          </w:p>
          <w:p w14:paraId="34C79922">
            <w:pPr>
              <w:snapToGrid w:val="0"/>
              <w:spacing w:line="300" w:lineRule="auto"/>
              <w:outlineLvl w:val="4"/>
              <w:rPr>
                <w:rFonts w:ascii="Arial" w:hAnsi="Arial" w:eastAsia="宋体" w:cs="Arial"/>
                <w:color w:val="auto"/>
                <w:kern w:val="0"/>
                <w:szCs w:val="21"/>
                <w:highlight w:val="none"/>
              </w:rPr>
            </w:pPr>
            <w:r>
              <w:rPr>
                <w:rFonts w:ascii="Arial" w:hAnsi="Arial" w:eastAsia="宋体" w:cs="Arial"/>
                <w:color w:val="auto"/>
                <w:kern w:val="0"/>
                <w:szCs w:val="21"/>
                <w:highlight w:val="none"/>
              </w:rPr>
              <w:t>账号：613257488744。</w:t>
            </w:r>
          </w:p>
          <w:p w14:paraId="2805E734">
            <w:pPr>
              <w:snapToGrid w:val="0"/>
              <w:spacing w:line="300" w:lineRule="auto"/>
              <w:outlineLvl w:val="4"/>
              <w:rPr>
                <w:rFonts w:ascii="Arial" w:hAnsi="Arial" w:eastAsia="宋体" w:cs="Arial"/>
                <w:color w:val="auto"/>
                <w:kern w:val="0"/>
                <w:szCs w:val="21"/>
                <w:highlight w:val="none"/>
              </w:rPr>
            </w:pPr>
            <w:r>
              <w:rPr>
                <w:rFonts w:ascii="Arial" w:hAnsi="Arial" w:eastAsia="宋体" w:cs="Arial"/>
                <w:color w:val="auto"/>
                <w:kern w:val="0"/>
                <w:szCs w:val="21"/>
                <w:highlight w:val="none"/>
              </w:rPr>
              <w:t>28.4.履约保证金退付方式、时间及条件：</w:t>
            </w:r>
          </w:p>
          <w:p w14:paraId="2CFBC52E">
            <w:pPr>
              <w:snapToGrid w:val="0"/>
              <w:spacing w:line="300" w:lineRule="auto"/>
              <w:outlineLvl w:val="4"/>
              <w:rPr>
                <w:rFonts w:ascii="Arial" w:hAnsi="Arial" w:eastAsia="宋体" w:cs="Arial"/>
                <w:color w:val="auto"/>
                <w:kern w:val="0"/>
                <w:szCs w:val="21"/>
                <w:highlight w:val="none"/>
              </w:rPr>
            </w:pPr>
            <w:r>
              <w:rPr>
                <w:rFonts w:ascii="Arial" w:hAnsi="Arial" w:eastAsia="宋体" w:cs="Arial"/>
                <w:color w:val="auto"/>
                <w:kern w:val="0"/>
                <w:szCs w:val="21"/>
                <w:highlight w:val="none"/>
              </w:rPr>
              <w:t>（1）成交供应商须按上述规定的金额、方式将履约保证金转入桂林理工大学账户。否则，不予签订合同。</w:t>
            </w:r>
          </w:p>
          <w:p w14:paraId="67A61C2C">
            <w:pPr>
              <w:snapToGrid w:val="0"/>
              <w:spacing w:line="300" w:lineRule="auto"/>
              <w:outlineLvl w:val="4"/>
              <w:rPr>
                <w:rFonts w:ascii="Arial" w:hAnsi="Arial" w:eastAsia="宋体" w:cs="Arial"/>
                <w:color w:val="auto"/>
                <w:szCs w:val="21"/>
                <w:highlight w:val="none"/>
              </w:rPr>
            </w:pPr>
            <w:r>
              <w:rPr>
                <w:rFonts w:ascii="Arial" w:hAnsi="Arial" w:eastAsia="宋体" w:cs="Arial"/>
                <w:color w:val="auto"/>
                <w:kern w:val="0"/>
                <w:szCs w:val="21"/>
                <w:highlight w:val="none"/>
              </w:rPr>
              <w:t>（2）履约保证金在成交供应商履行完合同约定的权利义务（包括免费保修服务等）事项后7个工作日内，由成交供应商凭履约保证金的申请表及合同向采购人申请办理履约保证金退还手续，采购人在收到合格材料后5个工作日内以银行转账方式如数退还（不计利息）。</w:t>
            </w:r>
          </w:p>
        </w:tc>
      </w:tr>
      <w:tr w14:paraId="7255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8" w:type="dxa"/>
            <w:vAlign w:val="center"/>
          </w:tcPr>
          <w:p w14:paraId="21D44CD6">
            <w:pPr>
              <w:snapToGrid w:val="0"/>
              <w:spacing w:line="300" w:lineRule="auto"/>
              <w:jc w:val="center"/>
              <w:rPr>
                <w:rFonts w:ascii="Arial" w:hAnsi="Arial" w:eastAsia="宋体" w:cs="Arial"/>
                <w:color w:val="auto"/>
                <w:szCs w:val="21"/>
                <w:highlight w:val="none"/>
              </w:rPr>
            </w:pPr>
            <w:r>
              <w:rPr>
                <w:rFonts w:ascii="Arial" w:hAnsi="Arial" w:eastAsia="宋体" w:cs="Arial"/>
                <w:color w:val="auto"/>
                <w:kern w:val="0"/>
                <w:szCs w:val="21"/>
                <w:highlight w:val="none"/>
              </w:rPr>
              <w:t>16</w:t>
            </w:r>
          </w:p>
        </w:tc>
        <w:tc>
          <w:tcPr>
            <w:tcW w:w="877" w:type="dxa"/>
            <w:vAlign w:val="center"/>
          </w:tcPr>
          <w:p w14:paraId="7C105A28">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29.1</w:t>
            </w:r>
          </w:p>
        </w:tc>
        <w:tc>
          <w:tcPr>
            <w:tcW w:w="1549" w:type="dxa"/>
            <w:vAlign w:val="center"/>
          </w:tcPr>
          <w:p w14:paraId="3FE37625">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签订合同时间</w:t>
            </w:r>
          </w:p>
        </w:tc>
        <w:tc>
          <w:tcPr>
            <w:tcW w:w="6612" w:type="dxa"/>
            <w:vAlign w:val="center"/>
          </w:tcPr>
          <w:p w14:paraId="3C9D3435">
            <w:pPr>
              <w:snapToGrid w:val="0"/>
              <w:spacing w:line="300" w:lineRule="auto"/>
              <w:rPr>
                <w:rFonts w:ascii="Arial" w:hAnsi="Arial" w:eastAsia="宋体" w:cs="Arial"/>
                <w:color w:val="auto"/>
                <w:highlight w:val="none"/>
              </w:rPr>
            </w:pPr>
            <w:r>
              <w:rPr>
                <w:rFonts w:ascii="Arial" w:hAnsi="Arial" w:eastAsia="宋体" w:cs="Arial"/>
                <w:color w:val="auto"/>
                <w:highlight w:val="none"/>
              </w:rPr>
              <w:t>成交通知书发出之日起25日内。成交供应商领取成交通知书后，应按规定与采购人签订合同。</w:t>
            </w:r>
          </w:p>
        </w:tc>
      </w:tr>
      <w:tr w14:paraId="7C6C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28" w:type="dxa"/>
            <w:vAlign w:val="center"/>
          </w:tcPr>
          <w:p w14:paraId="70046666">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17</w:t>
            </w:r>
          </w:p>
        </w:tc>
        <w:tc>
          <w:tcPr>
            <w:tcW w:w="877" w:type="dxa"/>
            <w:vAlign w:val="center"/>
          </w:tcPr>
          <w:p w14:paraId="43B7C390">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30</w:t>
            </w:r>
          </w:p>
        </w:tc>
        <w:tc>
          <w:tcPr>
            <w:tcW w:w="1549" w:type="dxa"/>
            <w:vAlign w:val="center"/>
          </w:tcPr>
          <w:p w14:paraId="31EC15C2">
            <w:pPr>
              <w:snapToGrid w:val="0"/>
              <w:spacing w:line="300" w:lineRule="auto"/>
              <w:jc w:val="center"/>
              <w:rPr>
                <w:rFonts w:ascii="Arial" w:hAnsi="Arial" w:eastAsia="宋体" w:cs="Arial"/>
                <w:color w:val="auto"/>
                <w:szCs w:val="21"/>
                <w:highlight w:val="none"/>
              </w:rPr>
            </w:pPr>
            <w:r>
              <w:rPr>
                <w:rFonts w:ascii="Arial" w:hAnsi="Arial" w:eastAsia="宋体" w:cs="Arial"/>
                <w:color w:val="auto"/>
                <w:szCs w:val="21"/>
                <w:highlight w:val="none"/>
              </w:rPr>
              <w:t>采购代理服务费</w:t>
            </w:r>
          </w:p>
        </w:tc>
        <w:tc>
          <w:tcPr>
            <w:tcW w:w="6612" w:type="dxa"/>
          </w:tcPr>
          <w:p w14:paraId="11F47BE2">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以项目的成交金额为计费额，按国家发展计划委员会文件计价格（2002）1980号“国家计委关于印发《招标代理服务收费管理暂行办法》的通知”规定的货物类费率标准（详见本须知正文第30.2条）采用差额定率累进法计算出收费基准价格，采购代理服务费按收费基准价格下浮60 %收取，由成交供应商在领取成交通知书前，向采购代理机构一次性支付。</w:t>
            </w:r>
          </w:p>
          <w:p w14:paraId="77B6C11E">
            <w:pPr>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计算范例如下（本范例仅作计算示范，不等同于本项目代理服务费实际收取金额）：</w:t>
            </w:r>
          </w:p>
          <w:p w14:paraId="35520DF6">
            <w:pPr>
              <w:snapToGrid w:val="0"/>
              <w:spacing w:line="300" w:lineRule="auto"/>
              <w:rPr>
                <w:rFonts w:ascii="Arial" w:hAnsi="Arial" w:eastAsia="宋体" w:cs="Arial"/>
                <w:color w:val="auto"/>
                <w:highlight w:val="none"/>
              </w:rPr>
            </w:pPr>
            <w:r>
              <w:rPr>
                <w:rFonts w:ascii="Arial" w:hAnsi="Arial" w:eastAsia="宋体" w:cs="Arial"/>
                <w:color w:val="auto"/>
                <w:szCs w:val="21"/>
                <w:highlight w:val="none"/>
              </w:rPr>
              <w:t>某货物采购项目成交金额为350万元，则以350万元为计费额；招标代理服务费收费基准价格=100 万元×1.5%＋（350-100）万元×1.1%＝1.5万元＋2.75万元＝4.25万元；招标代理服务费收取标准=收费基准价格×（1-60%）=4.25万元×40%=1.7万元。</w:t>
            </w:r>
          </w:p>
        </w:tc>
      </w:tr>
      <w:tr w14:paraId="4354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28" w:type="dxa"/>
            <w:vAlign w:val="center"/>
          </w:tcPr>
          <w:p w14:paraId="12646363">
            <w:pPr>
              <w:snapToGrid w:val="0"/>
              <w:spacing w:line="288" w:lineRule="auto"/>
              <w:jc w:val="center"/>
              <w:rPr>
                <w:rFonts w:ascii="Arial" w:hAnsi="Arial" w:eastAsia="宋体" w:cs="Arial"/>
                <w:color w:val="auto"/>
                <w:szCs w:val="21"/>
                <w:highlight w:val="none"/>
              </w:rPr>
            </w:pPr>
            <w:r>
              <w:rPr>
                <w:rFonts w:ascii="Arial" w:hAnsi="Arial" w:eastAsia="宋体" w:cs="Arial"/>
                <w:color w:val="auto"/>
                <w:szCs w:val="21"/>
                <w:highlight w:val="none"/>
              </w:rPr>
              <w:t>18</w:t>
            </w:r>
          </w:p>
        </w:tc>
        <w:tc>
          <w:tcPr>
            <w:tcW w:w="877" w:type="dxa"/>
            <w:vAlign w:val="center"/>
          </w:tcPr>
          <w:p w14:paraId="54EA60E9">
            <w:pPr>
              <w:snapToGrid w:val="0"/>
              <w:spacing w:line="288" w:lineRule="auto"/>
              <w:jc w:val="center"/>
              <w:rPr>
                <w:rFonts w:ascii="Arial" w:hAnsi="Arial" w:eastAsia="宋体" w:cs="Arial"/>
                <w:color w:val="auto"/>
                <w:szCs w:val="21"/>
                <w:highlight w:val="none"/>
              </w:rPr>
            </w:pPr>
            <w:r>
              <w:rPr>
                <w:rFonts w:ascii="Arial" w:hAnsi="Arial" w:eastAsia="宋体" w:cs="Arial"/>
                <w:color w:val="auto"/>
                <w:szCs w:val="21"/>
                <w:highlight w:val="none"/>
              </w:rPr>
              <w:t>32</w:t>
            </w:r>
          </w:p>
        </w:tc>
        <w:tc>
          <w:tcPr>
            <w:tcW w:w="1549" w:type="dxa"/>
            <w:vAlign w:val="center"/>
          </w:tcPr>
          <w:p w14:paraId="1A49C3B3">
            <w:pPr>
              <w:snapToGrid w:val="0"/>
              <w:spacing w:line="288" w:lineRule="auto"/>
              <w:jc w:val="center"/>
              <w:rPr>
                <w:rFonts w:ascii="Arial" w:hAnsi="Arial" w:eastAsia="宋体" w:cs="Arial"/>
                <w:color w:val="auto"/>
                <w:szCs w:val="21"/>
                <w:highlight w:val="none"/>
              </w:rPr>
            </w:pPr>
            <w:r>
              <w:rPr>
                <w:rFonts w:ascii="Arial" w:hAnsi="Arial" w:eastAsia="宋体" w:cs="Arial"/>
                <w:color w:val="auto"/>
                <w:szCs w:val="21"/>
                <w:highlight w:val="none"/>
              </w:rPr>
              <w:t>解释权</w:t>
            </w:r>
          </w:p>
        </w:tc>
        <w:tc>
          <w:tcPr>
            <w:tcW w:w="6612" w:type="dxa"/>
            <w:vAlign w:val="center"/>
          </w:tcPr>
          <w:p w14:paraId="7DDEAC82">
            <w:pPr>
              <w:snapToGrid w:val="0"/>
              <w:spacing w:line="288" w:lineRule="auto"/>
              <w:rPr>
                <w:rFonts w:ascii="Arial" w:hAnsi="Arial" w:eastAsia="宋体" w:cs="Arial"/>
                <w:color w:val="auto"/>
                <w:szCs w:val="21"/>
                <w:highlight w:val="none"/>
              </w:rPr>
            </w:pPr>
            <w:r>
              <w:rPr>
                <w:rFonts w:ascii="Arial" w:hAnsi="Arial" w:eastAsia="宋体" w:cs="Arial"/>
                <w:color w:val="auto"/>
                <w:highlight w:val="none"/>
              </w:rPr>
              <w:t>本竞争性谈判文件的解释权属于采购代理机构。</w:t>
            </w:r>
          </w:p>
        </w:tc>
      </w:tr>
    </w:tbl>
    <w:p w14:paraId="1FBAAAA9">
      <w:pPr>
        <w:spacing w:line="380" w:lineRule="exact"/>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r>
        <w:rPr>
          <w:rFonts w:ascii="Arial" w:hAnsi="Arial" w:eastAsia="宋体" w:cs="Arial"/>
          <w:b/>
          <w:color w:val="auto"/>
          <w:sz w:val="28"/>
          <w:szCs w:val="28"/>
          <w:highlight w:val="none"/>
        </w:rPr>
        <w:t>一、总则</w:t>
      </w:r>
    </w:p>
    <w:p w14:paraId="6BCAC663">
      <w:pPr>
        <w:spacing w:line="390" w:lineRule="exact"/>
        <w:ind w:firstLine="411" w:firstLineChars="196"/>
        <w:rPr>
          <w:rFonts w:ascii="Arial" w:hAnsi="Arial" w:eastAsia="宋体" w:cs="Arial"/>
          <w:b/>
          <w:color w:val="auto"/>
          <w:szCs w:val="21"/>
          <w:highlight w:val="none"/>
        </w:rPr>
      </w:pPr>
      <w:r>
        <w:rPr>
          <w:rFonts w:ascii="Arial" w:hAnsi="Arial" w:eastAsia="宋体" w:cs="Arial"/>
          <w:b/>
          <w:color w:val="auto"/>
          <w:szCs w:val="21"/>
          <w:highlight w:val="none"/>
        </w:rPr>
        <w:t>1. 适应范围</w:t>
      </w:r>
    </w:p>
    <w:p w14:paraId="59C59327">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1.1  项目名称及项目编号：</w:t>
      </w:r>
    </w:p>
    <w:p w14:paraId="464410FB">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 xml:space="preserve">     项目名称：</w:t>
      </w:r>
      <w:r>
        <w:rPr>
          <w:rFonts w:hint="eastAsia" w:ascii="Arial" w:hAnsi="Arial" w:eastAsia="宋体" w:cs="Arial"/>
          <w:color w:val="auto"/>
          <w:highlight w:val="none"/>
        </w:rPr>
        <w:t>材料学院虚拟仿真实验教学中心建设设备采购项目</w:t>
      </w:r>
      <w:r>
        <w:rPr>
          <w:rFonts w:ascii="Arial" w:hAnsi="Arial" w:eastAsia="宋体" w:cs="Arial"/>
          <w:color w:val="auto"/>
          <w:szCs w:val="21"/>
          <w:highlight w:val="none"/>
        </w:rPr>
        <w:t xml:space="preserve">   </w:t>
      </w:r>
    </w:p>
    <w:p w14:paraId="72FD367A">
      <w:pPr>
        <w:spacing w:line="390" w:lineRule="exact"/>
        <w:ind w:firstLine="435"/>
        <w:rPr>
          <w:rFonts w:hint="eastAsia" w:ascii="Arial" w:hAnsi="Arial" w:eastAsia="宋体" w:cs="Arial"/>
          <w:color w:val="auto"/>
          <w:szCs w:val="21"/>
          <w:highlight w:val="none"/>
          <w:lang w:eastAsia="zh-CN"/>
        </w:rPr>
      </w:pPr>
      <w:r>
        <w:rPr>
          <w:rFonts w:ascii="Arial" w:hAnsi="Arial" w:eastAsia="宋体" w:cs="Arial"/>
          <w:color w:val="auto"/>
          <w:szCs w:val="21"/>
          <w:highlight w:val="none"/>
        </w:rPr>
        <w:t xml:space="preserve">     项目</w:t>
      </w:r>
      <w:r>
        <w:rPr>
          <w:rFonts w:ascii="Arial" w:hAnsi="Arial" w:eastAsia="宋体" w:cs="Arial"/>
          <w:color w:val="auto"/>
          <w:highlight w:val="none"/>
        </w:rPr>
        <w:t xml:space="preserve">编号： </w:t>
      </w:r>
      <w:r>
        <w:rPr>
          <w:rFonts w:hint="eastAsia" w:ascii="Arial" w:hAnsi="Arial" w:eastAsia="宋体" w:cs="Arial"/>
          <w:color w:val="auto"/>
          <w:highlight w:val="none"/>
          <w:lang w:eastAsia="zh-CN"/>
        </w:rPr>
        <w:t>GXJD-24114CC031368</w:t>
      </w:r>
    </w:p>
    <w:p w14:paraId="10782D85">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1.2本竞争性谈判文件（以下简称谈判文件）适用于本谈判项目的谈判、评审、合同履约、验收、付款等行为（法律、法规另有规定的，从其规定）。</w:t>
      </w:r>
    </w:p>
    <w:p w14:paraId="203FCC0A">
      <w:pPr>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2. 定义</w:t>
      </w:r>
    </w:p>
    <w:p w14:paraId="5BE20457">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2.1“供应商”是指符合本次采购项目的供应商资格并提交响应文件、参加谈判的供应商。如果该供应商在本次谈判中成交，即成为“成交供应商”。</w:t>
      </w:r>
    </w:p>
    <w:p w14:paraId="4277FB9A">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2.2“货物”系指按谈判文件规定，供应商须向采购人提供的一切设备、保险、税金、备品备件、工具、手册及其它有关技术资料和材料。</w:t>
      </w:r>
    </w:p>
    <w:p w14:paraId="5FD6C736">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2.3“服务”系指按谈判文件规定，供应商须承担的安装、调试、技术协助、校准、培训、技术指导以及其他类似的义务。</w:t>
      </w:r>
    </w:p>
    <w:p w14:paraId="04494FC7">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2.4“项目”系指供应商按谈判文件规定向采购人提供的货物和服务。</w:t>
      </w:r>
    </w:p>
    <w:p w14:paraId="04FE2C6F">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2.5“书面形式”包括信函、传真、电报等。</w:t>
      </w:r>
    </w:p>
    <w:p w14:paraId="0A813BE2">
      <w:pPr>
        <w:spacing w:line="390" w:lineRule="exact"/>
        <w:ind w:firstLine="435"/>
        <w:rPr>
          <w:rFonts w:ascii="Arial" w:hAnsi="Arial" w:eastAsia="宋体" w:cs="Arial"/>
          <w:b/>
          <w:color w:val="auto"/>
          <w:sz w:val="24"/>
          <w:highlight w:val="none"/>
        </w:rPr>
      </w:pPr>
      <w:r>
        <w:rPr>
          <w:rFonts w:ascii="Arial" w:hAnsi="Arial" w:eastAsia="宋体" w:cs="Arial"/>
          <w:b/>
          <w:color w:val="auto"/>
          <w:sz w:val="24"/>
          <w:highlight w:val="none"/>
        </w:rPr>
        <w:t>2.6实质性要求：“项目采购需求”中所有条款要求及竞争性谈判文件中要求“必须提供”的条款均为实质性要求，如有负偏离或不满足要求则响应被否决。</w:t>
      </w:r>
    </w:p>
    <w:p w14:paraId="6DADC3B7">
      <w:pPr>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3. 供应商资格</w:t>
      </w:r>
    </w:p>
    <w:p w14:paraId="67F9E471">
      <w:pPr>
        <w:spacing w:line="390" w:lineRule="exact"/>
        <w:ind w:firstLine="435"/>
        <w:rPr>
          <w:rFonts w:ascii="Arial" w:hAnsi="Arial" w:eastAsia="宋体" w:cs="Arial"/>
          <w:color w:val="auto"/>
          <w:kern w:val="0"/>
          <w:szCs w:val="21"/>
          <w:highlight w:val="none"/>
        </w:rPr>
      </w:pPr>
      <w:r>
        <w:rPr>
          <w:rFonts w:ascii="Arial" w:hAnsi="Arial" w:eastAsia="宋体" w:cs="Arial"/>
          <w:color w:val="auto"/>
          <w:kern w:val="0"/>
          <w:szCs w:val="21"/>
          <w:highlight w:val="none"/>
        </w:rPr>
        <w:t>3.1符合《中华人民共和国政府采购法》第二十二条规定。</w:t>
      </w:r>
    </w:p>
    <w:p w14:paraId="6727F7BF">
      <w:pPr>
        <w:spacing w:line="390" w:lineRule="exact"/>
        <w:ind w:firstLine="435"/>
        <w:rPr>
          <w:rFonts w:ascii="Arial" w:hAnsi="Arial" w:eastAsia="宋体" w:cs="Arial"/>
          <w:color w:val="auto"/>
          <w:kern w:val="0"/>
          <w:szCs w:val="21"/>
          <w:highlight w:val="none"/>
        </w:rPr>
      </w:pPr>
      <w:r>
        <w:rPr>
          <w:rFonts w:ascii="Arial" w:hAnsi="Arial" w:eastAsia="宋体" w:cs="Arial"/>
          <w:color w:val="auto"/>
          <w:kern w:val="0"/>
          <w:szCs w:val="21"/>
          <w:highlight w:val="none"/>
        </w:rPr>
        <w:t>3.2</w:t>
      </w:r>
      <w:r>
        <w:rPr>
          <w:rFonts w:ascii="Arial" w:hAnsi="Arial" w:eastAsia="宋体" w:cs="Arial"/>
          <w:color w:val="auto"/>
          <w:highlight w:val="none"/>
        </w:rPr>
        <w:t>供应商的特定资格要求：</w:t>
      </w:r>
      <w:r>
        <w:rPr>
          <w:rFonts w:hint="eastAsia" w:ascii="Arial" w:hAnsi="Arial" w:eastAsia="宋体" w:cs="Arial"/>
          <w:b/>
          <w:bCs/>
          <w:color w:val="auto"/>
          <w:highlight w:val="none"/>
        </w:rPr>
        <w:t>本项目非专门面向中小微企业采购</w:t>
      </w:r>
      <w:r>
        <w:rPr>
          <w:rFonts w:ascii="Arial" w:hAnsi="Arial" w:eastAsia="宋体" w:cs="Arial"/>
          <w:b/>
          <w:bCs/>
          <w:color w:val="auto"/>
          <w:highlight w:val="none"/>
        </w:rPr>
        <w:t>。</w:t>
      </w:r>
    </w:p>
    <w:p w14:paraId="095C8EAF">
      <w:pPr>
        <w:spacing w:line="390" w:lineRule="exact"/>
        <w:ind w:firstLine="435"/>
        <w:rPr>
          <w:rFonts w:ascii="Arial" w:hAnsi="Arial" w:eastAsia="宋体" w:cs="Arial"/>
          <w:color w:val="auto"/>
          <w:kern w:val="0"/>
          <w:szCs w:val="21"/>
          <w:highlight w:val="none"/>
        </w:rPr>
      </w:pPr>
      <w:r>
        <w:rPr>
          <w:rFonts w:ascii="Arial" w:hAnsi="Arial" w:eastAsia="宋体" w:cs="Arial"/>
          <w:color w:val="auto"/>
          <w:kern w:val="0"/>
          <w:szCs w:val="21"/>
          <w:highlight w:val="none"/>
        </w:rPr>
        <w:t>3.3.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7F10A4B5">
      <w:pPr>
        <w:spacing w:line="390" w:lineRule="exact"/>
        <w:ind w:firstLine="435"/>
        <w:rPr>
          <w:rFonts w:ascii="Arial" w:hAnsi="Arial" w:eastAsia="宋体" w:cs="Arial"/>
          <w:color w:val="auto"/>
          <w:kern w:val="0"/>
          <w:szCs w:val="21"/>
          <w:highlight w:val="none"/>
        </w:rPr>
      </w:pPr>
      <w:r>
        <w:rPr>
          <w:rFonts w:ascii="Arial" w:hAnsi="Arial" w:eastAsia="宋体" w:cs="Arial"/>
          <w:color w:val="auto"/>
          <w:kern w:val="0"/>
          <w:szCs w:val="21"/>
          <w:highlight w:val="none"/>
        </w:rPr>
        <w:t>3.4.对在“信用中国”网站(www.creditchina.gov.cn)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采购活动。</w:t>
      </w:r>
    </w:p>
    <w:p w14:paraId="31BF6619">
      <w:pPr>
        <w:spacing w:line="390" w:lineRule="exact"/>
        <w:ind w:firstLine="435"/>
        <w:rPr>
          <w:rFonts w:ascii="Arial" w:hAnsi="Arial" w:eastAsia="宋体" w:cs="Arial"/>
          <w:color w:val="auto"/>
          <w:kern w:val="0"/>
          <w:sz w:val="24"/>
          <w:highlight w:val="none"/>
        </w:rPr>
      </w:pPr>
      <w:r>
        <w:rPr>
          <w:rFonts w:ascii="Arial" w:hAnsi="Arial" w:eastAsia="宋体" w:cs="Arial"/>
          <w:color w:val="auto"/>
          <w:kern w:val="0"/>
          <w:szCs w:val="21"/>
          <w:highlight w:val="none"/>
        </w:rPr>
        <w:t>3.5.本项目不接受联合体参与谈判</w:t>
      </w:r>
      <w:r>
        <w:rPr>
          <w:rFonts w:ascii="Arial" w:hAnsi="Arial" w:eastAsia="宋体" w:cs="Arial"/>
          <w:color w:val="auto"/>
          <w:highlight w:val="none"/>
        </w:rPr>
        <w:t>。</w:t>
      </w:r>
    </w:p>
    <w:p w14:paraId="4069EDDE">
      <w:pPr>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4. 谈判费用</w:t>
      </w:r>
    </w:p>
    <w:p w14:paraId="7375FB55">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不论谈判结果如何，供应商均应自行承担所有与谈判有关的全部费用。</w:t>
      </w:r>
    </w:p>
    <w:p w14:paraId="71F269D6">
      <w:pPr>
        <w:tabs>
          <w:tab w:val="left" w:pos="1635"/>
        </w:tabs>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5. 联合体要求：</w:t>
      </w:r>
      <w:r>
        <w:rPr>
          <w:rFonts w:ascii="Arial" w:hAnsi="Arial" w:eastAsia="宋体" w:cs="Arial"/>
          <w:color w:val="auto"/>
          <w:szCs w:val="21"/>
          <w:highlight w:val="none"/>
        </w:rPr>
        <w:t>本项目不接受联合体参与谈判。</w:t>
      </w:r>
    </w:p>
    <w:p w14:paraId="5BEDAA52">
      <w:pPr>
        <w:tabs>
          <w:tab w:val="left" w:pos="2190"/>
        </w:tabs>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6.异议</w:t>
      </w:r>
    </w:p>
    <w:p w14:paraId="72E6BD61">
      <w:pPr>
        <w:tabs>
          <w:tab w:val="left" w:pos="1635"/>
        </w:tabs>
        <w:spacing w:line="390" w:lineRule="exact"/>
        <w:ind w:firstLine="435"/>
        <w:rPr>
          <w:rFonts w:ascii="Arial" w:hAnsi="Arial" w:eastAsia="宋体" w:cs="Arial"/>
          <w:b/>
          <w:bCs/>
          <w:color w:val="auto"/>
          <w:szCs w:val="21"/>
          <w:highlight w:val="none"/>
        </w:rPr>
      </w:pPr>
      <w:r>
        <w:rPr>
          <w:rFonts w:ascii="Arial" w:hAnsi="Arial" w:eastAsia="宋体" w:cs="Arial"/>
          <w:b/>
          <w:bCs/>
          <w:color w:val="auto"/>
          <w:szCs w:val="21"/>
          <w:highlight w:val="none"/>
        </w:rPr>
        <w:t>6.1异议内容、时限</w:t>
      </w:r>
    </w:p>
    <w:p w14:paraId="7CAA0583">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（1）潜在供应商对谈判文件有异议的，应当在首次提交响应文件截止之日3日前提出，并附相关证明材料以书面形式递交。</w:t>
      </w:r>
    </w:p>
    <w:p w14:paraId="65C88260">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（2）供应商对截标有异议的，应当在截标现场提出。</w:t>
      </w:r>
    </w:p>
    <w:p w14:paraId="007561D2">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（3）供应商对成交结果有异议的，应当在成交结果公告期内以书面形式提出，并附相关证明材料。</w:t>
      </w:r>
    </w:p>
    <w:p w14:paraId="1C72A9BD">
      <w:pPr>
        <w:tabs>
          <w:tab w:val="left" w:pos="1635"/>
        </w:tabs>
        <w:spacing w:line="390" w:lineRule="exact"/>
        <w:ind w:firstLine="435"/>
        <w:rPr>
          <w:rFonts w:ascii="Arial" w:hAnsi="Arial" w:eastAsia="宋体" w:cs="Arial"/>
          <w:b/>
          <w:bCs/>
          <w:color w:val="auto"/>
          <w:szCs w:val="21"/>
          <w:highlight w:val="none"/>
        </w:rPr>
      </w:pPr>
      <w:r>
        <w:rPr>
          <w:rFonts w:ascii="Arial" w:hAnsi="Arial" w:eastAsia="宋体" w:cs="Arial"/>
          <w:b/>
          <w:bCs/>
          <w:color w:val="auto"/>
          <w:szCs w:val="21"/>
          <w:highlight w:val="none"/>
        </w:rPr>
        <w:t>6.2异议答复时限</w:t>
      </w:r>
    </w:p>
    <w:p w14:paraId="66752432">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采购人在收到供应商书面异议后3日内，对异议内容作出答复。</w:t>
      </w:r>
    </w:p>
    <w:p w14:paraId="3F653346">
      <w:pPr>
        <w:tabs>
          <w:tab w:val="left" w:pos="1635"/>
        </w:tabs>
        <w:spacing w:line="390" w:lineRule="exact"/>
        <w:ind w:firstLine="435"/>
        <w:rPr>
          <w:rFonts w:ascii="Arial" w:hAnsi="Arial" w:eastAsia="宋体" w:cs="Arial"/>
          <w:b/>
          <w:bCs/>
          <w:color w:val="auto"/>
          <w:szCs w:val="21"/>
          <w:highlight w:val="none"/>
        </w:rPr>
      </w:pPr>
      <w:r>
        <w:rPr>
          <w:rFonts w:ascii="Arial" w:hAnsi="Arial" w:eastAsia="宋体" w:cs="Arial"/>
          <w:b/>
          <w:bCs/>
          <w:color w:val="auto"/>
          <w:szCs w:val="21"/>
          <w:highlight w:val="none"/>
        </w:rPr>
        <w:t>6.3异议形式</w:t>
      </w:r>
    </w:p>
    <w:p w14:paraId="794D909C">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异议应当采用供应商须知前附表所规定的形式，异议书应明确阐述谈判文件、谈判过程或成交结果中使自己合法权益受到损害的实质性内容，提供相关事实、依据和证据及其来源或线索，便于有关单位调查、答复和处理。不满足要求的异议将不予受理。</w:t>
      </w:r>
    </w:p>
    <w:p w14:paraId="15C30BEE">
      <w:pPr>
        <w:tabs>
          <w:tab w:val="left" w:pos="2190"/>
        </w:tabs>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7. 转包与分包</w:t>
      </w:r>
    </w:p>
    <w:p w14:paraId="43E4BB8D">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7.1 本项目不允许转包。</w:t>
      </w:r>
    </w:p>
    <w:p w14:paraId="5E3B420E">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7.2 本项目不可以分包。</w:t>
      </w:r>
    </w:p>
    <w:p w14:paraId="07BD6103">
      <w:pPr>
        <w:tabs>
          <w:tab w:val="left" w:pos="1635"/>
        </w:tabs>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8. 关联供应商不得参加同一合同项下采购活动，否则响应文件将被视为无效：</w:t>
      </w:r>
    </w:p>
    <w:p w14:paraId="3D37825F">
      <w:pPr>
        <w:tabs>
          <w:tab w:val="left" w:pos="163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（1）单位负责人为同一人或者存在直接控股、管理关系的不同供应商，不得参加同一合同项下的采购活动。</w:t>
      </w:r>
    </w:p>
    <w:p w14:paraId="2679A085">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（2）为本采购项目提供整体设计、规范编制或者项目管理、监理、检测等服务的供应商，不得再参加本次采购活动。</w:t>
      </w:r>
    </w:p>
    <w:p w14:paraId="5D7EBDF3">
      <w:pPr>
        <w:tabs>
          <w:tab w:val="left" w:pos="1635"/>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（3）生产厂商授权给供应商后自己不得参加同一合同项下的采购活动；生产厂商对同一品牌同一型号的货物，仅能委托一个代理商参加谈判。</w:t>
      </w:r>
    </w:p>
    <w:p w14:paraId="291C3629">
      <w:pPr>
        <w:tabs>
          <w:tab w:val="left" w:pos="2190"/>
        </w:tabs>
        <w:spacing w:line="390" w:lineRule="exact"/>
        <w:ind w:firstLine="435"/>
        <w:jc w:val="center"/>
        <w:rPr>
          <w:rFonts w:ascii="Arial" w:hAnsi="Arial" w:eastAsia="宋体" w:cs="Arial"/>
          <w:b/>
          <w:color w:val="auto"/>
          <w:sz w:val="28"/>
          <w:szCs w:val="28"/>
          <w:highlight w:val="none"/>
        </w:rPr>
      </w:pPr>
    </w:p>
    <w:p w14:paraId="00ECA3E5">
      <w:pPr>
        <w:tabs>
          <w:tab w:val="left" w:pos="2190"/>
        </w:tabs>
        <w:spacing w:line="390" w:lineRule="exact"/>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t>二、谈判文件</w:t>
      </w:r>
    </w:p>
    <w:p w14:paraId="26FBB839">
      <w:pPr>
        <w:tabs>
          <w:tab w:val="left" w:pos="2190"/>
        </w:tabs>
        <w:spacing w:line="390" w:lineRule="exact"/>
        <w:ind w:firstLine="437"/>
        <w:rPr>
          <w:rFonts w:ascii="Arial" w:hAnsi="Arial" w:eastAsia="宋体" w:cs="Arial"/>
          <w:b/>
          <w:color w:val="auto"/>
          <w:szCs w:val="21"/>
          <w:highlight w:val="none"/>
        </w:rPr>
      </w:pPr>
      <w:r>
        <w:rPr>
          <w:rFonts w:ascii="Arial" w:hAnsi="Arial" w:eastAsia="宋体" w:cs="Arial"/>
          <w:b/>
          <w:color w:val="auto"/>
          <w:szCs w:val="21"/>
          <w:highlight w:val="none"/>
        </w:rPr>
        <w:t>9. 谈判文件的构成</w:t>
      </w:r>
    </w:p>
    <w:p w14:paraId="34455113">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（1）竞争性谈判公告；</w:t>
      </w:r>
    </w:p>
    <w:p w14:paraId="35634078">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（2）供应商须知；</w:t>
      </w:r>
    </w:p>
    <w:p w14:paraId="1F37A7AD">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（3）项目采购需求；</w:t>
      </w:r>
    </w:p>
    <w:p w14:paraId="44E349B4">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（4）评审办法；</w:t>
      </w:r>
    </w:p>
    <w:p w14:paraId="3E0848FA">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（5）采购合同（合同主要条款及格式）；</w:t>
      </w:r>
    </w:p>
    <w:p w14:paraId="61917524">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（6）响应文件（格式）。</w:t>
      </w:r>
    </w:p>
    <w:p w14:paraId="0B457E16">
      <w:pPr>
        <w:tabs>
          <w:tab w:val="left" w:pos="2190"/>
        </w:tabs>
        <w:spacing w:line="390" w:lineRule="exact"/>
        <w:ind w:firstLine="437"/>
        <w:rPr>
          <w:rFonts w:ascii="Arial" w:hAnsi="Arial" w:eastAsia="宋体" w:cs="Arial"/>
          <w:b/>
          <w:color w:val="auto"/>
          <w:szCs w:val="21"/>
          <w:highlight w:val="none"/>
        </w:rPr>
      </w:pPr>
      <w:r>
        <w:rPr>
          <w:rFonts w:ascii="Arial" w:hAnsi="Arial" w:eastAsia="宋体" w:cs="Arial"/>
          <w:b/>
          <w:color w:val="auto"/>
          <w:szCs w:val="21"/>
          <w:highlight w:val="none"/>
        </w:rPr>
        <w:t>10. 谈判文件的澄清与修改</w:t>
      </w:r>
    </w:p>
    <w:p w14:paraId="49C6AF1F">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10.1 提交首次响应文件截止之日前，采购代理机构可以对已发出的谈判文件进行必要澄清或者修改，澄清或者修改的内容作为谈判文件的组成部分。澄清或者修改的内容可能影响响应文件编制的，采购代理机构应当在提交首次响应文件递交截止时间三个工作日前在本项目竞争性谈判公告发布的同一媒体上发布更正公告，不足三个工作日的，应当顺延首次响应文件递交截止时间。</w:t>
      </w:r>
    </w:p>
    <w:p w14:paraId="108D7D3B">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10.2</w:t>
      </w:r>
      <w:r>
        <w:rPr>
          <w:rFonts w:ascii="Arial" w:hAnsi="Arial" w:eastAsia="宋体" w:cs="Arial"/>
          <w:b/>
          <w:color w:val="auto"/>
          <w:szCs w:val="21"/>
          <w:highlight w:val="none"/>
        </w:rPr>
        <w:t>供应商必须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550C035">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10.3澄清或者修改的内容为谈判文件的组成部分。当澄清或者修改通知就同一内容的表述不一致时，以最后发出的文件为准。</w:t>
      </w:r>
    </w:p>
    <w:p w14:paraId="55B0533D">
      <w:pPr>
        <w:tabs>
          <w:tab w:val="left" w:pos="2190"/>
        </w:tabs>
        <w:spacing w:line="390" w:lineRule="exact"/>
        <w:ind w:firstLine="437"/>
        <w:rPr>
          <w:rFonts w:ascii="Arial" w:hAnsi="Arial" w:eastAsia="宋体" w:cs="Arial"/>
          <w:color w:val="auto"/>
          <w:szCs w:val="21"/>
          <w:highlight w:val="none"/>
        </w:rPr>
      </w:pPr>
      <w:r>
        <w:rPr>
          <w:rFonts w:ascii="Arial" w:hAnsi="Arial" w:eastAsia="宋体" w:cs="Arial"/>
          <w:color w:val="auto"/>
          <w:szCs w:val="21"/>
          <w:highlight w:val="none"/>
        </w:rPr>
        <w:t>10.4 谈判文件的澄清或者修改都应该通过本项目采购代理机构以法定形式发布，采购人非通过本机构，不得擅自澄清或者修改谈判文件。</w:t>
      </w:r>
    </w:p>
    <w:p w14:paraId="37E4967A">
      <w:pPr>
        <w:tabs>
          <w:tab w:val="left" w:pos="2190"/>
        </w:tabs>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10.5采购代理机构可以视采购具体情况，延长首次响应文件递交截止时间和谈判时间，并在本项目竞争性谈判公告发布的同一媒体上发布变更公告。</w:t>
      </w:r>
    </w:p>
    <w:p w14:paraId="3022BE06">
      <w:pPr>
        <w:tabs>
          <w:tab w:val="left" w:pos="2190"/>
        </w:tabs>
        <w:spacing w:line="390" w:lineRule="exact"/>
        <w:ind w:firstLine="435"/>
        <w:jc w:val="center"/>
        <w:rPr>
          <w:rFonts w:ascii="Arial" w:hAnsi="Arial" w:eastAsia="宋体" w:cs="Arial"/>
          <w:b/>
          <w:color w:val="auto"/>
          <w:sz w:val="28"/>
          <w:szCs w:val="28"/>
          <w:highlight w:val="none"/>
        </w:rPr>
      </w:pPr>
    </w:p>
    <w:p w14:paraId="52CE005A">
      <w:pPr>
        <w:tabs>
          <w:tab w:val="left" w:pos="2190"/>
        </w:tabs>
        <w:spacing w:line="390" w:lineRule="exact"/>
        <w:ind w:firstLine="435"/>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t>三、竞争性谈判响应文件的编制</w:t>
      </w:r>
    </w:p>
    <w:p w14:paraId="2370B5C2">
      <w:pPr>
        <w:tabs>
          <w:tab w:val="left" w:pos="2190"/>
        </w:tabs>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11.竞争性谈判响应文件（以下简称响应文件）的组成及要求</w:t>
      </w:r>
    </w:p>
    <w:p w14:paraId="524CB052">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b/>
          <w:color w:val="auto"/>
          <w:szCs w:val="21"/>
          <w:highlight w:val="none"/>
        </w:rPr>
        <w:t>11.1响应文件组成【格式见第六章“响应文件（格式）”】</w:t>
      </w:r>
    </w:p>
    <w:p w14:paraId="177EC7C9">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11.1.1资格性响应证明材料：</w:t>
      </w:r>
    </w:p>
    <w:p w14:paraId="1027CAB8">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（1）响应函</w:t>
      </w:r>
      <w:r>
        <w:rPr>
          <w:rFonts w:ascii="Arial" w:hAnsi="Arial" w:eastAsia="宋体" w:cs="Arial"/>
          <w:b/>
          <w:color w:val="auto"/>
          <w:szCs w:val="21"/>
          <w:highlight w:val="none"/>
        </w:rPr>
        <w:t>（必须提供）；</w:t>
      </w:r>
    </w:p>
    <w:p w14:paraId="46961E10">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（2）供应商相应的法定代表人(负责人)身份证正反两面复印件</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14:paraId="1FB2B099">
      <w:pPr>
        <w:tabs>
          <w:tab w:val="left" w:pos="1305"/>
          <w:tab w:val="left" w:pos="7020"/>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（3）供应商的授权委托书原件、委托代理人身份证正反面复印件</w:t>
      </w:r>
      <w:r>
        <w:rPr>
          <w:rFonts w:ascii="Arial" w:hAnsi="Arial" w:eastAsia="宋体" w:cs="Arial"/>
          <w:b/>
          <w:color w:val="auto"/>
          <w:szCs w:val="21"/>
          <w:highlight w:val="none"/>
        </w:rPr>
        <w:t>（委托代理时必须提供）</w:t>
      </w:r>
    </w:p>
    <w:p w14:paraId="7105E8E5">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（4）供应商的法人或者其他组织营业执照等证明文件复印件</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14:paraId="227C9FC4">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05928F4">
      <w:pPr>
        <w:tabs>
          <w:tab w:val="left" w:pos="1305"/>
          <w:tab w:val="left" w:pos="7020"/>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（5）供应商</w:t>
      </w:r>
      <w:r>
        <w:rPr>
          <w:rFonts w:hint="eastAsia" w:ascii="Arial" w:hAnsi="Arial" w:eastAsia="宋体" w:cs="Arial"/>
          <w:color w:val="auto"/>
          <w:szCs w:val="21"/>
          <w:highlight w:val="none"/>
        </w:rPr>
        <w:t>2023年</w:t>
      </w:r>
      <w:r>
        <w:rPr>
          <w:rFonts w:ascii="Arial" w:hAnsi="Arial" w:eastAsia="宋体" w:cs="Arial"/>
          <w:color w:val="auto"/>
          <w:szCs w:val="21"/>
          <w:highlight w:val="none"/>
        </w:rPr>
        <w:t>的审计报告或财务报表（至少包含资产负债表、利润表、现金流量表）（2024年新成立的公司提供公司成立日之后次月起到响应文件递交截止前一个月的财务报表）或供应商提交响应文件截止之日前三个月内其基本开户银行出具的银行资信证明（仅提供银行出具的存款证明不能作为其银行资信证明）（格式自拟，若为新成立的供应商单位请按实际月份提供）</w:t>
      </w:r>
      <w:r>
        <w:rPr>
          <w:rFonts w:ascii="Arial" w:hAnsi="Arial" w:eastAsia="宋体" w:cs="Arial"/>
          <w:b/>
          <w:color w:val="auto"/>
          <w:szCs w:val="21"/>
          <w:highlight w:val="none"/>
        </w:rPr>
        <w:t>（必须提供）</w:t>
      </w:r>
      <w:r>
        <w:rPr>
          <w:rFonts w:ascii="Arial" w:hAnsi="Arial" w:eastAsia="宋体" w:cs="Arial"/>
          <w:color w:val="auto"/>
          <w:szCs w:val="21"/>
          <w:highlight w:val="none"/>
        </w:rPr>
        <w:t xml:space="preserve"> ； </w:t>
      </w:r>
    </w:p>
    <w:p w14:paraId="1A8EAE07">
      <w:pPr>
        <w:snapToGrid w:val="0"/>
        <w:spacing w:line="380" w:lineRule="exact"/>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6）供应商至响应文件递交截止时间前6个月内，任意1个月的依法缴纳税费或依法免缴税费（包括无纳税记录或零报税）的证明（新成立的企业按实际提供），证明材料可以是：银行已缴纳税费凭证复印件或第三方有效的相关业务托缴凭证或其他有效证明，或供应商所在地税务部门出具的有效证明（复印件）（格式自拟，若为新成立的企业，请根据实际情况提供）</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14:paraId="0B67F4AB">
      <w:pPr>
        <w:tabs>
          <w:tab w:val="left" w:pos="1305"/>
          <w:tab w:val="left" w:pos="7020"/>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（7）供应商至响应文件递交截止时间前6个月内，任意1个月依法缴纳社会保障资金的相关材料复印件</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14:paraId="46FE6751">
      <w:pPr>
        <w:snapToGrid w:val="0"/>
        <w:spacing w:line="380" w:lineRule="exact"/>
        <w:ind w:firstLine="411" w:firstLineChars="196"/>
        <w:jc w:val="left"/>
        <w:rPr>
          <w:rFonts w:ascii="Arial" w:hAnsi="Arial" w:eastAsia="宋体" w:cs="Arial"/>
          <w:b/>
          <w:color w:val="auto"/>
          <w:szCs w:val="21"/>
          <w:highlight w:val="none"/>
        </w:rPr>
      </w:pPr>
      <w:r>
        <w:rPr>
          <w:rFonts w:ascii="Arial" w:hAnsi="Arial" w:eastAsia="宋体" w:cs="Arial"/>
          <w:color w:val="auto"/>
          <w:szCs w:val="21"/>
          <w:highlight w:val="none"/>
        </w:rPr>
        <w:t>（8）供应商参加采购活动前3年内在经营活动中没有重大违法记录及有关信用信息的书面声明</w:t>
      </w:r>
      <w:r>
        <w:rPr>
          <w:rFonts w:ascii="Arial" w:hAnsi="Arial" w:eastAsia="宋体" w:cs="Arial"/>
          <w:b/>
          <w:color w:val="auto"/>
          <w:szCs w:val="21"/>
          <w:highlight w:val="none"/>
        </w:rPr>
        <w:t>（必须提供）；</w:t>
      </w:r>
    </w:p>
    <w:p w14:paraId="17896F87">
      <w:pPr>
        <w:snapToGrid w:val="0"/>
        <w:spacing w:line="380" w:lineRule="exact"/>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（9）供应商股东及出资信息表</w:t>
      </w:r>
      <w:r>
        <w:rPr>
          <w:rFonts w:ascii="Arial" w:hAnsi="Arial" w:eastAsia="宋体" w:cs="Arial"/>
          <w:b/>
          <w:color w:val="auto"/>
          <w:szCs w:val="21"/>
          <w:highlight w:val="none"/>
        </w:rPr>
        <w:t>（必须提供）</w:t>
      </w:r>
    </w:p>
    <w:p w14:paraId="081227F9">
      <w:pPr>
        <w:snapToGrid w:val="0"/>
        <w:spacing w:line="380" w:lineRule="exact"/>
        <w:ind w:firstLine="411" w:firstLineChars="196"/>
        <w:jc w:val="left"/>
        <w:rPr>
          <w:rFonts w:ascii="Arial" w:hAnsi="Arial" w:eastAsia="宋体" w:cs="Arial"/>
          <w:b/>
          <w:color w:val="auto"/>
          <w:szCs w:val="21"/>
          <w:highlight w:val="none"/>
        </w:rPr>
      </w:pPr>
      <w:r>
        <w:rPr>
          <w:rFonts w:ascii="Arial" w:hAnsi="Arial" w:eastAsia="宋体" w:cs="Arial"/>
          <w:color w:val="auto"/>
          <w:szCs w:val="21"/>
          <w:highlight w:val="none"/>
        </w:rPr>
        <w:t>（10）供应商参加本项目无围标串标行为的承诺函</w:t>
      </w:r>
      <w:r>
        <w:rPr>
          <w:rFonts w:ascii="Arial" w:hAnsi="Arial" w:eastAsia="宋体" w:cs="Arial"/>
          <w:b/>
          <w:color w:val="auto"/>
          <w:szCs w:val="21"/>
          <w:highlight w:val="none"/>
        </w:rPr>
        <w:t>（必须提供）</w:t>
      </w:r>
    </w:p>
    <w:p w14:paraId="7A351DCA">
      <w:pPr>
        <w:snapToGrid w:val="0"/>
        <w:spacing w:line="380" w:lineRule="exact"/>
        <w:ind w:firstLine="411" w:firstLineChars="196"/>
        <w:jc w:val="left"/>
        <w:rPr>
          <w:rFonts w:ascii="Arial" w:hAnsi="Arial" w:eastAsia="宋体" w:cs="Arial"/>
          <w:b/>
          <w:color w:val="auto"/>
          <w:szCs w:val="21"/>
          <w:highlight w:val="none"/>
        </w:rPr>
      </w:pPr>
      <w:r>
        <w:rPr>
          <w:rFonts w:ascii="Arial" w:hAnsi="Arial" w:eastAsia="宋体" w:cs="Arial"/>
          <w:bCs/>
          <w:color w:val="auto"/>
          <w:szCs w:val="21"/>
          <w:highlight w:val="none"/>
        </w:rPr>
        <w:t>（11）谈判保证缴纳证明材料复印件</w:t>
      </w:r>
      <w:r>
        <w:rPr>
          <w:rFonts w:ascii="Arial" w:hAnsi="Arial" w:eastAsia="宋体" w:cs="Arial"/>
          <w:b/>
          <w:color w:val="auto"/>
          <w:szCs w:val="21"/>
          <w:highlight w:val="none"/>
        </w:rPr>
        <w:t>（必须提供）</w:t>
      </w:r>
    </w:p>
    <w:p w14:paraId="69622502">
      <w:pPr>
        <w:tabs>
          <w:tab w:val="left" w:pos="1305"/>
        </w:tabs>
        <w:spacing w:line="390" w:lineRule="exact"/>
        <w:ind w:firstLine="630" w:firstLineChars="300"/>
        <w:rPr>
          <w:rFonts w:ascii="Arial" w:hAnsi="Arial" w:eastAsia="宋体" w:cs="Arial"/>
          <w:b/>
          <w:color w:val="auto"/>
          <w:szCs w:val="21"/>
          <w:highlight w:val="none"/>
        </w:rPr>
      </w:pPr>
      <w:r>
        <w:rPr>
          <w:rFonts w:ascii="Arial" w:hAnsi="Arial" w:eastAsia="宋体" w:cs="Arial"/>
          <w:b/>
          <w:color w:val="auto"/>
          <w:szCs w:val="21"/>
          <w:highlight w:val="none"/>
        </w:rPr>
        <w:t>11.1.2符合性响应证明材料：</w:t>
      </w:r>
    </w:p>
    <w:p w14:paraId="712B4CA6">
      <w:pPr>
        <w:tabs>
          <w:tab w:val="left" w:pos="1305"/>
        </w:tabs>
        <w:spacing w:line="40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（1）谈判报价表</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14:paraId="24CF2F28">
      <w:pPr>
        <w:tabs>
          <w:tab w:val="left" w:pos="1305"/>
        </w:tabs>
        <w:spacing w:line="40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（2）技术响应表</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14:paraId="1899762F">
      <w:pPr>
        <w:tabs>
          <w:tab w:val="left" w:pos="1305"/>
        </w:tabs>
        <w:spacing w:line="40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（3）供应商的项目实施方案</w:t>
      </w:r>
      <w:r>
        <w:rPr>
          <w:rFonts w:ascii="Arial" w:hAnsi="Arial" w:eastAsia="宋体" w:cs="Arial"/>
          <w:b/>
          <w:color w:val="auto"/>
          <w:szCs w:val="21"/>
          <w:highlight w:val="none"/>
        </w:rPr>
        <w:t>（必须提供）</w:t>
      </w:r>
      <w:r>
        <w:rPr>
          <w:rFonts w:ascii="Arial" w:hAnsi="Arial" w:eastAsia="宋体" w:cs="Arial"/>
          <w:color w:val="auto"/>
          <w:szCs w:val="21"/>
          <w:highlight w:val="none"/>
        </w:rPr>
        <w:t>；</w:t>
      </w:r>
    </w:p>
    <w:p w14:paraId="5C40550D">
      <w:pPr>
        <w:tabs>
          <w:tab w:val="left" w:pos="1305"/>
        </w:tabs>
        <w:spacing w:line="400" w:lineRule="exact"/>
        <w:ind w:firstLine="420" w:firstLineChars="200"/>
        <w:rPr>
          <w:rFonts w:ascii="Arial" w:hAnsi="Arial" w:eastAsia="宋体" w:cs="Arial"/>
          <w:b/>
          <w:color w:val="auto"/>
          <w:szCs w:val="21"/>
          <w:highlight w:val="none"/>
        </w:rPr>
      </w:pPr>
      <w:r>
        <w:rPr>
          <w:rFonts w:ascii="Arial" w:hAnsi="Arial" w:eastAsia="宋体" w:cs="Arial"/>
          <w:color w:val="auto"/>
          <w:szCs w:val="21"/>
          <w:highlight w:val="none"/>
        </w:rPr>
        <w:t>（4）供应商的售后服务承诺书</w:t>
      </w:r>
      <w:r>
        <w:rPr>
          <w:rFonts w:ascii="Arial" w:hAnsi="Arial" w:eastAsia="宋体" w:cs="Arial"/>
          <w:b/>
          <w:color w:val="auto"/>
          <w:szCs w:val="21"/>
          <w:highlight w:val="none"/>
        </w:rPr>
        <w:t>（必须提供）；</w:t>
      </w:r>
    </w:p>
    <w:p w14:paraId="70E15409">
      <w:pPr>
        <w:tabs>
          <w:tab w:val="left" w:pos="1305"/>
        </w:tabs>
        <w:spacing w:line="40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（5）商务响应表</w:t>
      </w:r>
      <w:r>
        <w:rPr>
          <w:rFonts w:ascii="Arial" w:hAnsi="Arial" w:eastAsia="宋体" w:cs="Arial"/>
          <w:b/>
          <w:color w:val="auto"/>
          <w:szCs w:val="21"/>
          <w:highlight w:val="none"/>
        </w:rPr>
        <w:t>（必须提供）；</w:t>
      </w:r>
    </w:p>
    <w:p w14:paraId="237AFFA1">
      <w:pPr>
        <w:widowControl/>
        <w:ind w:firstLine="420" w:firstLineChars="200"/>
        <w:jc w:val="left"/>
        <w:rPr>
          <w:rFonts w:ascii="Arial" w:hAnsi="Arial" w:eastAsia="宋体" w:cs="Arial"/>
          <w:b/>
          <w:color w:val="auto"/>
          <w:szCs w:val="21"/>
          <w:highlight w:val="none"/>
        </w:rPr>
      </w:pPr>
      <w:r>
        <w:rPr>
          <w:rFonts w:ascii="Arial" w:hAnsi="Arial" w:eastAsia="宋体" w:cs="Arial"/>
          <w:b/>
          <w:color w:val="auto"/>
          <w:szCs w:val="21"/>
          <w:highlight w:val="none"/>
        </w:rPr>
        <w:t>11.1.3其它有效证明材料：</w:t>
      </w:r>
    </w:p>
    <w:p w14:paraId="43B3439F">
      <w:pPr>
        <w:pStyle w:val="14"/>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（1）项目实施人员一览表</w:t>
      </w:r>
      <w:r>
        <w:rPr>
          <w:rFonts w:ascii="Arial" w:hAnsi="Arial" w:eastAsia="宋体" w:cs="Arial"/>
          <w:b/>
          <w:color w:val="auto"/>
          <w:szCs w:val="21"/>
          <w:highlight w:val="none"/>
        </w:rPr>
        <w:t>【如有，请提供，并一起提供由县级以上（含县级）社会养老保险经办机构出具的供应商为项目实施人员交纳社保证明复印件】；</w:t>
      </w:r>
    </w:p>
    <w:p w14:paraId="0B149993">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（2）供应商具有同类产品的销售业绩的相关证明材料（无不良记录，以中标、成交通知书或签订的销售合同为准，并能清晰反映所销售的货物名称、种类、金额）</w:t>
      </w:r>
      <w:r>
        <w:rPr>
          <w:rFonts w:ascii="Arial" w:hAnsi="Arial" w:eastAsia="宋体" w:cs="Arial"/>
          <w:b/>
          <w:color w:val="auto"/>
          <w:highlight w:val="none"/>
        </w:rPr>
        <w:t>（如有，请提供）；</w:t>
      </w:r>
    </w:p>
    <w:p w14:paraId="722C2D49">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（3）供应商相关获奖证书、认证证书等复印件</w:t>
      </w:r>
      <w:r>
        <w:rPr>
          <w:rFonts w:ascii="Arial" w:hAnsi="Arial" w:eastAsia="宋体" w:cs="Arial"/>
          <w:b/>
          <w:color w:val="auto"/>
          <w:highlight w:val="none"/>
        </w:rPr>
        <w:t>（如有，请提供）；</w:t>
      </w:r>
    </w:p>
    <w:p w14:paraId="143776D0">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highlight w:val="none"/>
        </w:rPr>
        <w:t>（4）供应商可结合本项目自身情况自行提交其它相关证明材料</w:t>
      </w:r>
      <w:r>
        <w:rPr>
          <w:rFonts w:ascii="Arial" w:hAnsi="Arial" w:eastAsia="宋体" w:cs="Arial"/>
          <w:b/>
          <w:color w:val="auto"/>
          <w:highlight w:val="none"/>
        </w:rPr>
        <w:t>（如有，请提供）</w:t>
      </w:r>
      <w:r>
        <w:rPr>
          <w:rFonts w:ascii="Arial" w:hAnsi="Arial" w:eastAsia="宋体" w:cs="Arial"/>
          <w:color w:val="auto"/>
          <w:szCs w:val="21"/>
          <w:highlight w:val="none"/>
        </w:rPr>
        <w:t>。</w:t>
      </w:r>
    </w:p>
    <w:p w14:paraId="530BFF97">
      <w:pPr>
        <w:snapToGrid w:val="0"/>
        <w:spacing w:line="390" w:lineRule="exact"/>
        <w:ind w:firstLine="420" w:firstLineChars="200"/>
        <w:rPr>
          <w:rFonts w:ascii="Arial" w:hAnsi="Arial" w:eastAsia="宋体" w:cs="Arial"/>
          <w:color w:val="auto"/>
          <w:szCs w:val="20"/>
          <w:highlight w:val="none"/>
        </w:rPr>
      </w:pPr>
      <w:r>
        <w:rPr>
          <w:rFonts w:ascii="Arial" w:hAnsi="Arial" w:eastAsia="宋体" w:cs="Arial"/>
          <w:b/>
          <w:color w:val="auto"/>
          <w:szCs w:val="21"/>
          <w:highlight w:val="none"/>
        </w:rPr>
        <w:t>供应商提供的以上相关证明材料必须真实有效，属于“必须提供”的文件必须加盖供应商公章（扫描公章无效），否则响应文件作无效处理。</w:t>
      </w:r>
    </w:p>
    <w:p w14:paraId="73F8A2D0">
      <w:pPr>
        <w:pStyle w:val="14"/>
        <w:spacing w:line="390" w:lineRule="exact"/>
        <w:ind w:firstLine="420" w:firstLineChars="200"/>
        <w:rPr>
          <w:rFonts w:ascii="Arial" w:hAnsi="Arial" w:eastAsia="宋体" w:cs="Arial"/>
          <w:color w:val="auto"/>
          <w:highlight w:val="none"/>
        </w:rPr>
      </w:pPr>
      <w:r>
        <w:rPr>
          <w:rFonts w:ascii="Arial" w:hAnsi="Arial" w:eastAsia="宋体" w:cs="Arial"/>
          <w:color w:val="auto"/>
          <w:highlight w:val="none"/>
        </w:rPr>
        <w:t>11.2 供应商应按竞争性谈判文件第六章“响应文件（格式）”编制响应文件。</w:t>
      </w:r>
    </w:p>
    <w:p w14:paraId="27011229">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12. 响应文件的语言及计量</w:t>
      </w:r>
    </w:p>
    <w:p w14:paraId="0C9B7576">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12.1 响应文件以及供应商与采购代理机构就有关谈判事宜的所有来往函电，均必须以中文汉语书写。供应商提交的支持文件和印刷的文献可以使用别的语言，但其相应内容必须附有中文翻译文本，在解释响应文件时以中文翻译文本为主。</w:t>
      </w:r>
    </w:p>
    <w:p w14:paraId="08F73C37">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12.2 谈判计量单位，谈判文件已有明确规定的，使用谈判文件规定的计量单位；谈判文件没有规定的，必须采用中华人民共和国法定计量单位（货币单位：人民币元），否则视同未响应。</w:t>
      </w:r>
    </w:p>
    <w:p w14:paraId="47EA245C">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13. 谈判报价及采购预算金额</w:t>
      </w:r>
    </w:p>
    <w:p w14:paraId="7928EA14">
      <w:pPr>
        <w:spacing w:line="38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13.1 谈判报价必须按谈判文件中相关附件格式填写。</w:t>
      </w:r>
      <w:r>
        <w:rPr>
          <w:rFonts w:ascii="Arial" w:hAnsi="Arial" w:eastAsia="宋体" w:cs="Arial"/>
          <w:b/>
          <w:bCs/>
          <w:color w:val="auto"/>
          <w:szCs w:val="21"/>
          <w:highlight w:val="none"/>
        </w:rPr>
        <w:t>采购预算金额：</w:t>
      </w:r>
      <w:r>
        <w:rPr>
          <w:rFonts w:hint="eastAsia" w:ascii="Arial" w:hAnsi="Arial" w:eastAsia="宋体" w:cs="Arial"/>
          <w:b/>
          <w:bCs/>
          <w:color w:val="auto"/>
          <w:szCs w:val="21"/>
          <w:highlight w:val="none"/>
        </w:rPr>
        <w:t>人民币叁拾捌万元整（¥380000.00）</w:t>
      </w:r>
      <w:r>
        <w:rPr>
          <w:rFonts w:ascii="Arial" w:hAnsi="Arial" w:eastAsia="宋体" w:cs="Arial"/>
          <w:color w:val="auto"/>
          <w:szCs w:val="21"/>
          <w:highlight w:val="none"/>
        </w:rPr>
        <w:t>。供应商报价超过相应采购预算金额的，响应文件作无效处理。</w:t>
      </w:r>
    </w:p>
    <w:p w14:paraId="7FD1E286">
      <w:pPr>
        <w:spacing w:line="38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13.2供应商必须就“项目采购需求”中所有内容作完整唯一报价，否则，其响应将被拒绝。</w:t>
      </w:r>
    </w:p>
    <w:p w14:paraId="00D8FE99">
      <w:pPr>
        <w:spacing w:line="38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13.3 谈判报价包括</w:t>
      </w:r>
      <w:r>
        <w:rPr>
          <w:rFonts w:hint="eastAsia" w:ascii="Arial" w:hAnsi="Arial" w:eastAsia="宋体" w:cs="Arial"/>
          <w:color w:val="auto"/>
          <w:szCs w:val="21"/>
          <w:highlight w:val="none"/>
        </w:rPr>
        <w:t>本次采购范围内货物货款、货物标准附件、备品备件、专用工具、包装、运输、装卸、保险、税金、货到就位以及安装、安装所需辅材、调试、培训、保修和采购文件要求提供的所有伴随服务、工程等费用和税费</w:t>
      </w:r>
      <w:r>
        <w:rPr>
          <w:rFonts w:ascii="Arial" w:hAnsi="Arial" w:eastAsia="宋体" w:cs="Arial"/>
          <w:color w:val="auto"/>
          <w:szCs w:val="21"/>
          <w:highlight w:val="none"/>
        </w:rPr>
        <w:t>；供应商综合考虑在报价中。</w:t>
      </w:r>
    </w:p>
    <w:p w14:paraId="2A34514D">
      <w:pPr>
        <w:spacing w:line="38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13.4未书面退出谈判的供应商必须在规定时间内密封提交最后报价，其最后报价不得超出采购预算；谈判过程中谈判文件未作实质性变动的，最后报价不得超过首次报价。</w:t>
      </w:r>
    </w:p>
    <w:p w14:paraId="5DE75272">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14. 响应文件有效期</w:t>
      </w:r>
    </w:p>
    <w:p w14:paraId="59B3BE77">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14.1 响应文件有效期：响应文件递交截止时间之日起90天，有效期不足的响应文件将被拒绝。</w:t>
      </w:r>
    </w:p>
    <w:p w14:paraId="084E9275">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14.2 出现特殊情况下，需要延长响应文件有效期的，采购代理机构以书面形式通知供应商延长响应文件有效期。供应商同意延长的，不能修改响应文件。供应商拒绝延长的，其响应文件无效。</w:t>
      </w:r>
    </w:p>
    <w:p w14:paraId="72054D63">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15. 响应文件的份数、装订、签署和包装、密封</w:t>
      </w:r>
    </w:p>
    <w:p w14:paraId="05BB7F54">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15.1 响应文件份数：正本壹册，副本贰册，须完整提交（A4纸装订）。</w:t>
      </w:r>
    </w:p>
    <w:p w14:paraId="4D8904A3">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color w:val="auto"/>
          <w:szCs w:val="21"/>
          <w:highlight w:val="none"/>
        </w:rPr>
        <w:t>15.2 响应文件装订要求：供应商必须按供应商须知第11.1条“响应文件组成”规定的顺序自编目录及页码。响应文件的“正本”、“副本”必须单独装订成册并标注页码，装订牢固，不易拆散和换页。封面注明“正本”、“副本”字样，封面上写明项目名称、项目编号、采购代理机构、供应商单位名称。</w:t>
      </w:r>
    </w:p>
    <w:p w14:paraId="21B90B72">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15.3 响应文件的正本需打印或用不褪色的墨水填写，响应文件正本除本谈判文件中规定的可提供复印件外均须提供原件。</w:t>
      </w:r>
    </w:p>
    <w:p w14:paraId="58DBF07C">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15.4响应文件须由供应商在规定位置加盖供应商公章（扫描公章无效）并由法定代表人（负责人)或相应的授权委托代理人签字，供应商应写全称，响应文件副本可以是加盖公章的正本的复印件，当正本与副本不一致时，以正本为准。</w:t>
      </w:r>
    </w:p>
    <w:p w14:paraId="7152C038">
      <w:pPr>
        <w:spacing w:line="390" w:lineRule="exact"/>
        <w:ind w:left="315" w:leftChars="150" w:firstLine="105" w:firstLineChars="50"/>
        <w:rPr>
          <w:rFonts w:ascii="Arial" w:hAnsi="Arial" w:eastAsia="宋体" w:cs="Arial"/>
          <w:color w:val="auto"/>
          <w:szCs w:val="21"/>
          <w:highlight w:val="none"/>
        </w:rPr>
      </w:pPr>
      <w:r>
        <w:rPr>
          <w:rFonts w:ascii="Arial" w:hAnsi="Arial" w:eastAsia="宋体" w:cs="Arial"/>
          <w:color w:val="auto"/>
          <w:szCs w:val="21"/>
          <w:highlight w:val="none"/>
        </w:rPr>
        <w:t>15.5响应文件不得涂改，若有修改错漏处，须加盖供应商公章及法定代表人、负责人或相应的授权</w:t>
      </w:r>
    </w:p>
    <w:p w14:paraId="3A1DAA06">
      <w:pPr>
        <w:spacing w:line="390" w:lineRule="exact"/>
        <w:rPr>
          <w:rFonts w:ascii="Arial" w:hAnsi="Arial" w:eastAsia="宋体" w:cs="Arial"/>
          <w:color w:val="auto"/>
          <w:szCs w:val="21"/>
          <w:highlight w:val="none"/>
        </w:rPr>
      </w:pPr>
      <w:r>
        <w:rPr>
          <w:rFonts w:ascii="Arial" w:hAnsi="Arial" w:eastAsia="宋体" w:cs="Arial"/>
          <w:color w:val="auto"/>
          <w:szCs w:val="21"/>
          <w:highlight w:val="none"/>
        </w:rPr>
        <w:t>委托代理人签字。响应文件因字迹潦草或表达不清所引起的后果由供应商负责。</w:t>
      </w:r>
    </w:p>
    <w:p w14:paraId="3C6A10BF">
      <w:pPr>
        <w:snapToGrid w:val="0"/>
        <w:spacing w:line="39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15.6 响应文件包装、密封、标记：</w:t>
      </w:r>
    </w:p>
    <w:p w14:paraId="5E824A37">
      <w:pPr>
        <w:snapToGrid w:val="0"/>
        <w:spacing w:line="39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15.6.1 响应文件包装、密封：供应商须将</w:t>
      </w:r>
      <w:r>
        <w:rPr>
          <w:rFonts w:ascii="Arial" w:hAnsi="Arial" w:eastAsia="宋体" w:cs="Arial"/>
          <w:color w:val="auto"/>
          <w:highlight w:val="none"/>
        </w:rPr>
        <w:t>响应文件正、副本全部装入一个或多个包封袋/箱（响应文件的补充、修改可另行单独递交）中并加以密封，封口处必须密封签字【供应商的法定代表人</w:t>
      </w:r>
      <w:r>
        <w:rPr>
          <w:rFonts w:ascii="Arial" w:hAnsi="Arial" w:eastAsia="宋体" w:cs="Arial"/>
          <w:color w:val="auto"/>
          <w:szCs w:val="21"/>
          <w:highlight w:val="none"/>
        </w:rPr>
        <w:t>（负责人)</w:t>
      </w:r>
      <w:r>
        <w:rPr>
          <w:rFonts w:ascii="Arial" w:hAnsi="Arial" w:eastAsia="宋体" w:cs="Arial"/>
          <w:color w:val="auto"/>
          <w:highlight w:val="none"/>
        </w:rPr>
        <w:t>或委托代理人签字均可】或加盖供应商公章，以示密封。</w:t>
      </w:r>
    </w:p>
    <w:p w14:paraId="75D8FC5C">
      <w:pPr>
        <w:snapToGrid w:val="0"/>
        <w:spacing w:line="39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15.6.2 响应文件袋（盒、箱）标记：</w:t>
      </w:r>
    </w:p>
    <w:p w14:paraId="5AA6BB81">
      <w:pPr>
        <w:snapToGrid w:val="0"/>
        <w:spacing w:line="390" w:lineRule="exact"/>
        <w:ind w:firstLine="1260" w:firstLineChars="600"/>
        <w:jc w:val="left"/>
        <w:rPr>
          <w:rFonts w:ascii="Arial" w:hAnsi="Arial" w:eastAsia="宋体" w:cs="Arial"/>
          <w:color w:val="auto"/>
          <w:szCs w:val="21"/>
          <w:highlight w:val="none"/>
        </w:rPr>
      </w:pPr>
      <w:r>
        <w:rPr>
          <w:rFonts w:ascii="Arial" w:hAnsi="Arial" w:eastAsia="宋体" w:cs="Arial"/>
          <w:color w:val="auto"/>
          <w:szCs w:val="21"/>
          <w:highlight w:val="none"/>
        </w:rPr>
        <w:t>项目名称：</w:t>
      </w:r>
      <w:r>
        <w:rPr>
          <w:rFonts w:hint="eastAsia" w:ascii="Arial" w:hAnsi="Arial" w:eastAsia="宋体" w:cs="Arial"/>
          <w:color w:val="auto"/>
          <w:szCs w:val="21"/>
          <w:highlight w:val="none"/>
        </w:rPr>
        <w:t>材料学院虚拟仿真实验教学中心建设设备采购项目</w:t>
      </w:r>
    </w:p>
    <w:p w14:paraId="73D63859">
      <w:pPr>
        <w:snapToGrid w:val="0"/>
        <w:spacing w:line="390" w:lineRule="exact"/>
        <w:ind w:firstLine="1260" w:firstLineChars="600"/>
        <w:jc w:val="left"/>
        <w:rPr>
          <w:rFonts w:hint="eastAsia" w:ascii="Arial" w:hAnsi="Arial" w:eastAsia="宋体" w:cs="Arial"/>
          <w:color w:val="auto"/>
          <w:szCs w:val="21"/>
          <w:highlight w:val="none"/>
          <w:lang w:eastAsia="zh-CN"/>
        </w:rPr>
      </w:pPr>
      <w:r>
        <w:rPr>
          <w:rFonts w:ascii="Arial" w:hAnsi="Arial" w:eastAsia="宋体" w:cs="Arial"/>
          <w:color w:val="auto"/>
          <w:szCs w:val="21"/>
          <w:highlight w:val="none"/>
        </w:rPr>
        <w:t>项目编号：</w:t>
      </w:r>
      <w:r>
        <w:rPr>
          <w:rFonts w:hint="eastAsia" w:ascii="Arial" w:hAnsi="Arial" w:eastAsia="宋体" w:cs="Arial"/>
          <w:color w:val="auto"/>
          <w:szCs w:val="21"/>
          <w:highlight w:val="none"/>
          <w:lang w:eastAsia="zh-CN"/>
        </w:rPr>
        <w:t>GXJD-24114CC031368</w:t>
      </w:r>
    </w:p>
    <w:p w14:paraId="410145A3">
      <w:pPr>
        <w:snapToGrid w:val="0"/>
        <w:spacing w:line="390" w:lineRule="exact"/>
        <w:ind w:firstLine="1260" w:firstLineChars="600"/>
        <w:jc w:val="left"/>
        <w:rPr>
          <w:rFonts w:hint="eastAsia" w:ascii="Arial" w:hAnsi="Arial" w:eastAsia="宋体" w:cs="Arial"/>
          <w:color w:val="auto"/>
          <w:szCs w:val="21"/>
          <w:highlight w:val="none"/>
          <w:lang w:eastAsia="zh-CN"/>
        </w:rPr>
      </w:pPr>
      <w:r>
        <w:rPr>
          <w:rFonts w:ascii="Arial" w:hAnsi="Arial" w:eastAsia="宋体" w:cs="Arial"/>
          <w:color w:val="auto"/>
          <w:szCs w:val="21"/>
          <w:highlight w:val="none"/>
        </w:rPr>
        <w:t>采购代理机构：</w:t>
      </w:r>
      <w:r>
        <w:rPr>
          <w:rFonts w:hint="eastAsia" w:ascii="Arial" w:hAnsi="Arial" w:eastAsia="宋体" w:cs="Arial"/>
          <w:color w:val="auto"/>
          <w:szCs w:val="21"/>
          <w:highlight w:val="none"/>
          <w:lang w:eastAsia="zh-CN"/>
        </w:rPr>
        <w:t>广西机电设备招标有限公司</w:t>
      </w:r>
    </w:p>
    <w:p w14:paraId="31123590">
      <w:pPr>
        <w:snapToGrid w:val="0"/>
        <w:spacing w:line="390" w:lineRule="exact"/>
        <w:ind w:firstLine="1260" w:firstLineChars="600"/>
        <w:jc w:val="left"/>
        <w:rPr>
          <w:rFonts w:ascii="Arial" w:hAnsi="Arial" w:eastAsia="宋体" w:cs="Arial"/>
          <w:color w:val="auto"/>
          <w:szCs w:val="21"/>
          <w:highlight w:val="none"/>
        </w:rPr>
      </w:pPr>
      <w:r>
        <w:rPr>
          <w:rFonts w:ascii="Arial" w:hAnsi="Arial" w:eastAsia="宋体" w:cs="Arial"/>
          <w:color w:val="auto"/>
          <w:szCs w:val="21"/>
          <w:highlight w:val="none"/>
        </w:rPr>
        <w:t>供应商名称：</w:t>
      </w:r>
    </w:p>
    <w:p w14:paraId="79AFFB59">
      <w:pPr>
        <w:snapToGrid w:val="0"/>
        <w:spacing w:line="39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15.7 供应商公章：</w:t>
      </w:r>
      <w:r>
        <w:rPr>
          <w:rFonts w:ascii="Arial" w:hAnsi="Arial" w:eastAsia="宋体" w:cs="Arial"/>
          <w:color w:val="auto"/>
          <w:highlight w:val="none"/>
        </w:rPr>
        <w:t>本竞争性谈判文件中描述供应商的“公章”是指根据我国对公章的管理规定，用供应商登记注册法定主体的名称合法制作的公章，除本竞争性谈判文件中有特殊规定外，供应商的其他专用章均不能代替公章。</w:t>
      </w:r>
    </w:p>
    <w:p w14:paraId="4FE60AD2">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16. 响应文件的修改和撤回</w:t>
      </w:r>
    </w:p>
    <w:p w14:paraId="38329BDE">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16.1 供应商在响应文件递交截止时间之前，可以对已递交的响应文件进行修改或撤回，并书面通知采购代理机构。</w:t>
      </w:r>
    </w:p>
    <w:p w14:paraId="7F34A466">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16.2 在响应文件递交截止时间后的响应文件有效期内，供应商不得撤回其响应文件。</w:t>
      </w:r>
    </w:p>
    <w:p w14:paraId="484326D5">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17. 响应文件的递交</w:t>
      </w:r>
    </w:p>
    <w:p w14:paraId="4292F155">
      <w:pPr>
        <w:tabs>
          <w:tab w:val="left" w:pos="1305"/>
        </w:tabs>
        <w:spacing w:line="390" w:lineRule="exact"/>
        <w:ind w:left="210" w:leftChars="100" w:firstLine="210" w:firstLineChars="100"/>
        <w:rPr>
          <w:rFonts w:ascii="Arial" w:hAnsi="Arial" w:eastAsia="宋体" w:cs="Arial"/>
          <w:color w:val="auto"/>
          <w:szCs w:val="21"/>
          <w:highlight w:val="none"/>
        </w:rPr>
      </w:pPr>
      <w:r>
        <w:rPr>
          <w:rFonts w:ascii="Arial" w:hAnsi="Arial" w:eastAsia="宋体" w:cs="Arial"/>
          <w:color w:val="auto"/>
          <w:szCs w:val="21"/>
          <w:highlight w:val="none"/>
        </w:rPr>
        <w:t>17.1供应商必须于2024年</w:t>
      </w:r>
      <w:r>
        <w:rPr>
          <w:rFonts w:hint="eastAsia" w:ascii="Arial" w:hAnsi="Arial" w:eastAsia="宋体" w:cs="Arial"/>
          <w:color w:val="auto"/>
          <w:szCs w:val="21"/>
          <w:highlight w:val="none"/>
        </w:rPr>
        <w:t>8月23日</w:t>
      </w:r>
      <w:r>
        <w:rPr>
          <w:rFonts w:hint="eastAsia" w:ascii="Arial" w:hAnsi="Arial" w:eastAsia="宋体" w:cs="Arial"/>
          <w:bCs/>
          <w:color w:val="auto"/>
          <w:szCs w:val="21"/>
          <w:highlight w:val="none"/>
          <w:lang w:val="en-US" w:eastAsia="zh-CN"/>
        </w:rPr>
        <w:t>14</w:t>
      </w:r>
      <w:r>
        <w:rPr>
          <w:rFonts w:ascii="Arial" w:hAnsi="Arial" w:eastAsia="宋体" w:cs="Arial"/>
          <w:bCs/>
          <w:color w:val="auto"/>
          <w:szCs w:val="21"/>
          <w:highlight w:val="none"/>
        </w:rPr>
        <w:t>时</w:t>
      </w:r>
      <w:r>
        <w:rPr>
          <w:rFonts w:hint="eastAsia" w:ascii="Arial" w:hAnsi="Arial" w:eastAsia="宋体" w:cs="Arial"/>
          <w:bCs/>
          <w:color w:val="auto"/>
          <w:szCs w:val="21"/>
          <w:highlight w:val="none"/>
          <w:lang w:val="en-US" w:eastAsia="zh-CN"/>
        </w:rPr>
        <w:t>0</w:t>
      </w:r>
      <w:r>
        <w:rPr>
          <w:rFonts w:ascii="Arial" w:hAnsi="Arial" w:eastAsia="宋体" w:cs="Arial"/>
          <w:bCs/>
          <w:color w:val="auto"/>
          <w:szCs w:val="21"/>
          <w:highlight w:val="none"/>
        </w:rPr>
        <w:t>0分起至</w:t>
      </w:r>
      <w:r>
        <w:rPr>
          <w:rFonts w:hint="eastAsia" w:ascii="Arial" w:hAnsi="Arial" w:eastAsia="宋体" w:cs="Arial"/>
          <w:bCs/>
          <w:color w:val="auto"/>
          <w:szCs w:val="21"/>
          <w:highlight w:val="none"/>
          <w:lang w:val="en-US" w:eastAsia="zh-CN"/>
        </w:rPr>
        <w:t>14</w:t>
      </w:r>
      <w:r>
        <w:rPr>
          <w:rFonts w:ascii="Arial" w:hAnsi="Arial" w:eastAsia="宋体" w:cs="Arial"/>
          <w:bCs/>
          <w:color w:val="auto"/>
          <w:szCs w:val="21"/>
          <w:highlight w:val="none"/>
        </w:rPr>
        <w:t>时30分止</w:t>
      </w:r>
      <w:r>
        <w:rPr>
          <w:rFonts w:ascii="Arial" w:hAnsi="Arial" w:eastAsia="宋体" w:cs="Arial"/>
          <w:color w:val="auto"/>
          <w:szCs w:val="21"/>
          <w:highlight w:val="none"/>
        </w:rPr>
        <w:t>，将响应文件密封提交至</w:t>
      </w:r>
      <w:r>
        <w:rPr>
          <w:rFonts w:hint="eastAsia" w:ascii="Arial" w:hAnsi="Arial" w:eastAsia="宋体" w:cs="Arial"/>
          <w:color w:val="auto"/>
          <w:szCs w:val="21"/>
          <w:highlight w:val="none"/>
        </w:rPr>
        <w:t>广西机电设备招标有限公司桂林分公司</w:t>
      </w:r>
      <w:r>
        <w:rPr>
          <w:rFonts w:hint="eastAsia" w:ascii="Arial" w:hAnsi="Arial" w:eastAsia="宋体" w:cs="Arial"/>
          <w:color w:val="auto"/>
          <w:szCs w:val="21"/>
          <w:highlight w:val="none"/>
          <w:lang w:val="en-US" w:eastAsia="zh-CN"/>
        </w:rPr>
        <w:t>开标室</w:t>
      </w:r>
      <w:r>
        <w:rPr>
          <w:rFonts w:ascii="Arial" w:hAnsi="Arial" w:eastAsia="宋体" w:cs="Arial"/>
          <w:color w:val="auto"/>
          <w:szCs w:val="21"/>
          <w:highlight w:val="none"/>
        </w:rPr>
        <w:t>，供应商参加谈判的法定代表人或委托代理人须持有效证件（法定代表人凭身份证或委托代理人凭法人授权委托书原件、本人身份证原件，不须密封，单独提交），依时到达指定地点提交响应文件，未携带以上相关材料递交的或逾期送达的或未按照谈判文件要求密封的响应文件将予以拒收。</w:t>
      </w:r>
    </w:p>
    <w:p w14:paraId="136E1937">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17.2 除竞争性谈判文件另有规定外，供应商所递交的响应文件不予退还。</w:t>
      </w:r>
    </w:p>
    <w:p w14:paraId="052EC0D4">
      <w:pPr>
        <w:tabs>
          <w:tab w:val="left" w:pos="1305"/>
        </w:tabs>
        <w:spacing w:line="390" w:lineRule="exact"/>
        <w:ind w:firstLine="420" w:firstLineChars="200"/>
        <w:rPr>
          <w:rFonts w:ascii="Arial" w:hAnsi="Arial" w:eastAsia="宋体" w:cs="Arial"/>
          <w:color w:val="auto"/>
          <w:szCs w:val="21"/>
          <w:highlight w:val="none"/>
        </w:rPr>
      </w:pPr>
    </w:p>
    <w:p w14:paraId="0E8AE87E">
      <w:pPr>
        <w:tabs>
          <w:tab w:val="left" w:pos="1305"/>
        </w:tabs>
        <w:spacing w:line="390" w:lineRule="exact"/>
        <w:ind w:firstLine="560" w:firstLineChars="200"/>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t>四、竞争性谈判（简称谈判）与评审</w:t>
      </w:r>
    </w:p>
    <w:p w14:paraId="4F88510B">
      <w:pPr>
        <w:tabs>
          <w:tab w:val="center" w:pos="4411"/>
          <w:tab w:val="left" w:pos="5475"/>
        </w:tabs>
        <w:spacing w:line="390" w:lineRule="exact"/>
        <w:ind w:firstLine="420" w:firstLineChars="200"/>
        <w:jc w:val="left"/>
        <w:rPr>
          <w:rFonts w:ascii="Arial" w:hAnsi="Arial" w:eastAsia="宋体" w:cs="Arial"/>
          <w:b/>
          <w:color w:val="auto"/>
          <w:szCs w:val="21"/>
          <w:highlight w:val="none"/>
        </w:rPr>
      </w:pPr>
      <w:r>
        <w:rPr>
          <w:rFonts w:ascii="Arial" w:hAnsi="Arial" w:eastAsia="宋体" w:cs="Arial"/>
          <w:b/>
          <w:color w:val="auto"/>
          <w:szCs w:val="21"/>
          <w:highlight w:val="none"/>
        </w:rPr>
        <w:t>18. 谈判小组组成及谈判时间、地点、人员</w:t>
      </w:r>
    </w:p>
    <w:p w14:paraId="38D8308A">
      <w:pPr>
        <w:spacing w:line="390" w:lineRule="exact"/>
        <w:ind w:firstLine="435"/>
        <w:rPr>
          <w:rFonts w:ascii="Arial" w:hAnsi="Arial" w:eastAsia="宋体" w:cs="Arial"/>
          <w:b/>
          <w:color w:val="auto"/>
          <w:szCs w:val="21"/>
          <w:highlight w:val="none"/>
        </w:rPr>
      </w:pPr>
      <w:r>
        <w:rPr>
          <w:rFonts w:ascii="Arial" w:hAnsi="Arial" w:eastAsia="宋体" w:cs="Arial"/>
          <w:b/>
          <w:color w:val="auto"/>
          <w:szCs w:val="21"/>
          <w:highlight w:val="none"/>
        </w:rPr>
        <w:t>18.1 谈判小组组成：</w:t>
      </w:r>
    </w:p>
    <w:p w14:paraId="5515A648">
      <w:pPr>
        <w:spacing w:line="390" w:lineRule="exact"/>
        <w:ind w:firstLine="435"/>
        <w:rPr>
          <w:rFonts w:ascii="Arial" w:hAnsi="Arial" w:eastAsia="宋体" w:cs="Arial"/>
          <w:color w:val="auto"/>
          <w:szCs w:val="21"/>
          <w:highlight w:val="none"/>
        </w:rPr>
      </w:pPr>
      <w:r>
        <w:rPr>
          <w:rFonts w:ascii="Arial" w:hAnsi="Arial" w:eastAsia="宋体" w:cs="Arial"/>
          <w:color w:val="auto"/>
          <w:szCs w:val="21"/>
          <w:highlight w:val="none"/>
        </w:rPr>
        <w:t>谈判及评审组织工作由采购代理机构负责，具体谈判、评审工作由依法组建的谈判小组负责，谈判小组由采购人代表和有关方面的专家组成。谈判小组的构成：</w:t>
      </w:r>
      <w:r>
        <w:rPr>
          <w:rFonts w:ascii="Arial" w:hAnsi="Arial" w:eastAsia="宋体" w:cs="Arial"/>
          <w:color w:val="auto"/>
          <w:szCs w:val="21"/>
          <w:highlight w:val="none"/>
          <w:u w:val="single"/>
        </w:rPr>
        <w:t>3</w:t>
      </w:r>
      <w:r>
        <w:rPr>
          <w:rFonts w:ascii="Arial" w:hAnsi="Arial" w:eastAsia="宋体" w:cs="Arial"/>
          <w:color w:val="auto"/>
          <w:szCs w:val="21"/>
          <w:highlight w:val="none"/>
        </w:rPr>
        <w:t>人，其中采购人代表</w:t>
      </w:r>
      <w:r>
        <w:rPr>
          <w:rFonts w:ascii="Arial" w:hAnsi="Arial" w:eastAsia="宋体" w:cs="Arial"/>
          <w:color w:val="auto"/>
          <w:szCs w:val="21"/>
          <w:highlight w:val="none"/>
          <w:u w:val="single"/>
        </w:rPr>
        <w:t xml:space="preserve"> 1</w:t>
      </w:r>
      <w:r>
        <w:rPr>
          <w:rFonts w:ascii="Arial" w:hAnsi="Arial" w:eastAsia="宋体" w:cs="Arial"/>
          <w:color w:val="auto"/>
          <w:szCs w:val="21"/>
          <w:highlight w:val="none"/>
        </w:rPr>
        <w:t xml:space="preserve"> 人，有关专家 </w:t>
      </w:r>
      <w:r>
        <w:rPr>
          <w:rFonts w:ascii="Arial" w:hAnsi="Arial" w:eastAsia="宋体" w:cs="Arial"/>
          <w:color w:val="auto"/>
          <w:szCs w:val="21"/>
          <w:highlight w:val="none"/>
          <w:u w:val="single"/>
        </w:rPr>
        <w:t>2</w:t>
      </w:r>
      <w:r>
        <w:rPr>
          <w:rFonts w:ascii="Arial" w:hAnsi="Arial" w:eastAsia="宋体" w:cs="Arial"/>
          <w:color w:val="auto"/>
          <w:szCs w:val="21"/>
          <w:highlight w:val="none"/>
        </w:rPr>
        <w:t>人。</w:t>
      </w:r>
    </w:p>
    <w:p w14:paraId="5EDB4299">
      <w:pPr>
        <w:tabs>
          <w:tab w:val="left" w:pos="1140"/>
        </w:tabs>
        <w:spacing w:line="390" w:lineRule="exact"/>
        <w:ind w:left="419" w:leftChars="172" w:hanging="58" w:hangingChars="28"/>
        <w:rPr>
          <w:rFonts w:ascii="Arial" w:hAnsi="Arial" w:eastAsia="宋体" w:cs="Arial"/>
          <w:b/>
          <w:color w:val="auto"/>
          <w:szCs w:val="21"/>
          <w:highlight w:val="none"/>
        </w:rPr>
      </w:pPr>
      <w:r>
        <w:rPr>
          <w:rFonts w:ascii="Arial" w:hAnsi="Arial" w:eastAsia="宋体" w:cs="Arial"/>
          <w:b/>
          <w:color w:val="auto"/>
          <w:szCs w:val="21"/>
          <w:highlight w:val="none"/>
        </w:rPr>
        <w:t>18.2 谈判时间、地点、人员：</w:t>
      </w:r>
    </w:p>
    <w:p w14:paraId="36089F9F">
      <w:pPr>
        <w:spacing w:line="390" w:lineRule="exact"/>
        <w:ind w:left="315" w:leftChars="150" w:firstLine="105" w:firstLineChars="50"/>
        <w:rPr>
          <w:rFonts w:ascii="Arial" w:hAnsi="Arial" w:eastAsia="宋体" w:cs="Arial"/>
          <w:color w:val="auto"/>
          <w:szCs w:val="21"/>
          <w:highlight w:val="none"/>
        </w:rPr>
      </w:pPr>
      <w:r>
        <w:rPr>
          <w:rFonts w:ascii="Arial" w:hAnsi="Arial" w:eastAsia="宋体" w:cs="Arial"/>
          <w:color w:val="auto"/>
          <w:szCs w:val="21"/>
          <w:highlight w:val="none"/>
        </w:rPr>
        <w:t>18.2.1 谈判时间：首次</w:t>
      </w:r>
      <w:r>
        <w:rPr>
          <w:rFonts w:ascii="Arial" w:hAnsi="Arial" w:eastAsia="宋体" w:cs="Arial"/>
          <w:color w:val="auto"/>
          <w:position w:val="-2"/>
          <w:szCs w:val="21"/>
          <w:highlight w:val="none"/>
        </w:rPr>
        <w:t>响应文件递交</w:t>
      </w:r>
      <w:r>
        <w:rPr>
          <w:rFonts w:ascii="Arial" w:hAnsi="Arial" w:eastAsia="宋体" w:cs="Arial"/>
          <w:color w:val="auto"/>
          <w:szCs w:val="21"/>
          <w:highlight w:val="none"/>
        </w:rPr>
        <w:t>截止时间后。</w:t>
      </w:r>
    </w:p>
    <w:p w14:paraId="5ADD99FB">
      <w:pPr>
        <w:tabs>
          <w:tab w:val="left" w:pos="1305"/>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18.2.2</w:t>
      </w:r>
      <w:r>
        <w:rPr>
          <w:rFonts w:ascii="Arial" w:hAnsi="Arial" w:eastAsia="宋体" w:cs="Arial"/>
          <w:color w:val="auto"/>
          <w:position w:val="-2"/>
          <w:szCs w:val="21"/>
          <w:highlight w:val="none"/>
        </w:rPr>
        <w:t xml:space="preserve"> 谈判地点：</w:t>
      </w:r>
      <w:r>
        <w:rPr>
          <w:rFonts w:hint="eastAsia" w:ascii="Arial" w:hAnsi="Arial" w:eastAsia="宋体" w:cs="Arial"/>
          <w:color w:val="auto"/>
          <w:szCs w:val="21"/>
          <w:highlight w:val="none"/>
          <w:lang w:eastAsia="zh-CN"/>
        </w:rPr>
        <w:t>广西机电设备招标有限公司</w:t>
      </w:r>
      <w:r>
        <w:rPr>
          <w:rFonts w:hint="eastAsia" w:ascii="Arial" w:hAnsi="Arial" w:eastAsia="宋体" w:cs="Arial"/>
          <w:color w:val="auto"/>
          <w:szCs w:val="21"/>
          <w:highlight w:val="none"/>
        </w:rPr>
        <w:t>桂林分公司</w:t>
      </w:r>
      <w:r>
        <w:rPr>
          <w:rFonts w:hint="eastAsia" w:ascii="Arial" w:hAnsi="Arial" w:eastAsia="宋体" w:cs="Arial"/>
          <w:color w:val="auto"/>
          <w:szCs w:val="21"/>
          <w:highlight w:val="none"/>
          <w:lang w:val="en-US" w:eastAsia="zh-CN"/>
        </w:rPr>
        <w:t>评标室</w:t>
      </w:r>
      <w:r>
        <w:rPr>
          <w:rFonts w:ascii="Arial" w:hAnsi="Arial" w:eastAsia="宋体" w:cs="Arial"/>
          <w:color w:val="auto"/>
          <w:position w:val="-2"/>
          <w:szCs w:val="21"/>
          <w:highlight w:val="none"/>
        </w:rPr>
        <w:t>。</w:t>
      </w:r>
    </w:p>
    <w:p w14:paraId="1D623017">
      <w:pPr>
        <w:tabs>
          <w:tab w:val="left" w:pos="1140"/>
        </w:tabs>
        <w:spacing w:line="390" w:lineRule="exact"/>
        <w:ind w:left="420" w:leftChars="200"/>
        <w:rPr>
          <w:rFonts w:ascii="Arial" w:hAnsi="Arial" w:eastAsia="宋体" w:cs="Arial"/>
          <w:color w:val="auto"/>
          <w:szCs w:val="21"/>
          <w:highlight w:val="none"/>
        </w:rPr>
      </w:pPr>
      <w:r>
        <w:rPr>
          <w:rFonts w:ascii="Arial" w:hAnsi="Arial" w:eastAsia="宋体" w:cs="Arial"/>
          <w:color w:val="auto"/>
          <w:szCs w:val="21"/>
          <w:highlight w:val="none"/>
        </w:rPr>
        <w:t>18.2.3 谈判参加人员：供应商法定代表人(负责人)或相应的委托代理人持有效身份证原件参加</w:t>
      </w:r>
    </w:p>
    <w:p w14:paraId="0EA1CBF7">
      <w:pPr>
        <w:tabs>
          <w:tab w:val="left" w:pos="1140"/>
        </w:tabs>
        <w:spacing w:line="390" w:lineRule="exact"/>
        <w:ind w:left="420" w:leftChars="200"/>
        <w:rPr>
          <w:rFonts w:ascii="Arial" w:hAnsi="Arial" w:eastAsia="宋体" w:cs="Arial"/>
          <w:color w:val="auto"/>
          <w:szCs w:val="21"/>
          <w:highlight w:val="none"/>
        </w:rPr>
      </w:pPr>
      <w:r>
        <w:rPr>
          <w:rFonts w:ascii="Arial" w:hAnsi="Arial" w:eastAsia="宋体" w:cs="Arial"/>
          <w:color w:val="auto"/>
          <w:szCs w:val="21"/>
          <w:highlight w:val="none"/>
        </w:rPr>
        <w:t>谈判。请供应商按时到达指定地点等候当面谈判。</w:t>
      </w:r>
    </w:p>
    <w:p w14:paraId="5EE3E2B4">
      <w:pPr>
        <w:tabs>
          <w:tab w:val="left" w:pos="1140"/>
        </w:tabs>
        <w:spacing w:line="390" w:lineRule="exact"/>
        <w:ind w:left="420" w:leftChars="200"/>
        <w:rPr>
          <w:rFonts w:ascii="Arial" w:hAnsi="Arial" w:eastAsia="宋体" w:cs="Arial"/>
          <w:color w:val="auto"/>
          <w:szCs w:val="21"/>
          <w:highlight w:val="none"/>
        </w:rPr>
      </w:pPr>
      <w:r>
        <w:rPr>
          <w:rFonts w:ascii="Arial" w:hAnsi="Arial" w:eastAsia="宋体" w:cs="Arial"/>
          <w:color w:val="auto"/>
          <w:position w:val="-2"/>
          <w:szCs w:val="21"/>
          <w:highlight w:val="none"/>
        </w:rPr>
        <w:t>18.2.4首次响应文件递交</w:t>
      </w:r>
      <w:r>
        <w:rPr>
          <w:rFonts w:ascii="Arial" w:hAnsi="Arial" w:eastAsia="宋体" w:cs="Arial"/>
          <w:color w:val="auto"/>
          <w:szCs w:val="21"/>
          <w:highlight w:val="none"/>
        </w:rPr>
        <w:t xml:space="preserve">截止时间后，由谈判小组在评标室内开启响应文件。  </w:t>
      </w:r>
    </w:p>
    <w:p w14:paraId="2838EE82">
      <w:pPr>
        <w:tabs>
          <w:tab w:val="left" w:pos="1140"/>
        </w:tabs>
        <w:spacing w:line="390" w:lineRule="exact"/>
        <w:ind w:left="419" w:leftChars="172" w:hanging="58" w:hangingChars="28"/>
        <w:rPr>
          <w:rFonts w:ascii="Arial" w:hAnsi="Arial" w:eastAsia="宋体" w:cs="Arial"/>
          <w:b/>
          <w:color w:val="auto"/>
          <w:szCs w:val="21"/>
          <w:highlight w:val="none"/>
        </w:rPr>
      </w:pPr>
      <w:r>
        <w:rPr>
          <w:rFonts w:ascii="Arial" w:hAnsi="Arial" w:eastAsia="宋体" w:cs="Arial"/>
          <w:b/>
          <w:color w:val="auto"/>
          <w:szCs w:val="21"/>
          <w:highlight w:val="none"/>
        </w:rPr>
        <w:t>19. 评审原则和评审办法</w:t>
      </w:r>
    </w:p>
    <w:p w14:paraId="0EBBB4BB">
      <w:pPr>
        <w:tabs>
          <w:tab w:val="left" w:pos="1140"/>
        </w:tabs>
        <w:spacing w:line="390" w:lineRule="exact"/>
        <w:ind w:firstLine="359" w:firstLineChars="171"/>
        <w:rPr>
          <w:rFonts w:ascii="Arial" w:hAnsi="Arial" w:eastAsia="宋体" w:cs="Arial"/>
          <w:color w:val="auto"/>
          <w:szCs w:val="21"/>
          <w:highlight w:val="none"/>
        </w:rPr>
      </w:pPr>
      <w:r>
        <w:rPr>
          <w:rFonts w:ascii="Arial" w:hAnsi="Arial" w:eastAsia="宋体" w:cs="Arial"/>
          <w:color w:val="auto"/>
          <w:szCs w:val="20"/>
          <w:highlight w:val="none"/>
        </w:rPr>
        <w:t xml:space="preserve">19.1 </w:t>
      </w:r>
      <w:r>
        <w:rPr>
          <w:rFonts w:ascii="Arial" w:hAnsi="Arial" w:eastAsia="宋体" w:cs="Arial"/>
          <w:color w:val="auto"/>
          <w:szCs w:val="21"/>
          <w:highlight w:val="none"/>
        </w:rPr>
        <w:t>谈判小组必须坚持公平、公正、科学和择优的原则。</w:t>
      </w:r>
    </w:p>
    <w:p w14:paraId="594B63AA">
      <w:pPr>
        <w:tabs>
          <w:tab w:val="left" w:pos="1140"/>
        </w:tabs>
        <w:spacing w:line="390" w:lineRule="exact"/>
        <w:ind w:firstLine="359" w:firstLineChars="171"/>
        <w:rPr>
          <w:rFonts w:ascii="Arial" w:hAnsi="Arial" w:eastAsia="宋体" w:cs="Arial"/>
          <w:color w:val="auto"/>
          <w:szCs w:val="21"/>
          <w:highlight w:val="none"/>
        </w:rPr>
      </w:pPr>
      <w:r>
        <w:rPr>
          <w:rFonts w:ascii="Arial" w:hAnsi="Arial" w:eastAsia="宋体" w:cs="Arial"/>
          <w:color w:val="auto"/>
          <w:szCs w:val="20"/>
          <w:highlight w:val="none"/>
        </w:rPr>
        <w:t xml:space="preserve">19.2 </w:t>
      </w:r>
      <w:r>
        <w:rPr>
          <w:rFonts w:ascii="Arial" w:hAnsi="Arial" w:eastAsia="宋体" w:cs="Arial"/>
          <w:color w:val="auto"/>
          <w:szCs w:val="21"/>
          <w:highlight w:val="none"/>
        </w:rPr>
        <w:t>评审办法：具体详见第四章评审办法。</w:t>
      </w:r>
    </w:p>
    <w:p w14:paraId="49C04879">
      <w:pPr>
        <w:pStyle w:val="14"/>
        <w:spacing w:line="390" w:lineRule="exact"/>
        <w:ind w:firstLine="359" w:firstLineChars="171"/>
        <w:rPr>
          <w:rFonts w:ascii="Arial" w:hAnsi="Arial" w:eastAsia="宋体" w:cs="Arial"/>
          <w:color w:val="auto"/>
          <w:szCs w:val="21"/>
          <w:highlight w:val="none"/>
        </w:rPr>
      </w:pPr>
      <w:r>
        <w:rPr>
          <w:rFonts w:ascii="Arial" w:hAnsi="Arial" w:eastAsia="宋体" w:cs="Arial"/>
          <w:color w:val="auto"/>
          <w:szCs w:val="21"/>
          <w:highlight w:val="none"/>
        </w:rPr>
        <w:t>19.3 谈判小组应按谈判文件进行评审，不得擅自更改评审办法。</w:t>
      </w:r>
    </w:p>
    <w:p w14:paraId="7F55A681">
      <w:pPr>
        <w:pStyle w:val="14"/>
        <w:spacing w:line="390" w:lineRule="exact"/>
        <w:ind w:firstLine="359" w:firstLineChars="171"/>
        <w:rPr>
          <w:rFonts w:ascii="Arial" w:hAnsi="Arial" w:eastAsia="宋体" w:cs="Arial"/>
          <w:color w:val="auto"/>
          <w:szCs w:val="21"/>
          <w:highlight w:val="none"/>
        </w:rPr>
      </w:pPr>
      <w:r>
        <w:rPr>
          <w:rFonts w:ascii="Arial" w:hAnsi="Arial" w:eastAsia="宋体" w:cs="Arial"/>
          <w:color w:val="auto"/>
          <w:szCs w:val="21"/>
          <w:highlight w:val="none"/>
        </w:rPr>
        <w:t>19.4 在评审过程中，谈判小组任何人不得对某个供应商发表任何倾向性意见，不得向其他谈判小组成员明示或者暗示自己的评审意见。</w:t>
      </w:r>
    </w:p>
    <w:p w14:paraId="68940DBA">
      <w:pPr>
        <w:tabs>
          <w:tab w:val="left" w:pos="1140"/>
        </w:tabs>
        <w:spacing w:line="390" w:lineRule="exact"/>
        <w:ind w:firstLine="359" w:firstLineChars="171"/>
        <w:rPr>
          <w:rFonts w:ascii="Arial" w:hAnsi="Arial" w:eastAsia="宋体" w:cs="Arial"/>
          <w:color w:val="auto"/>
          <w:szCs w:val="21"/>
          <w:highlight w:val="none"/>
        </w:rPr>
      </w:pPr>
      <w:r>
        <w:rPr>
          <w:rFonts w:ascii="Arial" w:hAnsi="Arial" w:eastAsia="宋体" w:cs="Arial"/>
          <w:color w:val="auto"/>
          <w:szCs w:val="21"/>
          <w:highlight w:val="none"/>
        </w:rPr>
        <w:t>19.5 谈判小组成员对需要共同认定的事项存在争议的，按照少数服从多数的原则作出结论。持不同意见的谈判小组成员应当在评审报告上签署不同意见并说明理由，否则视为同意。</w:t>
      </w:r>
    </w:p>
    <w:p w14:paraId="407E1A04">
      <w:pPr>
        <w:tabs>
          <w:tab w:val="left" w:pos="1140"/>
        </w:tabs>
        <w:spacing w:line="390" w:lineRule="exact"/>
        <w:ind w:left="419" w:leftChars="172" w:hanging="58" w:hangingChars="28"/>
        <w:rPr>
          <w:rFonts w:ascii="Arial" w:hAnsi="Arial" w:eastAsia="宋体" w:cs="Arial"/>
          <w:b/>
          <w:color w:val="auto"/>
          <w:szCs w:val="21"/>
          <w:highlight w:val="none"/>
        </w:rPr>
      </w:pPr>
      <w:r>
        <w:rPr>
          <w:rFonts w:ascii="Arial" w:hAnsi="Arial" w:eastAsia="宋体" w:cs="Arial"/>
          <w:b/>
          <w:color w:val="auto"/>
          <w:szCs w:val="21"/>
          <w:highlight w:val="none"/>
        </w:rPr>
        <w:t>20. 评审程序及谈判要求</w:t>
      </w:r>
    </w:p>
    <w:p w14:paraId="2A30FBE7">
      <w:pPr>
        <w:pStyle w:val="14"/>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20.1谈判小组成员的通讯工具或相关电子设备交由</w:t>
      </w:r>
      <w:r>
        <w:rPr>
          <w:rFonts w:hint="eastAsia" w:ascii="Arial" w:hAnsi="Arial" w:eastAsia="宋体" w:cs="Arial"/>
          <w:color w:val="auto"/>
          <w:szCs w:val="21"/>
          <w:highlight w:val="none"/>
          <w:lang w:eastAsia="zh-CN"/>
        </w:rPr>
        <w:t>广西机电设备招标有限公司</w:t>
      </w:r>
      <w:r>
        <w:rPr>
          <w:rFonts w:ascii="Arial" w:hAnsi="Arial" w:eastAsia="宋体" w:cs="Arial"/>
          <w:color w:val="auto"/>
          <w:szCs w:val="21"/>
          <w:highlight w:val="none"/>
        </w:rPr>
        <w:t>统一保管，采购代理机构核实谈判小组成员身份，告知回避要求，宣布评审工作纪律和程序，推选谈判小组组长。</w:t>
      </w:r>
    </w:p>
    <w:p w14:paraId="679ECC39">
      <w:pPr>
        <w:pStyle w:val="14"/>
        <w:spacing w:line="390" w:lineRule="exact"/>
        <w:ind w:firstLine="420" w:firstLineChars="200"/>
        <w:rPr>
          <w:rFonts w:ascii="Arial" w:hAnsi="Arial" w:eastAsia="宋体" w:cs="Arial"/>
          <w:color w:val="auto"/>
          <w:highlight w:val="none"/>
        </w:rPr>
      </w:pPr>
      <w:r>
        <w:rPr>
          <w:rFonts w:ascii="Arial" w:hAnsi="Arial" w:eastAsia="宋体" w:cs="Arial"/>
          <w:color w:val="auto"/>
          <w:szCs w:val="21"/>
          <w:highlight w:val="none"/>
        </w:rPr>
        <w:t>20.2谈判小组应当对发布公告的竞争性谈判文件（简称谈判文件）进行确认，</w:t>
      </w:r>
      <w:r>
        <w:rPr>
          <w:rFonts w:ascii="Arial" w:hAnsi="Arial" w:eastAsia="宋体" w:cs="Arial"/>
          <w:color w:val="auto"/>
          <w:kern w:val="0"/>
          <w:szCs w:val="21"/>
          <w:highlight w:val="none"/>
        </w:rPr>
        <w:t>审查供应商的响应文件并作出评价；要求供应商解释或者澄清其响应文件；编写评审报告；告知采购人、采购代理机构在评审过程中发现的供应商的违法违规行为。</w:t>
      </w:r>
    </w:p>
    <w:p w14:paraId="5B33CBAA">
      <w:pPr>
        <w:pStyle w:val="14"/>
        <w:spacing w:line="390" w:lineRule="exact"/>
        <w:ind w:firstLine="420" w:firstLineChars="200"/>
        <w:rPr>
          <w:rFonts w:ascii="Arial" w:hAnsi="Arial" w:eastAsia="宋体" w:cs="Arial"/>
          <w:color w:val="auto"/>
          <w:highlight w:val="none"/>
        </w:rPr>
      </w:pPr>
      <w:r>
        <w:rPr>
          <w:rFonts w:ascii="Arial" w:hAnsi="Arial" w:eastAsia="宋体" w:cs="Arial"/>
          <w:color w:val="auto"/>
          <w:highlight w:val="none"/>
        </w:rPr>
        <w:t>20.3谈判小组依据法律法规和竞争性谈判文件的规定，首先对响应文件进行资格性审查，以确定供应商是否具备本项目供应商资格；再对通过资格性审查的供应商响应文件的有效性、完整性和对谈判文件的响应程度进行符合性审查，以确定是否对谈判文件的实质性要求做出响应。</w:t>
      </w:r>
    </w:p>
    <w:p w14:paraId="5DA73711">
      <w:pPr>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20.4谈判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E1820ED">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20.4.1查询渠道：《国家企业信用信息公示系统》（网址：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ascii="Arial" w:hAnsi="Arial" w:eastAsia="宋体" w:cs="Arial"/>
          <w:color w:val="auto"/>
          <w:highlight w:val="none"/>
        </w:rPr>
        <w:t>http://www.gsxt.gov.cn/index.html</w:t>
      </w:r>
      <w:r>
        <w:rPr>
          <w:rFonts w:ascii="Arial" w:hAnsi="Arial" w:eastAsia="宋体" w:cs="Arial"/>
          <w:color w:val="auto"/>
          <w:highlight w:val="none"/>
        </w:rPr>
        <w:fldChar w:fldCharType="end"/>
      </w:r>
      <w:r>
        <w:rPr>
          <w:rFonts w:ascii="Arial" w:hAnsi="Arial" w:eastAsia="宋体" w:cs="Arial"/>
          <w:color w:val="auto"/>
          <w:szCs w:val="21"/>
          <w:highlight w:val="none"/>
        </w:rPr>
        <w:t>）</w:t>
      </w:r>
    </w:p>
    <w:p w14:paraId="05421955">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20.4.2审查流程：</w:t>
      </w:r>
    </w:p>
    <w:p w14:paraId="60321551">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（1）进入《国家企业信用信息公示系统》（网址：http://www.gsxt.gov.cn/index.html），输入企业名称，进入企业信息主页面；</w:t>
      </w:r>
    </w:p>
    <w:p w14:paraId="7D040957">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（2）查看主页“股东及出资信息”栏，或年报中的“股东及出资信息”栏信息；</w:t>
      </w:r>
    </w:p>
    <w:p w14:paraId="3CBB93C5">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（3）将各供应商的股东及出资信息进行比对，得出审查结论；</w:t>
      </w:r>
    </w:p>
    <w:p w14:paraId="272E72A4">
      <w:pPr>
        <w:snapToGrid w:val="0"/>
        <w:spacing w:line="390" w:lineRule="exact"/>
        <w:ind w:firstLine="420" w:firstLineChars="200"/>
        <w:rPr>
          <w:rFonts w:ascii="Arial" w:hAnsi="Arial" w:eastAsia="宋体" w:cs="Arial"/>
          <w:color w:val="auto"/>
          <w:highlight w:val="none"/>
        </w:rPr>
      </w:pPr>
      <w:r>
        <w:rPr>
          <w:rFonts w:ascii="Arial" w:hAnsi="Arial" w:eastAsia="宋体" w:cs="Arial"/>
          <w:color w:val="auto"/>
          <w:highlight w:val="none"/>
        </w:rPr>
        <w:t>（4）将相关资料作为评审资料打印存档。</w:t>
      </w:r>
    </w:p>
    <w:p w14:paraId="43AF0EF0">
      <w:pPr>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5479D064">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kern w:val="0"/>
          <w:szCs w:val="21"/>
          <w:highlight w:val="none"/>
        </w:rPr>
        <w:t>20.5谈判小组在对响应文件的有效性、完整性和响应程度进行审查时，可以要求供应商对</w:t>
      </w:r>
      <w:r>
        <w:rPr>
          <w:rFonts w:ascii="Arial" w:hAnsi="Arial" w:eastAsia="宋体" w:cs="Arial"/>
          <w:color w:val="auto"/>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负责人)或相应的授权委托代表签字或者加盖供应商公章。由授权委托代表签字的，应当附授权委托书。</w:t>
      </w:r>
    </w:p>
    <w:p w14:paraId="5DD42362">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根据谈判文件规定的程序、评定成交的标准等事项与实质性响应竞争性谈判文件要求的供应商进行谈判。未实质性响应谈判文件的响应文件按无效处理，谈判小组应当告知有关供应商。</w:t>
      </w:r>
    </w:p>
    <w:p w14:paraId="695C4777">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kern w:val="0"/>
          <w:szCs w:val="21"/>
          <w:highlight w:val="none"/>
        </w:rPr>
        <w:t>谈判小组</w:t>
      </w:r>
      <w:r>
        <w:rPr>
          <w:rFonts w:ascii="Arial" w:hAnsi="Arial" w:eastAsia="宋体" w:cs="Arial"/>
          <w:color w:val="auto"/>
          <w:szCs w:val="21"/>
          <w:highlight w:val="none"/>
        </w:rPr>
        <w:t>所有成员应当</w:t>
      </w:r>
      <w:r>
        <w:rPr>
          <w:rFonts w:ascii="Arial" w:hAnsi="Arial" w:eastAsia="宋体" w:cs="Arial"/>
          <w:color w:val="auto"/>
          <w:kern w:val="0"/>
          <w:szCs w:val="21"/>
          <w:highlight w:val="none"/>
        </w:rPr>
        <w:t>按已确定的</w:t>
      </w:r>
      <w:r>
        <w:rPr>
          <w:rFonts w:ascii="Arial" w:hAnsi="Arial" w:eastAsia="宋体" w:cs="Arial"/>
          <w:color w:val="auto"/>
          <w:szCs w:val="21"/>
          <w:highlight w:val="none"/>
        </w:rPr>
        <w:t>谈判顺序集中与单一供应商分别进行谈判，并给予所有实质性响应竞争性谈判文件要求的供应商平等的谈判机会。</w:t>
      </w:r>
    </w:p>
    <w:p w14:paraId="5BB0924A">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谈判中，谈判小组不得透露与谈判有关的其他供应商的技术资料、价格和其他信息。</w:t>
      </w:r>
    </w:p>
    <w:p w14:paraId="1D0E7ECD">
      <w:pPr>
        <w:widowControl/>
        <w:tabs>
          <w:tab w:val="left" w:pos="540"/>
        </w:tabs>
        <w:spacing w:line="39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采购代理机构对谈判过程和重要谈判内容进行记录，谈判双方在记录上签字确认。</w:t>
      </w:r>
    </w:p>
    <w:p w14:paraId="6577DAA8">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20.6在谈判过程中，谈判小组可以根据谈判文件和谈判情况实质性变动项目需求中的技术、服务要求以及合同草案条款，但不得变动谈判文件中的其他内容。实质性变动的内容，须经采购人代表确认。</w:t>
      </w:r>
    </w:p>
    <w:p w14:paraId="45E74891">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对谈判文件作出的实质性变动是谈判文件的有效组成部分，谈判小组应当及时以书面形式同时通知所有参加谈判的供应商。</w:t>
      </w:r>
    </w:p>
    <w:p w14:paraId="7773A37F">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供应商应当按照谈判文件的变动情况和谈判小组的要求重新提交响应文件，并由其法定代表人（负责人)或相应的授权委托代表签字或者加盖供应商公章。逾时不交的，视同放弃谈判。</w:t>
      </w:r>
    </w:p>
    <w:p w14:paraId="4DCFDDD5">
      <w:pPr>
        <w:widowControl/>
        <w:spacing w:line="390" w:lineRule="exact"/>
        <w:ind w:firstLine="420" w:firstLineChars="200"/>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20.7在采购过程中符合竞争要求的供应商或者报价未超过采购预算的供应商不足3家的，采购人或者采购代理机构应当终止竞争性谈判采购活动。</w:t>
      </w:r>
    </w:p>
    <w:p w14:paraId="22401D04">
      <w:pPr>
        <w:widowControl/>
        <w:spacing w:line="390" w:lineRule="exact"/>
        <w:ind w:firstLine="420" w:firstLineChars="200"/>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20.8最后报价</w:t>
      </w:r>
    </w:p>
    <w:p w14:paraId="6EFDB546">
      <w:pPr>
        <w:spacing w:line="390" w:lineRule="exact"/>
        <w:ind w:firstLine="420" w:firstLineChars="200"/>
        <w:rPr>
          <w:rFonts w:ascii="Arial" w:hAnsi="Arial" w:eastAsia="宋体" w:cs="Arial"/>
          <w:color w:val="auto"/>
          <w:kern w:val="0"/>
          <w:szCs w:val="21"/>
          <w:highlight w:val="none"/>
        </w:rPr>
      </w:pPr>
      <w:r>
        <w:rPr>
          <w:rFonts w:ascii="Arial" w:hAnsi="Arial" w:eastAsia="宋体" w:cs="Arial"/>
          <w:color w:val="auto"/>
          <w:kern w:val="0"/>
          <w:szCs w:val="21"/>
          <w:highlight w:val="none"/>
        </w:rPr>
        <w:t>20.8.1谈判文件能够详细列明采购标的的技术、服务要求的，谈判结束后，谈判小组应当要求所有继续参加谈判的供应商在规定时间内密封提交最后报价，提交最后报价的供应商不得少于3家。</w:t>
      </w:r>
    </w:p>
    <w:p w14:paraId="15BF9211">
      <w:pPr>
        <w:spacing w:line="390" w:lineRule="exact"/>
        <w:ind w:firstLine="420" w:firstLineChars="200"/>
        <w:rPr>
          <w:rFonts w:ascii="Arial" w:hAnsi="Arial" w:eastAsia="宋体" w:cs="Arial"/>
          <w:color w:val="auto"/>
          <w:kern w:val="0"/>
          <w:szCs w:val="21"/>
          <w:highlight w:val="none"/>
        </w:rPr>
      </w:pPr>
      <w:r>
        <w:rPr>
          <w:rFonts w:ascii="Arial" w:hAnsi="Arial" w:eastAsia="宋体" w:cs="Arial"/>
          <w:color w:val="auto"/>
          <w:kern w:val="0"/>
          <w:szCs w:val="21"/>
          <w:highlight w:val="none"/>
        </w:rPr>
        <w:t>20.8.2谈判文件不能详细列明采购标的的技术、服务要求的，需由谈判供应商提供最终设计方案或解决方案的，谈判结束后，谈判小组应当按照少数服从多数的原则投票推荐3家以上（含3家）供应商的设计方案或者解决方案，并要求其在规定时间内密封提交最后报价。</w:t>
      </w:r>
    </w:p>
    <w:p w14:paraId="1B096A9A">
      <w:pPr>
        <w:spacing w:line="390" w:lineRule="exact"/>
        <w:ind w:firstLine="420" w:firstLineChars="200"/>
        <w:rPr>
          <w:rFonts w:ascii="Arial" w:hAnsi="Arial" w:eastAsia="宋体" w:cs="Arial"/>
          <w:color w:val="auto"/>
          <w:kern w:val="0"/>
          <w:szCs w:val="21"/>
          <w:highlight w:val="none"/>
        </w:rPr>
      </w:pPr>
      <w:r>
        <w:rPr>
          <w:rFonts w:ascii="Arial" w:hAnsi="Arial" w:eastAsia="宋体" w:cs="Arial"/>
          <w:color w:val="auto"/>
          <w:kern w:val="0"/>
          <w:szCs w:val="21"/>
          <w:highlight w:val="none"/>
        </w:rPr>
        <w:t>20.8.3最后报价是供应商响应文件的有效组成部分。</w:t>
      </w:r>
    </w:p>
    <w:p w14:paraId="3B8EAC36">
      <w:pPr>
        <w:spacing w:line="390" w:lineRule="exact"/>
        <w:ind w:firstLine="420" w:firstLineChars="200"/>
        <w:rPr>
          <w:rFonts w:ascii="Arial" w:hAnsi="Arial" w:eastAsia="宋体" w:cs="Arial"/>
          <w:color w:val="auto"/>
          <w:kern w:val="0"/>
          <w:szCs w:val="21"/>
          <w:highlight w:val="none"/>
        </w:rPr>
      </w:pPr>
      <w:r>
        <w:rPr>
          <w:rFonts w:ascii="Arial" w:hAnsi="Arial" w:eastAsia="宋体" w:cs="Arial"/>
          <w:color w:val="auto"/>
          <w:kern w:val="0"/>
          <w:szCs w:val="21"/>
          <w:highlight w:val="none"/>
        </w:rPr>
        <w:t>20.9已提交响应文件的供应商，在提交最后报价之前，可以根据谈判情况书面退出谈判。</w:t>
      </w:r>
    </w:p>
    <w:p w14:paraId="41014755">
      <w:pPr>
        <w:spacing w:line="390" w:lineRule="exact"/>
        <w:ind w:firstLine="420" w:firstLineChars="200"/>
        <w:rPr>
          <w:rFonts w:ascii="Arial" w:hAnsi="Arial" w:eastAsia="宋体" w:cs="Arial"/>
          <w:color w:val="auto"/>
          <w:kern w:val="0"/>
          <w:szCs w:val="21"/>
          <w:highlight w:val="none"/>
        </w:rPr>
      </w:pPr>
      <w:r>
        <w:rPr>
          <w:rFonts w:ascii="Arial" w:hAnsi="Arial" w:eastAsia="宋体" w:cs="Arial"/>
          <w:color w:val="auto"/>
          <w:kern w:val="0"/>
          <w:szCs w:val="21"/>
          <w:highlight w:val="none"/>
        </w:rPr>
        <w:t>未书面退出谈判的供应商应在规定时间内密封提交最后报价，其最后报价不得超出采购预算；谈判过程中谈判文件未作实质性变动的，最后报价不得超过首次报价。</w:t>
      </w:r>
    </w:p>
    <w:p w14:paraId="3896CC80">
      <w:pPr>
        <w:widowControl/>
        <w:tabs>
          <w:tab w:val="left" w:pos="540"/>
        </w:tabs>
        <w:spacing w:line="390" w:lineRule="exact"/>
        <w:ind w:firstLine="420" w:firstLineChars="200"/>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20.10评审报告</w:t>
      </w:r>
    </w:p>
    <w:p w14:paraId="42700E67">
      <w:pPr>
        <w:spacing w:line="390" w:lineRule="exact"/>
        <w:ind w:firstLine="420" w:firstLineChars="200"/>
        <w:rPr>
          <w:rFonts w:ascii="Arial" w:hAnsi="Arial" w:eastAsia="宋体" w:cs="Arial"/>
          <w:color w:val="auto"/>
          <w:kern w:val="0"/>
          <w:sz w:val="24"/>
          <w:highlight w:val="none"/>
        </w:rPr>
      </w:pPr>
      <w:r>
        <w:rPr>
          <w:rFonts w:ascii="Arial" w:hAnsi="Arial" w:eastAsia="宋体" w:cs="Arial"/>
          <w:color w:val="auto"/>
          <w:kern w:val="0"/>
          <w:szCs w:val="21"/>
          <w:highlight w:val="none"/>
        </w:rPr>
        <w:t>谈判小组应当从质量和服务均能满足谈判文件全部实质性响应要求的供应商中，按照评审报价（最后报价）由低到高的顺序提出3名以上（含3名）成交候选人，并编写评审报告。</w:t>
      </w:r>
    </w:p>
    <w:p w14:paraId="0EE287F5">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20.11在评审过程中出现法律法规和谈判文件均没有明确规定的情形时，由谈判小组现场协商解决，协商不一致的，由全体谈判小组投票表决，以得票率二分之一以上专家的意见为准。</w:t>
      </w:r>
    </w:p>
    <w:p w14:paraId="65661956">
      <w:pPr>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20.12采购代理机构发现谈判小组有明显的违规倾向或歧视现象，或不按评审办法进行，或其他不正常行为的，应当及时制止。</w:t>
      </w:r>
    </w:p>
    <w:p w14:paraId="3A2610E8">
      <w:pPr>
        <w:pStyle w:val="14"/>
        <w:spacing w:line="390" w:lineRule="exact"/>
        <w:ind w:firstLine="420" w:firstLineChars="200"/>
        <w:rPr>
          <w:rFonts w:ascii="Arial" w:hAnsi="Arial" w:eastAsia="宋体" w:cs="Arial"/>
          <w:b/>
          <w:bCs/>
          <w:color w:val="auto"/>
          <w:szCs w:val="21"/>
          <w:highlight w:val="none"/>
        </w:rPr>
      </w:pPr>
      <w:r>
        <w:rPr>
          <w:rFonts w:ascii="Arial" w:hAnsi="Arial" w:eastAsia="宋体" w:cs="Arial"/>
          <w:b/>
          <w:bCs/>
          <w:color w:val="auto"/>
          <w:szCs w:val="21"/>
          <w:highlight w:val="none"/>
        </w:rPr>
        <w:t>21. 确定成交供应商</w:t>
      </w:r>
    </w:p>
    <w:p w14:paraId="490B329B">
      <w:pPr>
        <w:pStyle w:val="14"/>
        <w:tabs>
          <w:tab w:val="left" w:pos="4214"/>
        </w:tabs>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（1）采购单位应当确定谈判小组推荐排名第一的成交候选人为成交供应商。</w:t>
      </w:r>
    </w:p>
    <w:p w14:paraId="20A5E661">
      <w:pPr>
        <w:pStyle w:val="14"/>
        <w:spacing w:line="390" w:lineRule="exact"/>
        <w:ind w:firstLine="447" w:firstLineChars="213"/>
        <w:rPr>
          <w:rFonts w:ascii="Arial" w:hAnsi="Arial" w:eastAsia="宋体" w:cs="Arial"/>
          <w:color w:val="auto"/>
          <w:szCs w:val="21"/>
          <w:highlight w:val="none"/>
        </w:rPr>
      </w:pPr>
      <w:r>
        <w:rPr>
          <w:rFonts w:ascii="Arial" w:hAnsi="Arial" w:eastAsia="宋体" w:cs="Arial"/>
          <w:color w:val="auto"/>
          <w:szCs w:val="21"/>
          <w:highlight w:val="none"/>
        </w:rPr>
        <w:t>（2）排名第一的成交候选人放弃成交、因不可抗力提出不能履行合同，或因失信行为被取消成交候选人资格的，采购单位可以确定排名第二的成交候选人为成交供应商。</w:t>
      </w:r>
    </w:p>
    <w:p w14:paraId="4F059B08">
      <w:pPr>
        <w:pStyle w:val="14"/>
        <w:spacing w:line="39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（3）排名第二的成交候选人因前款规定的同样原因不能签订合同的，采购单位可以确定排名第三的成交候选人为成交供应商。</w:t>
      </w:r>
    </w:p>
    <w:p w14:paraId="6B4319CF">
      <w:pPr>
        <w:widowControl/>
        <w:shd w:val="clear" w:color="auto" w:fill="FFFFFF"/>
        <w:spacing w:line="390" w:lineRule="exact"/>
        <w:ind w:firstLine="480"/>
        <w:jc w:val="left"/>
        <w:rPr>
          <w:rFonts w:ascii="Arial" w:hAnsi="Arial" w:eastAsia="宋体" w:cs="Arial"/>
          <w:b/>
          <w:color w:val="auto"/>
          <w:szCs w:val="21"/>
          <w:highlight w:val="none"/>
        </w:rPr>
      </w:pPr>
      <w:r>
        <w:rPr>
          <w:rFonts w:ascii="Arial" w:hAnsi="Arial" w:eastAsia="宋体" w:cs="Arial"/>
          <w:b/>
          <w:bCs/>
          <w:color w:val="auto"/>
          <w:szCs w:val="21"/>
          <w:highlight w:val="none"/>
        </w:rPr>
        <w:t xml:space="preserve">22. </w:t>
      </w:r>
      <w:r>
        <w:rPr>
          <w:rFonts w:ascii="Arial" w:hAnsi="Arial" w:eastAsia="宋体" w:cs="Arial"/>
          <w:b/>
          <w:color w:val="auto"/>
          <w:szCs w:val="21"/>
          <w:highlight w:val="none"/>
        </w:rPr>
        <w:t>属于下列情况之一者，响应文件无效：</w:t>
      </w:r>
    </w:p>
    <w:p w14:paraId="66BD92E2">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（1）未按谈判文件规定完整提交响应文件或未按规定要求密封、签字、盖章的，或未提供授权委托书（委托代理的）；</w:t>
      </w:r>
    </w:p>
    <w:p w14:paraId="7E6BFC68">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（2）超越了行政许可的经营范围的；</w:t>
      </w:r>
    </w:p>
    <w:p w14:paraId="3A3F1652">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（3）不具备谈判文件规定的资格要求的</w:t>
      </w:r>
      <w:r>
        <w:rPr>
          <w:rFonts w:ascii="Arial" w:hAnsi="Arial" w:eastAsia="宋体" w:cs="Arial"/>
          <w:color w:val="auto"/>
          <w:highlight w:val="none"/>
        </w:rPr>
        <w:t>；</w:t>
      </w:r>
    </w:p>
    <w:p w14:paraId="79E3AB41">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（4）响应文件未按谈判文件的内容和要求编制，或提供虚假材料的；</w:t>
      </w:r>
    </w:p>
    <w:p w14:paraId="7582FFB6">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（5）响应文件有效期、交付使用期、质保期、售后服务不能满足谈判文件要求的；</w:t>
      </w:r>
    </w:p>
    <w:p w14:paraId="1951BB3D">
      <w:pPr>
        <w:snapToGrid w:val="0"/>
        <w:spacing w:line="390" w:lineRule="exact"/>
        <w:ind w:firstLine="411" w:firstLineChars="196"/>
        <w:rPr>
          <w:rFonts w:ascii="Arial" w:hAnsi="Arial" w:eastAsia="宋体" w:cs="Arial"/>
          <w:color w:val="auto"/>
          <w:highlight w:val="none"/>
        </w:rPr>
      </w:pPr>
      <w:r>
        <w:rPr>
          <w:rFonts w:ascii="Arial" w:hAnsi="Arial" w:eastAsia="宋体" w:cs="Arial"/>
          <w:color w:val="auto"/>
          <w:szCs w:val="21"/>
          <w:highlight w:val="none"/>
        </w:rPr>
        <w:t>（</w:t>
      </w:r>
      <w:r>
        <w:rPr>
          <w:rFonts w:ascii="Arial" w:hAnsi="Arial" w:eastAsia="宋体" w:cs="Arial"/>
          <w:color w:val="auto"/>
          <w:highlight w:val="none"/>
        </w:rPr>
        <w:t>6）供应商</w:t>
      </w:r>
      <w:r>
        <w:rPr>
          <w:rFonts w:ascii="Arial" w:hAnsi="Arial" w:eastAsia="宋体" w:cs="Arial"/>
          <w:color w:val="auto"/>
          <w:szCs w:val="21"/>
          <w:highlight w:val="none"/>
        </w:rPr>
        <w:t>未就“项目采购需求”中的所有货物内容作完整唯一报价的</w:t>
      </w:r>
      <w:r>
        <w:rPr>
          <w:rFonts w:ascii="Arial" w:hAnsi="Arial" w:eastAsia="宋体" w:cs="Arial"/>
          <w:color w:val="auto"/>
          <w:highlight w:val="none"/>
        </w:rPr>
        <w:t>，或报价超出采购预算金额的，或谈判过程中谈判文件未作实质性变动，最后报价超出首次报价的；</w:t>
      </w:r>
    </w:p>
    <w:p w14:paraId="30F9FA41">
      <w:pPr>
        <w:pStyle w:val="14"/>
        <w:spacing w:line="390" w:lineRule="exact"/>
        <w:ind w:firstLine="420" w:firstLineChars="200"/>
        <w:rPr>
          <w:rFonts w:ascii="Arial" w:hAnsi="Arial" w:eastAsia="宋体" w:cs="Arial"/>
          <w:color w:val="auto"/>
          <w:szCs w:val="24"/>
          <w:highlight w:val="none"/>
        </w:rPr>
      </w:pPr>
      <w:r>
        <w:rPr>
          <w:rFonts w:ascii="Arial" w:hAnsi="Arial" w:eastAsia="宋体" w:cs="Arial"/>
          <w:color w:val="auto"/>
          <w:highlight w:val="none"/>
        </w:rPr>
        <w:t>（7）未在谈判小组规定的时间内重新提交响应文件的；</w:t>
      </w:r>
    </w:p>
    <w:p w14:paraId="58E1CA3C">
      <w:pPr>
        <w:pStyle w:val="14"/>
        <w:spacing w:line="390" w:lineRule="exact"/>
        <w:ind w:firstLine="420" w:firstLineChars="200"/>
        <w:rPr>
          <w:rFonts w:ascii="Arial" w:hAnsi="Arial" w:eastAsia="宋体" w:cs="Arial"/>
          <w:color w:val="auto"/>
          <w:szCs w:val="24"/>
          <w:highlight w:val="none"/>
        </w:rPr>
      </w:pPr>
      <w:r>
        <w:rPr>
          <w:rFonts w:ascii="Arial" w:hAnsi="Arial" w:eastAsia="宋体" w:cs="Arial"/>
          <w:color w:val="auto"/>
          <w:szCs w:val="24"/>
          <w:highlight w:val="none"/>
        </w:rPr>
        <w:t>（8）未满足谈判文件全部实质性要求的；或者响应文件有采购人不能接受的附加条件的；</w:t>
      </w:r>
    </w:p>
    <w:p w14:paraId="00553638">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（9）未在规定时间或未足额缴纳谈判保证金的。</w:t>
      </w:r>
    </w:p>
    <w:p w14:paraId="4627DD45">
      <w:pPr>
        <w:snapToGrid w:val="0"/>
        <w:spacing w:line="39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（10）不符合法律、法规和谈判文件规定的其他实质性要求和条件的。</w:t>
      </w:r>
    </w:p>
    <w:p w14:paraId="644A712F">
      <w:pPr>
        <w:snapToGrid w:val="0"/>
        <w:spacing w:line="390" w:lineRule="exact"/>
        <w:ind w:left="354" w:leftChars="169" w:firstLine="102" w:firstLineChars="49"/>
        <w:rPr>
          <w:rFonts w:ascii="Arial" w:hAnsi="Arial" w:eastAsia="宋体" w:cs="Arial"/>
          <w:b/>
          <w:color w:val="auto"/>
          <w:szCs w:val="21"/>
          <w:highlight w:val="none"/>
        </w:rPr>
      </w:pPr>
      <w:r>
        <w:rPr>
          <w:rFonts w:ascii="Arial" w:hAnsi="Arial" w:eastAsia="宋体" w:cs="Arial"/>
          <w:b/>
          <w:color w:val="auto"/>
          <w:szCs w:val="21"/>
          <w:highlight w:val="none"/>
        </w:rPr>
        <w:t>23. 供应商有下列23.1、23.2情形之一的，视为串通谈判或属于恶意串通行为，响应文件将被视为无效：</w:t>
      </w:r>
    </w:p>
    <w:p w14:paraId="08705043">
      <w:pPr>
        <w:snapToGrid w:val="0"/>
        <w:spacing w:line="390" w:lineRule="exact"/>
        <w:ind w:left="354" w:leftChars="169" w:firstLine="102" w:firstLineChars="49"/>
        <w:rPr>
          <w:rFonts w:ascii="Arial" w:hAnsi="Arial" w:eastAsia="宋体" w:cs="Arial"/>
          <w:b/>
          <w:color w:val="auto"/>
          <w:szCs w:val="21"/>
          <w:highlight w:val="none"/>
        </w:rPr>
      </w:pPr>
      <w:r>
        <w:rPr>
          <w:rFonts w:ascii="Arial" w:hAnsi="Arial" w:eastAsia="宋体" w:cs="Arial"/>
          <w:b/>
          <w:color w:val="auto"/>
          <w:szCs w:val="21"/>
          <w:highlight w:val="none"/>
        </w:rPr>
        <w:t>23.1供应商有下列情形之一的，视为串通参与谈判：</w:t>
      </w:r>
    </w:p>
    <w:p w14:paraId="6A709590">
      <w:pPr>
        <w:snapToGrid w:val="0"/>
        <w:spacing w:line="390" w:lineRule="exact"/>
        <w:ind w:left="354" w:leftChars="169" w:firstLine="102" w:firstLineChars="49"/>
        <w:rPr>
          <w:rFonts w:ascii="Arial" w:hAnsi="Arial" w:eastAsia="宋体" w:cs="Arial"/>
          <w:color w:val="auto"/>
          <w:highlight w:val="none"/>
        </w:rPr>
      </w:pPr>
      <w:r>
        <w:rPr>
          <w:rFonts w:ascii="Arial" w:hAnsi="Arial" w:eastAsia="宋体" w:cs="Arial"/>
          <w:color w:val="auto"/>
          <w:highlight w:val="none"/>
        </w:rPr>
        <w:t>（1）不同供应商的响应文件由同一单位或者个人编制的；</w:t>
      </w:r>
    </w:p>
    <w:p w14:paraId="15C4F21C">
      <w:pPr>
        <w:snapToGrid w:val="0"/>
        <w:spacing w:line="390" w:lineRule="exact"/>
        <w:ind w:left="354" w:leftChars="169" w:firstLine="102" w:firstLineChars="49"/>
        <w:rPr>
          <w:rFonts w:ascii="Arial" w:hAnsi="Arial" w:eastAsia="宋体" w:cs="Arial"/>
          <w:color w:val="auto"/>
          <w:highlight w:val="none"/>
        </w:rPr>
      </w:pPr>
      <w:r>
        <w:rPr>
          <w:rFonts w:ascii="Arial" w:hAnsi="Arial" w:eastAsia="宋体" w:cs="Arial"/>
          <w:color w:val="auto"/>
          <w:highlight w:val="none"/>
        </w:rPr>
        <w:t>（2）不同供应商委托同一单位或者个人办理谈判事宜的；</w:t>
      </w:r>
    </w:p>
    <w:p w14:paraId="58ABD75C">
      <w:pPr>
        <w:snapToGrid w:val="0"/>
        <w:spacing w:line="390" w:lineRule="exact"/>
        <w:ind w:left="354" w:leftChars="169" w:firstLine="102" w:firstLineChars="49"/>
        <w:rPr>
          <w:rFonts w:ascii="Arial" w:hAnsi="Arial" w:eastAsia="宋体" w:cs="Arial"/>
          <w:color w:val="auto"/>
          <w:highlight w:val="none"/>
        </w:rPr>
      </w:pPr>
      <w:r>
        <w:rPr>
          <w:rFonts w:ascii="Arial" w:hAnsi="Arial" w:eastAsia="宋体" w:cs="Arial"/>
          <w:color w:val="auto"/>
          <w:highlight w:val="none"/>
        </w:rPr>
        <w:t>（3）不同的供应商的响应文件载明的项目管理员为同一个人的；</w:t>
      </w:r>
    </w:p>
    <w:p w14:paraId="29B9C336">
      <w:pPr>
        <w:snapToGrid w:val="0"/>
        <w:spacing w:line="390" w:lineRule="exact"/>
        <w:ind w:left="354" w:leftChars="169" w:firstLine="102" w:firstLineChars="49"/>
        <w:rPr>
          <w:rFonts w:ascii="Arial" w:hAnsi="Arial" w:eastAsia="宋体" w:cs="Arial"/>
          <w:color w:val="auto"/>
          <w:highlight w:val="none"/>
        </w:rPr>
      </w:pPr>
      <w:r>
        <w:rPr>
          <w:rFonts w:ascii="Arial" w:hAnsi="Arial" w:eastAsia="宋体" w:cs="Arial"/>
          <w:color w:val="auto"/>
          <w:highlight w:val="none"/>
        </w:rPr>
        <w:t xml:space="preserve">（4）不同供应商的响应文件异常一致或最后报价呈规律性差异的； </w:t>
      </w:r>
    </w:p>
    <w:p w14:paraId="7764EF3F">
      <w:pPr>
        <w:snapToGrid w:val="0"/>
        <w:spacing w:line="390" w:lineRule="exact"/>
        <w:ind w:left="354" w:leftChars="169" w:firstLine="102" w:firstLineChars="49"/>
        <w:rPr>
          <w:rFonts w:ascii="Arial" w:hAnsi="Arial" w:eastAsia="宋体" w:cs="Arial"/>
          <w:color w:val="auto"/>
          <w:highlight w:val="none"/>
        </w:rPr>
      </w:pPr>
      <w:r>
        <w:rPr>
          <w:rFonts w:ascii="Arial" w:hAnsi="Arial" w:eastAsia="宋体" w:cs="Arial"/>
          <w:color w:val="auto"/>
          <w:highlight w:val="none"/>
        </w:rPr>
        <w:t>（5）不同供应商的响应文件相互混装的；</w:t>
      </w:r>
    </w:p>
    <w:p w14:paraId="40BD5E6B">
      <w:pPr>
        <w:snapToGrid w:val="0"/>
        <w:spacing w:line="390" w:lineRule="exact"/>
        <w:ind w:firstLine="516" w:firstLineChars="246"/>
        <w:rPr>
          <w:rFonts w:ascii="Arial" w:hAnsi="Arial" w:eastAsia="宋体" w:cs="Arial"/>
          <w:color w:val="auto"/>
          <w:szCs w:val="21"/>
          <w:highlight w:val="none"/>
        </w:rPr>
      </w:pPr>
      <w:r>
        <w:rPr>
          <w:rFonts w:ascii="Arial" w:hAnsi="Arial" w:eastAsia="宋体" w:cs="Arial"/>
          <w:color w:val="auto"/>
          <w:szCs w:val="21"/>
          <w:highlight w:val="none"/>
        </w:rPr>
        <w:t>（6）谈判文件未做实质性变动，供应商最后报价高于首次报价的。</w:t>
      </w:r>
    </w:p>
    <w:p w14:paraId="6236BFA1">
      <w:pPr>
        <w:snapToGrid w:val="0"/>
        <w:spacing w:line="380" w:lineRule="exact"/>
        <w:ind w:firstLine="420" w:firstLineChars="200"/>
        <w:jc w:val="left"/>
        <w:rPr>
          <w:rFonts w:ascii="Arial" w:hAnsi="Arial" w:eastAsia="宋体" w:cs="Arial"/>
          <w:b/>
          <w:color w:val="auto"/>
          <w:szCs w:val="21"/>
          <w:highlight w:val="none"/>
        </w:rPr>
      </w:pPr>
      <w:r>
        <w:rPr>
          <w:rFonts w:ascii="Arial" w:hAnsi="Arial" w:eastAsia="宋体" w:cs="Arial"/>
          <w:b/>
          <w:color w:val="auto"/>
          <w:szCs w:val="21"/>
          <w:highlight w:val="none"/>
        </w:rPr>
        <w:t>23.2供应商有下列情形之一的，属于恶意串通行为：</w:t>
      </w:r>
    </w:p>
    <w:p w14:paraId="581BB180">
      <w:pPr>
        <w:snapToGrid w:val="0"/>
        <w:spacing w:line="38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（1）供应商直接或者间接从采购人或者采购代理机构处获得其他供应商的相关信息并修改其响应文件的：</w:t>
      </w:r>
    </w:p>
    <w:p w14:paraId="6E8B3423">
      <w:pPr>
        <w:snapToGrid w:val="0"/>
        <w:spacing w:line="38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（2）供应商按照采购人或者采购代理机构的授意撤换、修改响应文件的；</w:t>
      </w:r>
    </w:p>
    <w:p w14:paraId="00E2F7C8">
      <w:pPr>
        <w:snapToGrid w:val="0"/>
        <w:spacing w:line="38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（3）供应商之间协商报价、技术方案等响应文件的实质性内容的；</w:t>
      </w:r>
    </w:p>
    <w:p w14:paraId="31D35B68">
      <w:pPr>
        <w:snapToGrid w:val="0"/>
        <w:spacing w:line="38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（4）属于同一集团、协会、商会等组织成员的供应商按照该组织要求协同参加政府采购活动的；</w:t>
      </w:r>
    </w:p>
    <w:p w14:paraId="5D8C5BC0">
      <w:pPr>
        <w:snapToGrid w:val="0"/>
        <w:spacing w:line="36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（5）供应商之间事先约定一致抬高或者压低报价,或者在采购项目中事先约定轮流以高价位或者低价位成交,或者事先约定由某一特定供应商成交,然后再参加谈判的；</w:t>
      </w:r>
    </w:p>
    <w:p w14:paraId="45D73615">
      <w:pPr>
        <w:snapToGrid w:val="0"/>
        <w:spacing w:line="36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（6）供应商之间商定部分供应商放弃参加政府采购活动或者放弃成交的；</w:t>
      </w:r>
    </w:p>
    <w:p w14:paraId="3F2F9509">
      <w:pPr>
        <w:snapToGrid w:val="0"/>
        <w:spacing w:line="360" w:lineRule="exact"/>
        <w:ind w:firstLine="420" w:firstLineChars="200"/>
        <w:jc w:val="left"/>
        <w:rPr>
          <w:rFonts w:ascii="Arial" w:hAnsi="Arial" w:eastAsia="宋体" w:cs="Arial"/>
          <w:color w:val="auto"/>
          <w:szCs w:val="21"/>
          <w:highlight w:val="none"/>
        </w:rPr>
      </w:pPr>
      <w:r>
        <w:rPr>
          <w:rFonts w:ascii="Arial" w:hAnsi="Arial" w:eastAsia="宋体" w:cs="Arial"/>
          <w:color w:val="auto"/>
          <w:szCs w:val="21"/>
          <w:highlight w:val="none"/>
        </w:rPr>
        <w:t>（7）供应商与采购人或者采购代理机构之间、供应商相互之间，为谋求特定供应商成交或者排斥其他供应商的其他串通行为的。</w:t>
      </w:r>
    </w:p>
    <w:p w14:paraId="08F0543B">
      <w:pPr>
        <w:snapToGrid w:val="0"/>
        <w:spacing w:line="360" w:lineRule="exact"/>
        <w:ind w:firstLine="411" w:firstLineChars="196"/>
        <w:rPr>
          <w:rFonts w:ascii="Arial" w:hAnsi="Arial" w:eastAsia="宋体" w:cs="Arial"/>
          <w:b/>
          <w:color w:val="auto"/>
          <w:szCs w:val="21"/>
          <w:highlight w:val="none"/>
        </w:rPr>
      </w:pPr>
      <w:r>
        <w:rPr>
          <w:rFonts w:ascii="Arial" w:hAnsi="Arial" w:eastAsia="宋体" w:cs="Arial"/>
          <w:b/>
          <w:color w:val="auto"/>
          <w:szCs w:val="21"/>
          <w:highlight w:val="none"/>
        </w:rPr>
        <w:t>24. 出现下列情形之一的，采购人或者采购代理机构应当终止竞争性谈判采购活动，发布项目终止公告并说明原因，重新开展采购活动：</w:t>
      </w:r>
    </w:p>
    <w:p w14:paraId="3F9E5EB1">
      <w:pPr>
        <w:snapToGrid w:val="0"/>
        <w:spacing w:line="36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（1）因情况变化，不再符合规定的竞争性谈判采购方式适用情形的；</w:t>
      </w:r>
    </w:p>
    <w:p w14:paraId="57ED3178">
      <w:pPr>
        <w:snapToGrid w:val="0"/>
        <w:spacing w:line="36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 xml:space="preserve">（2）出现影响采购公正的违法、违规行为的； </w:t>
      </w:r>
    </w:p>
    <w:p w14:paraId="5EF4DF84">
      <w:pPr>
        <w:snapToGrid w:val="0"/>
        <w:spacing w:line="360" w:lineRule="exact"/>
        <w:ind w:firstLine="411" w:firstLineChars="196"/>
        <w:rPr>
          <w:rFonts w:ascii="Arial" w:hAnsi="Arial" w:eastAsia="宋体" w:cs="Arial"/>
          <w:color w:val="auto"/>
          <w:szCs w:val="21"/>
          <w:highlight w:val="none"/>
        </w:rPr>
      </w:pPr>
      <w:r>
        <w:rPr>
          <w:rFonts w:ascii="Arial" w:hAnsi="Arial" w:eastAsia="宋体" w:cs="Arial"/>
          <w:color w:val="auto"/>
          <w:szCs w:val="21"/>
          <w:highlight w:val="none"/>
        </w:rPr>
        <w:t xml:space="preserve">（3）在采购过程中符合竞争要求的供应商或者报价未超过采购预算的供应商不足3家的。  </w:t>
      </w:r>
    </w:p>
    <w:p w14:paraId="5879BEFD">
      <w:pPr>
        <w:snapToGrid w:val="0"/>
        <w:spacing w:line="360" w:lineRule="exact"/>
        <w:ind w:firstLine="420" w:firstLineChars="200"/>
        <w:rPr>
          <w:rFonts w:ascii="Arial" w:hAnsi="Arial" w:eastAsia="宋体" w:cs="Arial"/>
          <w:b/>
          <w:color w:val="auto"/>
          <w:highlight w:val="none"/>
        </w:rPr>
      </w:pPr>
      <w:r>
        <w:rPr>
          <w:rFonts w:ascii="Arial" w:hAnsi="Arial" w:eastAsia="宋体" w:cs="Arial"/>
          <w:b/>
          <w:color w:val="auto"/>
          <w:highlight w:val="none"/>
        </w:rPr>
        <w:t>25. 谈判过程的监控</w:t>
      </w:r>
    </w:p>
    <w:p w14:paraId="172C2A87">
      <w:pPr>
        <w:pStyle w:val="14"/>
        <w:spacing w:line="360" w:lineRule="exact"/>
        <w:ind w:firstLine="411" w:firstLineChars="196"/>
        <w:rPr>
          <w:rFonts w:ascii="Arial" w:hAnsi="Arial" w:eastAsia="宋体" w:cs="Arial"/>
          <w:color w:val="auto"/>
          <w:highlight w:val="none"/>
        </w:rPr>
      </w:pPr>
      <w:r>
        <w:rPr>
          <w:rFonts w:ascii="Arial" w:hAnsi="Arial" w:eastAsia="宋体" w:cs="Arial"/>
          <w:color w:val="auto"/>
          <w:highlight w:val="none"/>
        </w:rPr>
        <w:t>本项目谈判过程实行全程录音、录像监控，供应商在谈判过程中所进行的试图影响谈判结果的不公正活动，可能导致其谈判被拒绝。</w:t>
      </w:r>
    </w:p>
    <w:p w14:paraId="0C296E73">
      <w:pPr>
        <w:snapToGrid w:val="0"/>
        <w:spacing w:line="360" w:lineRule="exact"/>
        <w:ind w:firstLine="420" w:firstLineChars="200"/>
        <w:rPr>
          <w:rFonts w:ascii="Arial" w:hAnsi="Arial" w:eastAsia="宋体" w:cs="Arial"/>
          <w:b/>
          <w:color w:val="auto"/>
          <w:highlight w:val="none"/>
        </w:rPr>
      </w:pPr>
      <w:r>
        <w:rPr>
          <w:rFonts w:ascii="Arial" w:hAnsi="Arial" w:eastAsia="宋体" w:cs="Arial"/>
          <w:b/>
          <w:color w:val="auto"/>
          <w:highlight w:val="none"/>
        </w:rPr>
        <w:t xml:space="preserve">26. 信用查询 </w:t>
      </w:r>
    </w:p>
    <w:p w14:paraId="61BCD7EC">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根据《关于做好政府采购有关信用主体标识码登记及在政府采购活动中查询使用信用记录有关问题的通知》（桂财采〔2016〕37号），由采购代理机构对第一成交候选人进行信用查询：</w:t>
      </w:r>
    </w:p>
    <w:p w14:paraId="4C1A9D1C">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⑴查询渠道：“信用中国”网站(www.creditchina.gov.cn)、中国政府采购网(www.ccgp.gov.cn)等；</w:t>
      </w:r>
    </w:p>
    <w:p w14:paraId="7456C899">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⑵查询截止时间：成交通知书发出前；</w:t>
      </w:r>
    </w:p>
    <w:p w14:paraId="412DA182">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⑶信用信息查询记录和证据留存方式：在查询网站中直接打印查询记录，打印材料作为采购活动资料保存；</w:t>
      </w:r>
    </w:p>
    <w:p w14:paraId="668E9CFD">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w:t>
      </w:r>
    </w:p>
    <w:p w14:paraId="6A1BD325">
      <w:pPr>
        <w:pStyle w:val="14"/>
        <w:spacing w:line="360" w:lineRule="exact"/>
        <w:ind w:firstLine="411" w:firstLineChars="196"/>
        <w:rPr>
          <w:rFonts w:ascii="Arial" w:hAnsi="Arial" w:eastAsia="宋体" w:cs="Arial"/>
          <w:b/>
          <w:color w:val="auto"/>
          <w:highlight w:val="none"/>
        </w:rPr>
      </w:pPr>
      <w:r>
        <w:rPr>
          <w:rFonts w:ascii="Arial" w:hAnsi="Arial" w:eastAsia="宋体" w:cs="Arial"/>
          <w:b/>
          <w:color w:val="auto"/>
          <w:highlight w:val="none"/>
        </w:rPr>
        <w:t>27</w:t>
      </w:r>
      <w:r>
        <w:rPr>
          <w:rFonts w:ascii="Arial" w:hAnsi="Arial" w:eastAsia="宋体" w:cs="Arial"/>
          <w:b/>
          <w:color w:val="auto"/>
          <w:szCs w:val="21"/>
          <w:highlight w:val="none"/>
        </w:rPr>
        <w:t xml:space="preserve">. </w:t>
      </w:r>
      <w:r>
        <w:rPr>
          <w:rFonts w:ascii="Arial" w:hAnsi="Arial" w:eastAsia="宋体" w:cs="Arial"/>
          <w:b/>
          <w:color w:val="auto"/>
          <w:szCs w:val="24"/>
          <w:highlight w:val="none"/>
        </w:rPr>
        <w:t>成交公告及成交通知书</w:t>
      </w:r>
    </w:p>
    <w:p w14:paraId="02AD0119">
      <w:pPr>
        <w:pStyle w:val="14"/>
        <w:tabs>
          <w:tab w:val="left" w:pos="455"/>
        </w:tabs>
        <w:spacing w:line="360" w:lineRule="exact"/>
        <w:ind w:firstLine="420" w:firstLineChars="200"/>
        <w:rPr>
          <w:rFonts w:ascii="Arial" w:hAnsi="Arial" w:eastAsia="宋体" w:cs="Arial"/>
          <w:color w:val="auto"/>
          <w:szCs w:val="24"/>
          <w:highlight w:val="none"/>
        </w:rPr>
      </w:pPr>
      <w:r>
        <w:rPr>
          <w:rFonts w:ascii="Arial" w:hAnsi="Arial" w:eastAsia="宋体" w:cs="Arial"/>
          <w:color w:val="auto"/>
          <w:highlight w:val="none"/>
        </w:rPr>
        <w:t xml:space="preserve">27.1 </w:t>
      </w:r>
      <w:r>
        <w:rPr>
          <w:rFonts w:ascii="Arial" w:hAnsi="Arial" w:eastAsia="宋体" w:cs="Arial"/>
          <w:color w:val="auto"/>
          <w:szCs w:val="21"/>
          <w:highlight w:val="none"/>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w:t>
      </w:r>
      <w:r>
        <w:rPr>
          <w:rFonts w:ascii="Arial" w:hAnsi="Arial" w:eastAsia="宋体" w:cs="Arial"/>
          <w:color w:val="auto"/>
          <w:szCs w:val="24"/>
          <w:highlight w:val="none"/>
        </w:rPr>
        <w:t>内发出成交通知书，并在指定媒体上公告成交信息。</w:t>
      </w:r>
    </w:p>
    <w:p w14:paraId="24D98B51">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27.2在发布成交公告的同时，采购代理机构向成交供应商发出成交通知书。成交供应商应自接到通知之日起七个工作日内，办理成交通知书领取手续。</w:t>
      </w:r>
    </w:p>
    <w:p w14:paraId="3411FAB7">
      <w:pPr>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27.3 采购代理机构无义务向未成交的供应商解释未成交原因和退还响应文件。</w:t>
      </w:r>
    </w:p>
    <w:p w14:paraId="5B5A3AD6">
      <w:pPr>
        <w:tabs>
          <w:tab w:val="left" w:pos="1140"/>
        </w:tabs>
        <w:spacing w:line="390" w:lineRule="exact"/>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t>五、签订合同</w:t>
      </w:r>
    </w:p>
    <w:p w14:paraId="3AF293AE">
      <w:pPr>
        <w:spacing w:line="360" w:lineRule="exact"/>
        <w:ind w:firstLine="411" w:firstLineChars="196"/>
        <w:rPr>
          <w:rFonts w:ascii="Arial" w:hAnsi="Arial" w:eastAsia="宋体" w:cs="Arial"/>
          <w:b/>
          <w:color w:val="auto"/>
          <w:highlight w:val="none"/>
        </w:rPr>
      </w:pPr>
      <w:r>
        <w:rPr>
          <w:rFonts w:ascii="Arial" w:hAnsi="Arial" w:eastAsia="宋体" w:cs="Arial"/>
          <w:b/>
          <w:color w:val="auto"/>
          <w:highlight w:val="none"/>
        </w:rPr>
        <w:t>28</w:t>
      </w:r>
      <w:r>
        <w:rPr>
          <w:rFonts w:ascii="Arial" w:hAnsi="Arial" w:eastAsia="宋体" w:cs="Arial"/>
          <w:b/>
          <w:color w:val="auto"/>
          <w:szCs w:val="21"/>
          <w:highlight w:val="none"/>
        </w:rPr>
        <w:t xml:space="preserve">. </w:t>
      </w:r>
      <w:r>
        <w:rPr>
          <w:rFonts w:ascii="Arial" w:hAnsi="Arial" w:eastAsia="宋体" w:cs="Arial"/>
          <w:b/>
          <w:color w:val="auto"/>
          <w:highlight w:val="none"/>
        </w:rPr>
        <w:t>履约保证金</w:t>
      </w:r>
    </w:p>
    <w:p w14:paraId="3D5AC62C">
      <w:pPr>
        <w:snapToGrid w:val="0"/>
        <w:spacing w:line="400" w:lineRule="exact"/>
        <w:ind w:firstLine="411" w:firstLineChars="196"/>
        <w:rPr>
          <w:rFonts w:ascii="Arial" w:hAnsi="Arial" w:eastAsia="宋体" w:cs="Arial"/>
          <w:bCs/>
          <w:color w:val="auto"/>
          <w:szCs w:val="21"/>
          <w:highlight w:val="none"/>
        </w:rPr>
      </w:pPr>
      <w:r>
        <w:rPr>
          <w:rFonts w:ascii="Arial" w:hAnsi="Arial" w:eastAsia="宋体" w:cs="Arial"/>
          <w:bCs/>
          <w:color w:val="auto"/>
          <w:szCs w:val="21"/>
          <w:highlight w:val="none"/>
        </w:rPr>
        <w:t>28.1.履约保证金金额：在合同签订之前，成交供应商按成交金额的5%（如成交供应商为中小微企业的，按成交金额的2%）向采购人交纳履约保证金。</w:t>
      </w:r>
    </w:p>
    <w:p w14:paraId="2AF2D1FF">
      <w:pPr>
        <w:snapToGrid w:val="0"/>
        <w:spacing w:line="400" w:lineRule="exact"/>
        <w:ind w:firstLine="411" w:firstLineChars="196"/>
        <w:rPr>
          <w:rFonts w:ascii="Arial" w:hAnsi="Arial" w:eastAsia="宋体" w:cs="Arial"/>
          <w:bCs/>
          <w:color w:val="auto"/>
          <w:szCs w:val="21"/>
          <w:highlight w:val="none"/>
        </w:rPr>
      </w:pPr>
      <w:r>
        <w:rPr>
          <w:rFonts w:ascii="Arial" w:hAnsi="Arial" w:eastAsia="宋体" w:cs="Arial"/>
          <w:bCs/>
          <w:color w:val="auto"/>
          <w:szCs w:val="21"/>
          <w:highlight w:val="none"/>
        </w:rPr>
        <w:t>28.2.履约保证金递交方式：转账或电汇等非现金形式。</w:t>
      </w:r>
    </w:p>
    <w:p w14:paraId="3942BF9F">
      <w:pPr>
        <w:snapToGrid w:val="0"/>
        <w:spacing w:line="400" w:lineRule="exact"/>
        <w:ind w:firstLine="411" w:firstLineChars="196"/>
        <w:rPr>
          <w:rFonts w:ascii="Arial" w:hAnsi="Arial" w:eastAsia="宋体" w:cs="Arial"/>
          <w:bCs/>
          <w:color w:val="auto"/>
          <w:szCs w:val="21"/>
          <w:highlight w:val="none"/>
        </w:rPr>
      </w:pPr>
      <w:r>
        <w:rPr>
          <w:rFonts w:ascii="Arial" w:hAnsi="Arial" w:eastAsia="宋体" w:cs="Arial"/>
          <w:bCs/>
          <w:color w:val="auto"/>
          <w:szCs w:val="21"/>
          <w:highlight w:val="none"/>
        </w:rPr>
        <w:t>28.3.履约保证金指定账户</w:t>
      </w:r>
    </w:p>
    <w:p w14:paraId="1720719A">
      <w:pPr>
        <w:snapToGrid w:val="0"/>
        <w:spacing w:line="400" w:lineRule="exact"/>
        <w:ind w:firstLine="411" w:firstLineChars="196"/>
        <w:rPr>
          <w:rFonts w:ascii="Arial" w:hAnsi="Arial" w:eastAsia="宋体" w:cs="Arial"/>
          <w:bCs/>
          <w:color w:val="auto"/>
          <w:szCs w:val="21"/>
          <w:highlight w:val="none"/>
        </w:rPr>
      </w:pPr>
      <w:r>
        <w:rPr>
          <w:rFonts w:ascii="Arial" w:hAnsi="Arial" w:eastAsia="宋体" w:cs="Arial"/>
          <w:bCs/>
          <w:color w:val="auto"/>
          <w:szCs w:val="21"/>
          <w:highlight w:val="none"/>
        </w:rPr>
        <w:t>开户名称：桂林理工大学</w:t>
      </w:r>
    </w:p>
    <w:p w14:paraId="03F6416E">
      <w:pPr>
        <w:snapToGrid w:val="0"/>
        <w:spacing w:line="400" w:lineRule="exact"/>
        <w:ind w:firstLine="411" w:firstLineChars="196"/>
        <w:rPr>
          <w:rFonts w:ascii="Arial" w:hAnsi="Arial" w:eastAsia="宋体" w:cs="Arial"/>
          <w:bCs/>
          <w:color w:val="auto"/>
          <w:szCs w:val="21"/>
          <w:highlight w:val="none"/>
        </w:rPr>
      </w:pPr>
      <w:r>
        <w:rPr>
          <w:rFonts w:ascii="Arial" w:hAnsi="Arial" w:eastAsia="宋体" w:cs="Arial"/>
          <w:bCs/>
          <w:color w:val="auto"/>
          <w:szCs w:val="21"/>
          <w:highlight w:val="none"/>
        </w:rPr>
        <w:t>开户银行：中国银行桂林分行</w:t>
      </w:r>
    </w:p>
    <w:p w14:paraId="738BF0C2">
      <w:pPr>
        <w:snapToGrid w:val="0"/>
        <w:spacing w:line="400" w:lineRule="exact"/>
        <w:ind w:firstLine="411" w:firstLineChars="196"/>
        <w:rPr>
          <w:rFonts w:ascii="Arial" w:hAnsi="Arial" w:eastAsia="宋体" w:cs="Arial"/>
          <w:bCs/>
          <w:color w:val="auto"/>
          <w:szCs w:val="21"/>
          <w:highlight w:val="none"/>
        </w:rPr>
      </w:pPr>
      <w:r>
        <w:rPr>
          <w:rFonts w:ascii="Arial" w:hAnsi="Arial" w:eastAsia="宋体" w:cs="Arial"/>
          <w:bCs/>
          <w:color w:val="auto"/>
          <w:szCs w:val="21"/>
          <w:highlight w:val="none"/>
        </w:rPr>
        <w:t>账号：613257488744。</w:t>
      </w:r>
    </w:p>
    <w:p w14:paraId="2A974577">
      <w:pPr>
        <w:snapToGrid w:val="0"/>
        <w:spacing w:line="400" w:lineRule="exact"/>
        <w:ind w:firstLine="411" w:firstLineChars="196"/>
        <w:rPr>
          <w:rFonts w:ascii="Arial" w:hAnsi="Arial" w:eastAsia="宋体" w:cs="Arial"/>
          <w:bCs/>
          <w:color w:val="auto"/>
          <w:szCs w:val="21"/>
          <w:highlight w:val="none"/>
        </w:rPr>
      </w:pPr>
      <w:r>
        <w:rPr>
          <w:rFonts w:ascii="Arial" w:hAnsi="Arial" w:eastAsia="宋体" w:cs="Arial"/>
          <w:bCs/>
          <w:color w:val="auto"/>
          <w:szCs w:val="21"/>
          <w:highlight w:val="none"/>
        </w:rPr>
        <w:t>28.4.履约保证金退付方式、时间及条件：</w:t>
      </w:r>
    </w:p>
    <w:p w14:paraId="39DAB254">
      <w:pPr>
        <w:snapToGrid w:val="0"/>
        <w:spacing w:line="400" w:lineRule="exact"/>
        <w:ind w:firstLine="411" w:firstLineChars="196"/>
        <w:rPr>
          <w:rFonts w:ascii="Arial" w:hAnsi="Arial" w:eastAsia="宋体" w:cs="Arial"/>
          <w:bCs/>
          <w:color w:val="auto"/>
          <w:szCs w:val="21"/>
          <w:highlight w:val="none"/>
        </w:rPr>
      </w:pPr>
      <w:r>
        <w:rPr>
          <w:rFonts w:ascii="Arial" w:hAnsi="Arial" w:eastAsia="宋体" w:cs="Arial"/>
          <w:bCs/>
          <w:color w:val="auto"/>
          <w:szCs w:val="21"/>
          <w:highlight w:val="none"/>
        </w:rPr>
        <w:t>（1）成交供应商须按上述规定的金额、方式将履约保证金转入桂林理工大学账户。否则，不予签订合同。</w:t>
      </w:r>
    </w:p>
    <w:p w14:paraId="04518744">
      <w:pPr>
        <w:snapToGrid w:val="0"/>
        <w:spacing w:line="400" w:lineRule="exact"/>
        <w:ind w:firstLine="411" w:firstLineChars="196"/>
        <w:rPr>
          <w:rFonts w:ascii="Arial" w:hAnsi="Arial" w:eastAsia="宋体" w:cs="Arial"/>
          <w:bCs/>
          <w:color w:val="auto"/>
          <w:kern w:val="0"/>
          <w:szCs w:val="21"/>
          <w:highlight w:val="none"/>
        </w:rPr>
      </w:pPr>
      <w:r>
        <w:rPr>
          <w:rFonts w:ascii="Arial" w:hAnsi="Arial" w:eastAsia="宋体" w:cs="Arial"/>
          <w:bCs/>
          <w:color w:val="auto"/>
          <w:szCs w:val="21"/>
          <w:highlight w:val="none"/>
        </w:rPr>
        <w:t>（2）履约保证金在成交供应商履行完合同约定的权利义务（包括免费保修服务等）事项后7个工作日内，由成交供应商凭履约保证金的申请表及合同向采购人申请办理履约保证金退还手续，采购人在收到合格材料后5个工作日内以银行转账方式如数退还（不计利息）。</w:t>
      </w:r>
    </w:p>
    <w:p w14:paraId="7FE65850">
      <w:pPr>
        <w:tabs>
          <w:tab w:val="left" w:pos="1140"/>
        </w:tabs>
        <w:spacing w:line="36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29. 签订合同</w:t>
      </w:r>
    </w:p>
    <w:p w14:paraId="01B22A6F">
      <w:pPr>
        <w:tabs>
          <w:tab w:val="left" w:pos="1140"/>
        </w:tabs>
        <w:spacing w:line="360" w:lineRule="exact"/>
        <w:ind w:firstLine="420" w:firstLineChars="200"/>
        <w:rPr>
          <w:rFonts w:ascii="Arial" w:hAnsi="Arial" w:eastAsia="宋体" w:cs="Arial"/>
          <w:color w:val="auto"/>
          <w:highlight w:val="none"/>
        </w:rPr>
      </w:pPr>
      <w:r>
        <w:rPr>
          <w:rFonts w:ascii="Arial" w:hAnsi="Arial" w:eastAsia="宋体" w:cs="Arial"/>
          <w:color w:val="auto"/>
          <w:highlight w:val="none"/>
        </w:rPr>
        <w:t>29.1 签订合同时间：成交通知书发出之日起2</w:t>
      </w:r>
      <w:r>
        <w:rPr>
          <w:rFonts w:hint="eastAsia" w:ascii="Arial" w:hAnsi="Arial" w:eastAsia="宋体" w:cs="Arial"/>
          <w:color w:val="auto"/>
          <w:highlight w:val="none"/>
        </w:rPr>
        <w:t>5</w:t>
      </w:r>
      <w:r>
        <w:rPr>
          <w:rFonts w:ascii="Arial" w:hAnsi="Arial" w:eastAsia="宋体" w:cs="Arial"/>
          <w:color w:val="auto"/>
          <w:highlight w:val="none"/>
        </w:rPr>
        <w:t>日内。</w:t>
      </w:r>
      <w:r>
        <w:rPr>
          <w:rFonts w:ascii="Arial" w:hAnsi="Arial" w:eastAsia="宋体" w:cs="Arial"/>
          <w:color w:val="auto"/>
          <w:szCs w:val="21"/>
          <w:highlight w:val="none"/>
        </w:rPr>
        <w:t>成交供应商领取成交通知书后，应按规定与采购人签订合同。</w:t>
      </w:r>
    </w:p>
    <w:p w14:paraId="0CF2AD75">
      <w:pPr>
        <w:pStyle w:val="14"/>
        <w:spacing w:line="360" w:lineRule="exact"/>
        <w:ind w:firstLine="420" w:firstLineChars="200"/>
        <w:rPr>
          <w:rFonts w:ascii="Arial" w:hAnsi="Arial" w:eastAsia="宋体" w:cs="Arial"/>
          <w:color w:val="auto"/>
          <w:szCs w:val="24"/>
          <w:highlight w:val="none"/>
        </w:rPr>
      </w:pPr>
      <w:r>
        <w:rPr>
          <w:rFonts w:ascii="Arial" w:hAnsi="Arial" w:eastAsia="宋体" w:cs="Arial"/>
          <w:color w:val="auto"/>
          <w:szCs w:val="24"/>
          <w:highlight w:val="none"/>
        </w:rPr>
        <w:t>29.2 如成交供应商有下列情形之一，采购代理机构可从谈判小组推荐的成交候选人中按顺序重新确定成交供应商或重新组织采购。拒绝签订采购合同的成交供应商不得参加对该项目重新开展的采购活动。</w:t>
      </w:r>
    </w:p>
    <w:p w14:paraId="7792ED87">
      <w:pPr>
        <w:widowControl/>
        <w:spacing w:line="360" w:lineRule="exact"/>
        <w:jc w:val="left"/>
        <w:rPr>
          <w:rFonts w:ascii="Arial" w:hAnsi="Arial" w:eastAsia="宋体" w:cs="Arial"/>
          <w:color w:val="auto"/>
          <w:highlight w:val="none"/>
        </w:rPr>
      </w:pPr>
      <w:r>
        <w:rPr>
          <w:rFonts w:ascii="Arial" w:hAnsi="Arial" w:eastAsia="宋体" w:cs="Arial"/>
          <w:color w:val="auto"/>
          <w:highlight w:val="none"/>
        </w:rPr>
        <w:t>　　（1）成交后不与采购人签订合同的（不可抗力除外）；</w:t>
      </w:r>
    </w:p>
    <w:p w14:paraId="20F893B5">
      <w:pPr>
        <w:widowControl/>
        <w:spacing w:line="360" w:lineRule="exact"/>
        <w:jc w:val="left"/>
        <w:rPr>
          <w:rFonts w:ascii="Arial" w:hAnsi="Arial" w:eastAsia="宋体" w:cs="Arial"/>
          <w:color w:val="auto"/>
          <w:highlight w:val="none"/>
        </w:rPr>
      </w:pPr>
      <w:r>
        <w:rPr>
          <w:rFonts w:ascii="Arial" w:hAnsi="Arial" w:eastAsia="宋体" w:cs="Arial"/>
          <w:color w:val="auto"/>
          <w:highlight w:val="none"/>
        </w:rPr>
        <w:t xml:space="preserve">    （2）将成交项目转让给他人，或者在响应文件中未说明，且未经采购人同意，将成交项目分包给他人的；</w:t>
      </w:r>
    </w:p>
    <w:p w14:paraId="1364EFB3">
      <w:pPr>
        <w:spacing w:line="360" w:lineRule="exact"/>
        <w:ind w:firstLine="420" w:firstLineChars="200"/>
        <w:rPr>
          <w:rFonts w:ascii="Arial" w:hAnsi="Arial" w:eastAsia="宋体" w:cs="Arial"/>
          <w:color w:val="auto"/>
          <w:highlight w:val="none"/>
        </w:rPr>
      </w:pPr>
      <w:r>
        <w:rPr>
          <w:rFonts w:ascii="Arial" w:hAnsi="Arial" w:eastAsia="宋体" w:cs="Arial"/>
          <w:color w:val="auto"/>
          <w:highlight w:val="none"/>
        </w:rPr>
        <w:t>（3）拒绝履行合同义务的。</w:t>
      </w:r>
    </w:p>
    <w:p w14:paraId="45D584AB">
      <w:pPr>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t>六、其他事项</w:t>
      </w:r>
    </w:p>
    <w:p w14:paraId="322435D0">
      <w:pPr>
        <w:spacing w:line="390" w:lineRule="exact"/>
        <w:ind w:firstLine="514" w:firstLineChars="245"/>
        <w:rPr>
          <w:rFonts w:ascii="Arial" w:hAnsi="Arial" w:eastAsia="宋体" w:cs="Arial"/>
          <w:b/>
          <w:color w:val="auto"/>
          <w:highlight w:val="none"/>
        </w:rPr>
      </w:pPr>
      <w:r>
        <w:rPr>
          <w:rFonts w:ascii="Arial" w:hAnsi="Arial" w:eastAsia="宋体" w:cs="Arial"/>
          <w:b/>
          <w:color w:val="auto"/>
          <w:highlight w:val="none"/>
        </w:rPr>
        <w:t>30</w:t>
      </w:r>
      <w:r>
        <w:rPr>
          <w:rFonts w:ascii="Arial" w:hAnsi="Arial" w:eastAsia="宋体" w:cs="Arial"/>
          <w:b/>
          <w:color w:val="auto"/>
          <w:szCs w:val="21"/>
          <w:highlight w:val="none"/>
        </w:rPr>
        <w:t xml:space="preserve">. </w:t>
      </w:r>
      <w:r>
        <w:rPr>
          <w:rFonts w:ascii="Arial" w:hAnsi="Arial" w:eastAsia="宋体" w:cs="Arial"/>
          <w:b/>
          <w:color w:val="auto"/>
          <w:highlight w:val="none"/>
        </w:rPr>
        <w:t>采购代理服务费</w:t>
      </w:r>
    </w:p>
    <w:p w14:paraId="4549ADF9">
      <w:pPr>
        <w:spacing w:line="390" w:lineRule="exact"/>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30.1采购代理服务费：以项目的成交金额为计费额，按国家发展计划委员会文件计价格（2002）1980号“国家计委关于印发《招标代理服务收费管理暂行办法》的通知”规定的货物类费率标准（详见本须知第30.2条）采用差额定率累进法计算出收费基准价格，采购代理服务费按收费基准价格下浮60 %收取，由成交供应商在领取成交通知书前，向采购代理机构一次性支付。</w:t>
      </w:r>
    </w:p>
    <w:p w14:paraId="0ADCB050">
      <w:pPr>
        <w:spacing w:line="390" w:lineRule="exact"/>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30.2采购代理服务费标准：</w:t>
      </w:r>
    </w:p>
    <w:tbl>
      <w:tblPr>
        <w:tblStyle w:val="24"/>
        <w:tblW w:w="6138" w:type="dxa"/>
        <w:jc w:val="center"/>
        <w:tblLayout w:type="fixed"/>
        <w:tblCellMar>
          <w:top w:w="0" w:type="dxa"/>
          <w:left w:w="108" w:type="dxa"/>
          <w:bottom w:w="0" w:type="dxa"/>
          <w:right w:w="108" w:type="dxa"/>
        </w:tblCellMar>
      </w:tblPr>
      <w:tblGrid>
        <w:gridCol w:w="2734"/>
        <w:gridCol w:w="1134"/>
        <w:gridCol w:w="1135"/>
        <w:gridCol w:w="1135"/>
      </w:tblGrid>
      <w:tr w14:paraId="1B7EAF67">
        <w:tblPrEx>
          <w:tblCellMar>
            <w:top w:w="0" w:type="dxa"/>
            <w:left w:w="108" w:type="dxa"/>
            <w:bottom w:w="0" w:type="dxa"/>
            <w:right w:w="108" w:type="dxa"/>
          </w:tblCellMar>
        </w:tblPrEx>
        <w:trPr>
          <w:trHeight w:val="588" w:hRule="atLeast"/>
          <w:jc w:val="center"/>
        </w:trPr>
        <w:tc>
          <w:tcPr>
            <w:tcW w:w="2734" w:type="dxa"/>
            <w:tcBorders>
              <w:top w:val="single" w:color="000000" w:sz="4" w:space="0"/>
              <w:left w:val="single" w:color="000000" w:sz="4" w:space="0"/>
              <w:bottom w:val="single" w:color="000000" w:sz="4" w:space="0"/>
              <w:right w:val="single" w:color="000000" w:sz="4" w:space="0"/>
              <w:tl2br w:val="single" w:color="auto" w:sz="4" w:space="0"/>
            </w:tcBorders>
            <w:tcMar>
              <w:top w:w="0" w:type="dxa"/>
              <w:left w:w="0" w:type="dxa"/>
              <w:bottom w:w="0" w:type="dxa"/>
              <w:right w:w="108" w:type="dxa"/>
            </w:tcMar>
            <w:vAlign w:val="center"/>
          </w:tcPr>
          <w:p w14:paraId="530D2C16">
            <w:pPr>
              <w:spacing w:line="288" w:lineRule="auto"/>
              <w:rPr>
                <w:rFonts w:ascii="Arial" w:hAnsi="Arial" w:eastAsia="宋体" w:cs="Arial"/>
                <w:color w:val="auto"/>
                <w:highlight w:val="none"/>
              </w:rPr>
            </w:pPr>
            <w:r>
              <w:rPr>
                <w:rFonts w:ascii="Arial" w:hAnsi="Arial" w:eastAsia="宋体" w:cs="Arial"/>
                <w:color w:val="auto"/>
                <w:highlight w:val="none"/>
              </w:rPr>
              <w:t xml:space="preserve">             </w:t>
            </w:r>
            <w:r>
              <w:rPr>
                <w:rFonts w:hint="eastAsia" w:ascii="Arial" w:hAnsi="Arial" w:eastAsia="宋体" w:cs="Arial"/>
                <w:color w:val="auto"/>
                <w:highlight w:val="none"/>
              </w:rPr>
              <w:t xml:space="preserve">  </w:t>
            </w:r>
            <w:r>
              <w:rPr>
                <w:rFonts w:ascii="Arial" w:hAnsi="Arial" w:eastAsia="宋体" w:cs="Arial"/>
                <w:color w:val="auto"/>
                <w:highlight w:val="none"/>
              </w:rPr>
              <w:t>服务类型</w:t>
            </w:r>
          </w:p>
          <w:p w14:paraId="687ACD6A">
            <w:pPr>
              <w:spacing w:line="288" w:lineRule="auto"/>
              <w:rPr>
                <w:rFonts w:ascii="Arial" w:hAnsi="Arial" w:eastAsia="宋体" w:cs="Arial"/>
                <w:color w:val="auto"/>
                <w:highlight w:val="none"/>
              </w:rPr>
            </w:pPr>
            <w:r>
              <w:rPr>
                <w:rFonts w:hint="eastAsia" w:ascii="Arial" w:hAnsi="Arial" w:eastAsia="宋体" w:cs="Arial"/>
                <w:color w:val="auto"/>
                <w:highlight w:val="none"/>
              </w:rPr>
              <w:t>成交</w:t>
            </w:r>
            <w:r>
              <w:rPr>
                <w:rFonts w:ascii="Arial" w:hAnsi="Arial" w:eastAsia="宋体" w:cs="Arial"/>
                <w:color w:val="auto"/>
                <w:highlight w:val="none"/>
              </w:rPr>
              <w:t>金额（万元）</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B5407B">
            <w:pPr>
              <w:spacing w:line="288" w:lineRule="auto"/>
              <w:jc w:val="center"/>
              <w:rPr>
                <w:rFonts w:ascii="Arial" w:hAnsi="Arial" w:eastAsia="宋体" w:cs="Arial"/>
                <w:color w:val="auto"/>
                <w:highlight w:val="none"/>
              </w:rPr>
            </w:pPr>
            <w:r>
              <w:rPr>
                <w:rFonts w:ascii="Arial" w:hAnsi="Arial" w:eastAsia="宋体" w:cs="Arial"/>
                <w:color w:val="auto"/>
                <w:highlight w:val="none"/>
              </w:rPr>
              <w:t>货物招标</w:t>
            </w:r>
          </w:p>
        </w:tc>
        <w:tc>
          <w:tcPr>
            <w:tcW w:w="11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108" w:type="dxa"/>
            </w:tcMar>
            <w:vAlign w:val="center"/>
          </w:tcPr>
          <w:p w14:paraId="3EC999D4">
            <w:pPr>
              <w:spacing w:line="288" w:lineRule="auto"/>
              <w:jc w:val="center"/>
              <w:rPr>
                <w:rFonts w:ascii="Arial" w:hAnsi="Arial" w:eastAsia="宋体" w:cs="Arial"/>
                <w:color w:val="auto"/>
                <w:highlight w:val="none"/>
              </w:rPr>
            </w:pPr>
            <w:r>
              <w:rPr>
                <w:rFonts w:ascii="Arial" w:hAnsi="Arial" w:eastAsia="宋体" w:cs="Arial"/>
                <w:color w:val="auto"/>
                <w:highlight w:val="none"/>
              </w:rPr>
              <w:t>服务招标</w:t>
            </w:r>
          </w:p>
        </w:tc>
        <w:tc>
          <w:tcPr>
            <w:tcW w:w="11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108" w:type="dxa"/>
            </w:tcMar>
            <w:vAlign w:val="center"/>
          </w:tcPr>
          <w:p w14:paraId="4FF61A41">
            <w:pPr>
              <w:spacing w:line="288" w:lineRule="auto"/>
              <w:jc w:val="center"/>
              <w:rPr>
                <w:rFonts w:ascii="Arial" w:hAnsi="Arial" w:eastAsia="宋体" w:cs="Arial"/>
                <w:color w:val="auto"/>
                <w:highlight w:val="none"/>
              </w:rPr>
            </w:pPr>
            <w:r>
              <w:rPr>
                <w:rFonts w:ascii="Arial" w:hAnsi="Arial" w:eastAsia="宋体" w:cs="Arial"/>
                <w:color w:val="auto"/>
                <w:highlight w:val="none"/>
              </w:rPr>
              <w:t>工程招标</w:t>
            </w:r>
          </w:p>
        </w:tc>
      </w:tr>
      <w:tr w14:paraId="21A9CC7E">
        <w:tblPrEx>
          <w:tblCellMar>
            <w:top w:w="0" w:type="dxa"/>
            <w:left w:w="108" w:type="dxa"/>
            <w:bottom w:w="0" w:type="dxa"/>
            <w:right w:w="108" w:type="dxa"/>
          </w:tblCellMar>
        </w:tblPrEx>
        <w:trPr>
          <w:trHeight w:val="425" w:hRule="atLeast"/>
          <w:jc w:val="center"/>
        </w:trPr>
        <w:tc>
          <w:tcPr>
            <w:tcW w:w="27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56CCBB">
            <w:pPr>
              <w:spacing w:line="288" w:lineRule="auto"/>
              <w:jc w:val="center"/>
              <w:rPr>
                <w:rFonts w:ascii="Arial" w:hAnsi="Arial" w:eastAsia="宋体" w:cs="Arial"/>
                <w:color w:val="auto"/>
                <w:highlight w:val="none"/>
              </w:rPr>
            </w:pPr>
            <w:r>
              <w:rPr>
                <w:rFonts w:ascii="Arial" w:hAnsi="Arial" w:eastAsia="宋体" w:cs="Arial"/>
                <w:color w:val="auto"/>
                <w:highlight w:val="none"/>
              </w:rPr>
              <w:t>100以下</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655179">
            <w:pPr>
              <w:spacing w:line="288" w:lineRule="auto"/>
              <w:jc w:val="center"/>
              <w:rPr>
                <w:rFonts w:ascii="Arial" w:hAnsi="Arial" w:eastAsia="宋体" w:cs="Arial"/>
                <w:color w:val="auto"/>
                <w:highlight w:val="none"/>
              </w:rPr>
            </w:pPr>
            <w:r>
              <w:rPr>
                <w:rFonts w:ascii="Arial" w:hAnsi="Arial" w:eastAsia="宋体" w:cs="Arial"/>
                <w:color w:val="auto"/>
                <w:highlight w:val="none"/>
              </w:rPr>
              <w:t>1.5％</w:t>
            </w:r>
          </w:p>
        </w:tc>
        <w:tc>
          <w:tcPr>
            <w:tcW w:w="1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FBE5FA">
            <w:pPr>
              <w:spacing w:line="288" w:lineRule="auto"/>
              <w:jc w:val="center"/>
              <w:rPr>
                <w:rFonts w:ascii="Arial" w:hAnsi="Arial" w:eastAsia="宋体" w:cs="Arial"/>
                <w:color w:val="auto"/>
                <w:highlight w:val="none"/>
              </w:rPr>
            </w:pPr>
            <w:r>
              <w:rPr>
                <w:rFonts w:ascii="Arial" w:hAnsi="Arial" w:eastAsia="宋体" w:cs="Arial"/>
                <w:color w:val="auto"/>
                <w:highlight w:val="none"/>
              </w:rPr>
              <w:t>1.5％</w:t>
            </w:r>
          </w:p>
        </w:tc>
        <w:tc>
          <w:tcPr>
            <w:tcW w:w="1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78F2F0">
            <w:pPr>
              <w:spacing w:line="288" w:lineRule="auto"/>
              <w:jc w:val="center"/>
              <w:rPr>
                <w:rFonts w:ascii="Arial" w:hAnsi="Arial" w:eastAsia="宋体" w:cs="Arial"/>
                <w:color w:val="auto"/>
                <w:highlight w:val="none"/>
              </w:rPr>
            </w:pPr>
            <w:r>
              <w:rPr>
                <w:rFonts w:ascii="Arial" w:hAnsi="Arial" w:eastAsia="宋体" w:cs="Arial"/>
                <w:color w:val="auto"/>
                <w:highlight w:val="none"/>
              </w:rPr>
              <w:t>1.0％</w:t>
            </w:r>
          </w:p>
        </w:tc>
      </w:tr>
      <w:tr w14:paraId="48FF2C06">
        <w:tblPrEx>
          <w:tblCellMar>
            <w:top w:w="0" w:type="dxa"/>
            <w:left w:w="108" w:type="dxa"/>
            <w:bottom w:w="0" w:type="dxa"/>
            <w:right w:w="108" w:type="dxa"/>
          </w:tblCellMar>
        </w:tblPrEx>
        <w:trPr>
          <w:trHeight w:val="425" w:hRule="atLeast"/>
          <w:jc w:val="center"/>
        </w:trPr>
        <w:tc>
          <w:tcPr>
            <w:tcW w:w="27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E47ACE">
            <w:pPr>
              <w:spacing w:line="288" w:lineRule="auto"/>
              <w:jc w:val="center"/>
              <w:rPr>
                <w:rFonts w:ascii="Arial" w:hAnsi="Arial" w:eastAsia="宋体" w:cs="Arial"/>
                <w:color w:val="auto"/>
                <w:highlight w:val="none"/>
              </w:rPr>
            </w:pPr>
            <w:r>
              <w:rPr>
                <w:rFonts w:ascii="Arial" w:hAnsi="Arial" w:eastAsia="宋体" w:cs="Arial"/>
                <w:color w:val="auto"/>
                <w:highlight w:val="none"/>
              </w:rPr>
              <w:t>100-500</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D0C997">
            <w:pPr>
              <w:spacing w:line="288" w:lineRule="auto"/>
              <w:jc w:val="center"/>
              <w:rPr>
                <w:rFonts w:ascii="Arial" w:hAnsi="Arial" w:eastAsia="宋体" w:cs="Arial"/>
                <w:color w:val="auto"/>
                <w:highlight w:val="none"/>
              </w:rPr>
            </w:pPr>
            <w:r>
              <w:rPr>
                <w:rFonts w:ascii="Arial" w:hAnsi="Arial" w:eastAsia="宋体" w:cs="Arial"/>
                <w:color w:val="auto"/>
                <w:highlight w:val="none"/>
              </w:rPr>
              <w:t>1.1％</w:t>
            </w:r>
          </w:p>
        </w:tc>
        <w:tc>
          <w:tcPr>
            <w:tcW w:w="1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676A1E">
            <w:pPr>
              <w:spacing w:line="288" w:lineRule="auto"/>
              <w:jc w:val="center"/>
              <w:rPr>
                <w:rFonts w:ascii="Arial" w:hAnsi="Arial" w:eastAsia="宋体" w:cs="Arial"/>
                <w:color w:val="auto"/>
                <w:highlight w:val="none"/>
              </w:rPr>
            </w:pPr>
            <w:r>
              <w:rPr>
                <w:rFonts w:ascii="Arial" w:hAnsi="Arial" w:eastAsia="宋体" w:cs="Arial"/>
                <w:color w:val="auto"/>
                <w:highlight w:val="none"/>
              </w:rPr>
              <w:t>0.8％</w:t>
            </w:r>
          </w:p>
        </w:tc>
        <w:tc>
          <w:tcPr>
            <w:tcW w:w="1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60A444">
            <w:pPr>
              <w:spacing w:line="288" w:lineRule="auto"/>
              <w:jc w:val="center"/>
              <w:rPr>
                <w:rFonts w:ascii="Arial" w:hAnsi="Arial" w:eastAsia="宋体" w:cs="Arial"/>
                <w:color w:val="auto"/>
                <w:highlight w:val="none"/>
              </w:rPr>
            </w:pPr>
            <w:r>
              <w:rPr>
                <w:rFonts w:ascii="Arial" w:hAnsi="Arial" w:eastAsia="宋体" w:cs="Arial"/>
                <w:color w:val="auto"/>
                <w:highlight w:val="none"/>
              </w:rPr>
              <w:t>0.7％</w:t>
            </w:r>
          </w:p>
        </w:tc>
      </w:tr>
      <w:tr w14:paraId="2151FFBB">
        <w:tblPrEx>
          <w:tblCellMar>
            <w:top w:w="0" w:type="dxa"/>
            <w:left w:w="108" w:type="dxa"/>
            <w:bottom w:w="0" w:type="dxa"/>
            <w:right w:w="108" w:type="dxa"/>
          </w:tblCellMar>
        </w:tblPrEx>
        <w:trPr>
          <w:trHeight w:val="425" w:hRule="atLeast"/>
          <w:jc w:val="center"/>
        </w:trPr>
        <w:tc>
          <w:tcPr>
            <w:tcW w:w="27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F93486">
            <w:pPr>
              <w:spacing w:line="288" w:lineRule="auto"/>
              <w:jc w:val="center"/>
              <w:rPr>
                <w:rFonts w:ascii="Arial" w:hAnsi="Arial" w:eastAsia="宋体" w:cs="Arial"/>
                <w:color w:val="auto"/>
                <w:highlight w:val="none"/>
              </w:rPr>
            </w:pPr>
            <w:r>
              <w:rPr>
                <w:rFonts w:ascii="Arial" w:hAnsi="Arial" w:eastAsia="宋体" w:cs="Arial"/>
                <w:color w:val="auto"/>
                <w:highlight w:val="none"/>
              </w:rPr>
              <w:t>500-1000</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B009CB">
            <w:pPr>
              <w:spacing w:line="288" w:lineRule="auto"/>
              <w:jc w:val="center"/>
              <w:rPr>
                <w:rFonts w:ascii="Arial" w:hAnsi="Arial" w:eastAsia="宋体" w:cs="Arial"/>
                <w:color w:val="auto"/>
                <w:highlight w:val="none"/>
              </w:rPr>
            </w:pPr>
            <w:r>
              <w:rPr>
                <w:rFonts w:ascii="Arial" w:hAnsi="Arial" w:eastAsia="宋体" w:cs="Arial"/>
                <w:color w:val="auto"/>
                <w:highlight w:val="none"/>
              </w:rPr>
              <w:t>0.8％</w:t>
            </w:r>
          </w:p>
        </w:tc>
        <w:tc>
          <w:tcPr>
            <w:tcW w:w="1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83216E">
            <w:pPr>
              <w:spacing w:line="288" w:lineRule="auto"/>
              <w:jc w:val="center"/>
              <w:rPr>
                <w:rFonts w:ascii="Arial" w:hAnsi="Arial" w:eastAsia="宋体" w:cs="Arial"/>
                <w:color w:val="auto"/>
                <w:highlight w:val="none"/>
              </w:rPr>
            </w:pPr>
            <w:r>
              <w:rPr>
                <w:rFonts w:ascii="Arial" w:hAnsi="Arial" w:eastAsia="宋体" w:cs="Arial"/>
                <w:color w:val="auto"/>
                <w:highlight w:val="none"/>
              </w:rPr>
              <w:t>0.45％</w:t>
            </w:r>
          </w:p>
        </w:tc>
        <w:tc>
          <w:tcPr>
            <w:tcW w:w="1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FAB519">
            <w:pPr>
              <w:spacing w:line="288" w:lineRule="auto"/>
              <w:jc w:val="center"/>
              <w:rPr>
                <w:rFonts w:ascii="Arial" w:hAnsi="Arial" w:eastAsia="宋体" w:cs="Arial"/>
                <w:color w:val="auto"/>
                <w:highlight w:val="none"/>
              </w:rPr>
            </w:pPr>
            <w:r>
              <w:rPr>
                <w:rFonts w:ascii="Arial" w:hAnsi="Arial" w:eastAsia="宋体" w:cs="Arial"/>
                <w:color w:val="auto"/>
                <w:highlight w:val="none"/>
              </w:rPr>
              <w:t>0.55％</w:t>
            </w:r>
          </w:p>
        </w:tc>
      </w:tr>
      <w:tr w14:paraId="4C88325C">
        <w:tblPrEx>
          <w:tblCellMar>
            <w:top w:w="0" w:type="dxa"/>
            <w:left w:w="108" w:type="dxa"/>
            <w:bottom w:w="0" w:type="dxa"/>
            <w:right w:w="108" w:type="dxa"/>
          </w:tblCellMar>
        </w:tblPrEx>
        <w:trPr>
          <w:trHeight w:val="434" w:hRule="atLeast"/>
          <w:jc w:val="center"/>
        </w:trPr>
        <w:tc>
          <w:tcPr>
            <w:tcW w:w="27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4F0D37">
            <w:pPr>
              <w:spacing w:line="288" w:lineRule="auto"/>
              <w:jc w:val="center"/>
              <w:rPr>
                <w:rFonts w:ascii="Arial" w:hAnsi="Arial" w:eastAsia="宋体" w:cs="Arial"/>
                <w:color w:val="auto"/>
                <w:highlight w:val="none"/>
              </w:rPr>
            </w:pPr>
            <w:r>
              <w:rPr>
                <w:rFonts w:ascii="Arial" w:hAnsi="Arial" w:eastAsia="宋体" w:cs="Arial"/>
                <w:color w:val="auto"/>
                <w:highlight w:val="none"/>
              </w:rPr>
              <w:t>1000-5000</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95DE7B">
            <w:pPr>
              <w:spacing w:line="288" w:lineRule="auto"/>
              <w:jc w:val="center"/>
              <w:rPr>
                <w:rFonts w:ascii="Arial" w:hAnsi="Arial" w:eastAsia="宋体" w:cs="Arial"/>
                <w:color w:val="auto"/>
                <w:highlight w:val="none"/>
              </w:rPr>
            </w:pPr>
            <w:r>
              <w:rPr>
                <w:rFonts w:ascii="Arial" w:hAnsi="Arial" w:eastAsia="宋体" w:cs="Arial"/>
                <w:color w:val="auto"/>
                <w:highlight w:val="none"/>
              </w:rPr>
              <w:t>0.5％</w:t>
            </w:r>
          </w:p>
        </w:tc>
        <w:tc>
          <w:tcPr>
            <w:tcW w:w="1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5260AA">
            <w:pPr>
              <w:spacing w:line="288" w:lineRule="auto"/>
              <w:jc w:val="center"/>
              <w:rPr>
                <w:rFonts w:ascii="Arial" w:hAnsi="Arial" w:eastAsia="宋体" w:cs="Arial"/>
                <w:color w:val="auto"/>
                <w:highlight w:val="none"/>
              </w:rPr>
            </w:pPr>
            <w:r>
              <w:rPr>
                <w:rFonts w:ascii="Arial" w:hAnsi="Arial" w:eastAsia="宋体" w:cs="Arial"/>
                <w:color w:val="auto"/>
                <w:highlight w:val="none"/>
              </w:rPr>
              <w:t>0.25％</w:t>
            </w:r>
          </w:p>
        </w:tc>
        <w:tc>
          <w:tcPr>
            <w:tcW w:w="11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A2EEEF">
            <w:pPr>
              <w:spacing w:line="288" w:lineRule="auto"/>
              <w:jc w:val="center"/>
              <w:rPr>
                <w:rFonts w:ascii="Arial" w:hAnsi="Arial" w:eastAsia="宋体" w:cs="Arial"/>
                <w:color w:val="auto"/>
                <w:highlight w:val="none"/>
              </w:rPr>
            </w:pPr>
            <w:r>
              <w:rPr>
                <w:rFonts w:ascii="Arial" w:hAnsi="Arial" w:eastAsia="宋体" w:cs="Arial"/>
                <w:color w:val="auto"/>
                <w:highlight w:val="none"/>
              </w:rPr>
              <w:t>0.35％</w:t>
            </w:r>
          </w:p>
        </w:tc>
      </w:tr>
    </w:tbl>
    <w:p w14:paraId="54503198">
      <w:pPr>
        <w:pStyle w:val="14"/>
        <w:spacing w:line="360" w:lineRule="exact"/>
        <w:ind w:firstLine="420" w:firstLineChars="200"/>
        <w:rPr>
          <w:rFonts w:ascii="Arial" w:hAnsi="Arial" w:eastAsia="宋体" w:cs="Arial"/>
          <w:b/>
          <w:color w:val="auto"/>
          <w:highlight w:val="none"/>
        </w:rPr>
      </w:pPr>
      <w:r>
        <w:rPr>
          <w:rFonts w:ascii="Arial" w:hAnsi="Arial" w:eastAsia="宋体" w:cs="Arial"/>
          <w:color w:val="auto"/>
          <w:highlight w:val="none"/>
        </w:rPr>
        <w:t>注：代理服务收费按差额定率累进法计算。</w:t>
      </w:r>
    </w:p>
    <w:p w14:paraId="75EF88B1">
      <w:pPr>
        <w:ind w:firstLine="420" w:firstLineChars="200"/>
        <w:rPr>
          <w:rFonts w:ascii="Arial" w:hAnsi="Arial" w:eastAsia="宋体" w:cs="Arial"/>
          <w:b/>
          <w:color w:val="auto"/>
          <w:highlight w:val="none"/>
        </w:rPr>
      </w:pPr>
      <w:r>
        <w:rPr>
          <w:rFonts w:ascii="Arial" w:hAnsi="Arial" w:eastAsia="宋体" w:cs="Arial"/>
          <w:b/>
          <w:color w:val="auto"/>
          <w:highlight w:val="none"/>
        </w:rPr>
        <w:t>31.采购代理机构银行账户：</w:t>
      </w:r>
    </w:p>
    <w:p w14:paraId="04898D86">
      <w:pPr>
        <w:pStyle w:val="14"/>
        <w:snapToGrid w:val="0"/>
        <w:spacing w:line="360" w:lineRule="exact"/>
        <w:ind w:left="420" w:leftChars="200"/>
        <w:rPr>
          <w:rFonts w:hint="eastAsia" w:ascii="Arial" w:hAnsi="Arial" w:eastAsia="宋体" w:cs="Arial"/>
          <w:b/>
          <w:color w:val="auto"/>
          <w:highlight w:val="none"/>
        </w:rPr>
      </w:pPr>
      <w:r>
        <w:rPr>
          <w:rFonts w:hint="eastAsia" w:ascii="Arial" w:hAnsi="Arial" w:eastAsia="宋体" w:cs="Arial"/>
          <w:b/>
          <w:color w:val="auto"/>
          <w:highlight w:val="none"/>
        </w:rPr>
        <w:t>公司名称：广西机电设备招标有限公司</w:t>
      </w:r>
    </w:p>
    <w:p w14:paraId="1DBD27C0">
      <w:pPr>
        <w:pStyle w:val="14"/>
        <w:snapToGrid w:val="0"/>
        <w:spacing w:line="360" w:lineRule="exact"/>
        <w:ind w:left="420" w:leftChars="200"/>
        <w:rPr>
          <w:rFonts w:hint="eastAsia" w:ascii="Arial" w:hAnsi="Arial" w:eastAsia="宋体" w:cs="Arial"/>
          <w:b/>
          <w:color w:val="auto"/>
          <w:highlight w:val="none"/>
        </w:rPr>
      </w:pPr>
      <w:r>
        <w:rPr>
          <w:rFonts w:hint="eastAsia" w:ascii="Arial" w:hAnsi="Arial" w:eastAsia="宋体" w:cs="Arial"/>
          <w:b/>
          <w:color w:val="auto"/>
          <w:highlight w:val="none"/>
        </w:rPr>
        <w:t>开户银行：广西北部湾银行金湖支行</w:t>
      </w:r>
    </w:p>
    <w:p w14:paraId="2386B501">
      <w:pPr>
        <w:pStyle w:val="14"/>
        <w:snapToGrid w:val="0"/>
        <w:spacing w:line="360" w:lineRule="exact"/>
        <w:ind w:left="420" w:leftChars="200"/>
        <w:rPr>
          <w:rFonts w:hint="eastAsia" w:ascii="Arial" w:hAnsi="Arial" w:eastAsia="宋体" w:cs="Arial"/>
          <w:b/>
          <w:color w:val="auto"/>
          <w:highlight w:val="none"/>
        </w:rPr>
      </w:pPr>
      <w:r>
        <w:rPr>
          <w:rFonts w:hint="eastAsia" w:ascii="Arial" w:hAnsi="Arial" w:eastAsia="宋体" w:cs="Arial"/>
          <w:b/>
          <w:color w:val="auto"/>
          <w:highlight w:val="none"/>
        </w:rPr>
        <w:t>银行账号：1705012090027723</w:t>
      </w:r>
    </w:p>
    <w:p w14:paraId="1944D225">
      <w:pPr>
        <w:pStyle w:val="14"/>
        <w:snapToGrid w:val="0"/>
        <w:spacing w:line="360" w:lineRule="exact"/>
        <w:ind w:left="420" w:leftChars="200"/>
        <w:rPr>
          <w:rFonts w:ascii="Arial" w:hAnsi="Arial" w:eastAsia="宋体" w:cs="Arial"/>
          <w:color w:val="auto"/>
          <w:highlight w:val="none"/>
        </w:rPr>
      </w:pPr>
      <w:r>
        <w:rPr>
          <w:rFonts w:ascii="Arial" w:hAnsi="Arial" w:eastAsia="宋体" w:cs="Arial"/>
          <w:b/>
          <w:color w:val="auto"/>
          <w:highlight w:val="none"/>
        </w:rPr>
        <w:t>32.解释权：</w:t>
      </w:r>
      <w:r>
        <w:rPr>
          <w:rFonts w:ascii="Arial" w:hAnsi="Arial" w:eastAsia="宋体" w:cs="Arial"/>
          <w:color w:val="auto"/>
          <w:highlight w:val="none"/>
        </w:rPr>
        <w:t>本竞争性谈判文件的解释权属于采购代理机构。</w:t>
      </w:r>
    </w:p>
    <w:p w14:paraId="039CF0A1">
      <w:pPr>
        <w:spacing w:line="340" w:lineRule="exact"/>
        <w:rPr>
          <w:rFonts w:ascii="Arial" w:hAnsi="Arial" w:eastAsia="宋体" w:cs="Arial"/>
          <w:b/>
          <w:color w:val="auto"/>
          <w:sz w:val="32"/>
          <w:szCs w:val="32"/>
          <w:highlight w:val="none"/>
        </w:rPr>
      </w:pPr>
      <w:r>
        <w:rPr>
          <w:rFonts w:ascii="Arial" w:hAnsi="Arial" w:eastAsia="宋体" w:cs="Arial"/>
          <w:color w:val="auto"/>
          <w:kern w:val="0"/>
          <w:sz w:val="24"/>
          <w:highlight w:val="none"/>
        </w:rPr>
        <w:br w:type="page"/>
      </w:r>
    </w:p>
    <w:p w14:paraId="0CECF980">
      <w:pPr>
        <w:pStyle w:val="2"/>
        <w:jc w:val="center"/>
        <w:rPr>
          <w:rFonts w:hint="eastAsia"/>
          <w:color w:val="auto"/>
          <w:highlight w:val="none"/>
        </w:rPr>
      </w:pPr>
      <w:bookmarkStart w:id="26" w:name="_Toc6011"/>
      <w:bookmarkStart w:id="27" w:name="_Toc8686"/>
      <w:r>
        <w:rPr>
          <w:color w:val="auto"/>
          <w:highlight w:val="none"/>
        </w:rPr>
        <w:t xml:space="preserve">第三章  </w:t>
      </w:r>
      <w:bookmarkEnd w:id="26"/>
      <w:r>
        <w:rPr>
          <w:color w:val="auto"/>
          <w:highlight w:val="none"/>
        </w:rPr>
        <w:t>项目采购需求</w:t>
      </w:r>
      <w:bookmarkEnd w:id="27"/>
    </w:p>
    <w:p w14:paraId="140D53B2">
      <w:pPr>
        <w:widowControl/>
        <w:ind w:firstLine="420" w:firstLineChars="200"/>
        <w:jc w:val="left"/>
        <w:rPr>
          <w:rFonts w:ascii="Arial" w:hAnsi="Arial" w:eastAsia="宋体" w:cs="Arial"/>
          <w:b/>
          <w:color w:val="auto"/>
          <w:highlight w:val="none"/>
        </w:rPr>
      </w:pPr>
      <w:bookmarkStart w:id="28" w:name="_Toc23090"/>
      <w:r>
        <w:rPr>
          <w:rFonts w:ascii="Arial" w:hAnsi="Arial" w:eastAsia="宋体" w:cs="Arial"/>
          <w:b/>
          <w:color w:val="auto"/>
          <w:highlight w:val="none"/>
        </w:rPr>
        <w:t>说明：“项目采购需求”中所有条款要求及竞争性谈判文件中要求“必须提供”的条款均为实质性要求，如有负偏离或不满足要求则响应被否决。</w:t>
      </w:r>
    </w:p>
    <w:tbl>
      <w:tblPr>
        <w:tblStyle w:val="25"/>
        <w:tblW w:w="10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200"/>
        <w:gridCol w:w="94"/>
        <w:gridCol w:w="570"/>
        <w:gridCol w:w="729"/>
        <w:gridCol w:w="7031"/>
      </w:tblGrid>
      <w:tr w14:paraId="1C87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72" w:type="dxa"/>
            <w:gridSpan w:val="6"/>
            <w:vAlign w:val="center"/>
          </w:tcPr>
          <w:p w14:paraId="42239F0E">
            <w:pPr>
              <w:rPr>
                <w:rFonts w:ascii="Arial" w:hAnsi="Arial" w:eastAsia="宋体" w:cs="Arial"/>
                <w:color w:val="auto"/>
                <w:szCs w:val="21"/>
                <w:highlight w:val="none"/>
              </w:rPr>
            </w:pPr>
            <w:r>
              <w:rPr>
                <w:rFonts w:ascii="Arial" w:hAnsi="Arial" w:eastAsia="宋体" w:cs="Arial"/>
                <w:color w:val="auto"/>
                <w:szCs w:val="21"/>
                <w:highlight w:val="none"/>
              </w:rPr>
              <w:t>一、采购标的及技术需求</w:t>
            </w:r>
          </w:p>
        </w:tc>
      </w:tr>
      <w:tr w14:paraId="3688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8" w:type="dxa"/>
            <w:vAlign w:val="center"/>
          </w:tcPr>
          <w:p w14:paraId="5B381579">
            <w:pPr>
              <w:jc w:val="center"/>
              <w:rPr>
                <w:rFonts w:ascii="Arial" w:hAnsi="Arial" w:eastAsia="宋体" w:cs="Arial"/>
                <w:b/>
                <w:color w:val="auto"/>
                <w:szCs w:val="21"/>
                <w:highlight w:val="none"/>
              </w:rPr>
            </w:pPr>
            <w:r>
              <w:rPr>
                <w:rFonts w:ascii="Arial" w:hAnsi="Arial" w:eastAsia="宋体" w:cs="Arial"/>
                <w:b/>
                <w:color w:val="auto"/>
                <w:szCs w:val="21"/>
                <w:highlight w:val="none"/>
              </w:rPr>
              <w:t>项号</w:t>
            </w:r>
          </w:p>
        </w:tc>
        <w:tc>
          <w:tcPr>
            <w:tcW w:w="1200" w:type="dxa"/>
            <w:vAlign w:val="center"/>
          </w:tcPr>
          <w:p w14:paraId="32564E7F">
            <w:pPr>
              <w:jc w:val="center"/>
              <w:rPr>
                <w:rFonts w:ascii="Arial" w:hAnsi="Arial" w:eastAsia="宋体" w:cs="Arial"/>
                <w:b/>
                <w:color w:val="auto"/>
                <w:szCs w:val="21"/>
                <w:highlight w:val="none"/>
              </w:rPr>
            </w:pPr>
            <w:r>
              <w:rPr>
                <w:rFonts w:ascii="Arial" w:hAnsi="Arial" w:eastAsia="宋体" w:cs="Arial"/>
                <w:b/>
                <w:color w:val="auto"/>
                <w:szCs w:val="21"/>
                <w:highlight w:val="none"/>
              </w:rPr>
              <w:t>标的名称</w:t>
            </w:r>
          </w:p>
        </w:tc>
        <w:tc>
          <w:tcPr>
            <w:tcW w:w="664" w:type="dxa"/>
            <w:gridSpan w:val="2"/>
            <w:vAlign w:val="center"/>
          </w:tcPr>
          <w:p w14:paraId="3FCFDDAD">
            <w:pPr>
              <w:jc w:val="center"/>
              <w:rPr>
                <w:rFonts w:ascii="Arial" w:hAnsi="Arial" w:eastAsia="宋体" w:cs="Arial"/>
                <w:b/>
                <w:color w:val="auto"/>
                <w:szCs w:val="21"/>
                <w:highlight w:val="none"/>
              </w:rPr>
            </w:pPr>
            <w:r>
              <w:rPr>
                <w:rFonts w:ascii="Arial" w:hAnsi="Arial" w:eastAsia="宋体" w:cs="Arial"/>
                <w:b/>
                <w:color w:val="auto"/>
                <w:szCs w:val="21"/>
                <w:highlight w:val="none"/>
              </w:rPr>
              <w:t>数量</w:t>
            </w:r>
          </w:p>
        </w:tc>
        <w:tc>
          <w:tcPr>
            <w:tcW w:w="729" w:type="dxa"/>
            <w:vAlign w:val="center"/>
          </w:tcPr>
          <w:p w14:paraId="225910EE">
            <w:pPr>
              <w:jc w:val="center"/>
              <w:rPr>
                <w:rFonts w:ascii="Arial" w:hAnsi="Arial" w:eastAsia="宋体" w:cs="Arial"/>
                <w:b/>
                <w:color w:val="auto"/>
                <w:szCs w:val="21"/>
                <w:highlight w:val="none"/>
              </w:rPr>
            </w:pPr>
            <w:r>
              <w:rPr>
                <w:rFonts w:ascii="Arial" w:hAnsi="Arial" w:eastAsia="宋体" w:cs="Arial"/>
                <w:b/>
                <w:color w:val="auto"/>
                <w:szCs w:val="21"/>
                <w:highlight w:val="none"/>
              </w:rPr>
              <w:t>计量单位</w:t>
            </w:r>
          </w:p>
        </w:tc>
        <w:tc>
          <w:tcPr>
            <w:tcW w:w="7031" w:type="dxa"/>
            <w:vAlign w:val="center"/>
          </w:tcPr>
          <w:p w14:paraId="4DB77EBA">
            <w:pPr>
              <w:adjustRightInd w:val="0"/>
              <w:snapToGrid w:val="0"/>
              <w:spacing w:line="288" w:lineRule="auto"/>
              <w:jc w:val="center"/>
              <w:rPr>
                <w:rFonts w:ascii="Arial" w:hAnsi="Arial" w:eastAsia="宋体" w:cs="Arial"/>
                <w:b/>
                <w:color w:val="auto"/>
                <w:szCs w:val="21"/>
                <w:highlight w:val="none"/>
              </w:rPr>
            </w:pPr>
            <w:r>
              <w:rPr>
                <w:rFonts w:ascii="Arial" w:hAnsi="Arial" w:eastAsia="宋体" w:cs="Arial"/>
                <w:b/>
                <w:color w:val="auto"/>
                <w:szCs w:val="21"/>
                <w:highlight w:val="none"/>
              </w:rPr>
              <w:t>项目要求及技术需求</w:t>
            </w:r>
          </w:p>
        </w:tc>
      </w:tr>
      <w:tr w14:paraId="44BA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8" w:type="dxa"/>
            <w:vAlign w:val="center"/>
          </w:tcPr>
          <w:p w14:paraId="7FEDC871">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1200" w:type="dxa"/>
            <w:vAlign w:val="center"/>
          </w:tcPr>
          <w:p w14:paraId="0714814C">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主控台</w:t>
            </w:r>
          </w:p>
        </w:tc>
        <w:tc>
          <w:tcPr>
            <w:tcW w:w="664" w:type="dxa"/>
            <w:gridSpan w:val="2"/>
            <w:vAlign w:val="center"/>
          </w:tcPr>
          <w:p w14:paraId="0FC3A77B">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729" w:type="dxa"/>
            <w:vAlign w:val="center"/>
          </w:tcPr>
          <w:p w14:paraId="67CA932A">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套</w:t>
            </w:r>
          </w:p>
        </w:tc>
        <w:tc>
          <w:tcPr>
            <w:tcW w:w="7031" w:type="dxa"/>
          </w:tcPr>
          <w:p w14:paraId="08E6EB47">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1、台面厚度≥25mm，选用防火板，采用前鸭嘴边后直边造型处理，环保基材，表面耐酸</w:t>
            </w:r>
            <w:r>
              <w:rPr>
                <w:rFonts w:hint="eastAsia" w:eastAsia="宋体"/>
                <w:color w:val="auto"/>
                <w:highlight w:val="none"/>
                <w:lang w:val="en-US" w:eastAsia="zh-CN"/>
              </w:rPr>
              <w:t>碱</w:t>
            </w:r>
            <w:r>
              <w:rPr>
                <w:rFonts w:ascii="Arial" w:hAnsi="Arial" w:eastAsia="宋体" w:cs="Arial"/>
                <w:color w:val="auto"/>
                <w:kern w:val="0"/>
                <w:szCs w:val="21"/>
                <w:highlight w:val="none"/>
                <w:lang w:bidi="ar"/>
              </w:rPr>
              <w:t>、防火防潮、耐划伤，</w:t>
            </w:r>
            <w:r>
              <w:rPr>
                <w:rFonts w:hint="eastAsia" w:ascii="Arial" w:hAnsi="Arial" w:eastAsia="宋体" w:cs="Arial"/>
                <w:color w:val="auto"/>
                <w:kern w:val="0"/>
                <w:szCs w:val="21"/>
                <w:highlight w:val="none"/>
                <w:lang w:val="en-US" w:eastAsia="zh-CN" w:bidi="ar"/>
              </w:rPr>
              <w:t>主控台尺寸（长*宽*高）：</w:t>
            </w:r>
            <w:r>
              <w:rPr>
                <w:rFonts w:ascii="Arial" w:hAnsi="Arial" w:eastAsia="宋体" w:cs="Arial"/>
                <w:color w:val="auto"/>
                <w:kern w:val="0"/>
                <w:szCs w:val="21"/>
                <w:highlight w:val="none"/>
                <w:lang w:bidi="ar"/>
              </w:rPr>
              <w:t>≥1200</w:t>
            </w:r>
            <w:r>
              <w:rPr>
                <w:rFonts w:hint="eastAsia" w:ascii="Arial" w:hAnsi="Arial" w:eastAsia="宋体" w:cs="Arial"/>
                <w:color w:val="auto"/>
                <w:kern w:val="0"/>
                <w:szCs w:val="21"/>
                <w:highlight w:val="none"/>
                <w:lang w:bidi="ar"/>
              </w:rPr>
              <w:t>*600*750mm</w:t>
            </w:r>
            <w:r>
              <w:rPr>
                <w:rFonts w:ascii="Arial" w:hAnsi="Arial" w:eastAsia="宋体" w:cs="Arial"/>
                <w:color w:val="auto"/>
                <w:kern w:val="0"/>
                <w:szCs w:val="21"/>
                <w:highlight w:val="none"/>
                <w:lang w:bidi="ar"/>
              </w:rPr>
              <w:t>；</w:t>
            </w:r>
          </w:p>
          <w:p w14:paraId="758B316C">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2、平台采用工形腿带星孔的造型；</w:t>
            </w:r>
          </w:p>
          <w:p w14:paraId="21664B09">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3、前挡板和门板冲长条孔，具备散热功能，前挡板带椭圆形孔；</w:t>
            </w:r>
          </w:p>
          <w:p w14:paraId="17FDC8CF">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4、装配万向轮，方便移动；</w:t>
            </w:r>
          </w:p>
          <w:p w14:paraId="63C3CE58">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5、放置物可隐藏，放在后背板和前挡板中间，底板开走线孔；</w:t>
            </w:r>
          </w:p>
          <w:p w14:paraId="3DF62270">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6、翻转器</w:t>
            </w:r>
            <w:r>
              <w:rPr>
                <w:rFonts w:hint="eastAsia" w:ascii="Arial" w:hAnsi="Arial" w:eastAsia="宋体" w:cs="Arial"/>
                <w:color w:val="auto"/>
                <w:kern w:val="0"/>
                <w:szCs w:val="21"/>
                <w:highlight w:val="none"/>
                <w:lang w:val="en-US" w:eastAsia="zh-CN" w:bidi="ar"/>
              </w:rPr>
              <w:t>尺寸（长*宽*高）</w:t>
            </w:r>
            <w:r>
              <w:rPr>
                <w:rFonts w:ascii="Arial" w:hAnsi="Arial" w:eastAsia="宋体" w:cs="Arial"/>
                <w:color w:val="auto"/>
                <w:kern w:val="0"/>
                <w:szCs w:val="21"/>
                <w:highlight w:val="none"/>
                <w:lang w:bidi="ar"/>
              </w:rPr>
              <w:t>：≥660*490*170mm</w:t>
            </w:r>
          </w:p>
          <w:p w14:paraId="203CC364">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7、整体为镀锌板，钢板厚度≥1.2毫米，表面经酸洗、磷化防腐防锈处理后静电喷塑。选用气压杆支撑，五金锁具，独立结构。钥匙和拉手左右齐平；</w:t>
            </w:r>
          </w:p>
          <w:p w14:paraId="6E3F275C">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8、采用人体工程学原理设计，产品能隐藏和翻转放置物；</w:t>
            </w:r>
          </w:p>
          <w:p w14:paraId="029881C5">
            <w:pPr>
              <w:jc w:val="left"/>
              <w:rPr>
                <w:rFonts w:ascii="Arial" w:hAnsi="Arial" w:eastAsia="宋体" w:cs="Arial"/>
                <w:color w:val="auto"/>
                <w:szCs w:val="21"/>
                <w:highlight w:val="none"/>
              </w:rPr>
            </w:pPr>
            <w:r>
              <w:rPr>
                <w:rFonts w:ascii="Arial" w:hAnsi="Arial" w:eastAsia="宋体" w:cs="Arial"/>
                <w:color w:val="auto"/>
                <w:kern w:val="0"/>
                <w:szCs w:val="21"/>
                <w:highlight w:val="none"/>
                <w:lang w:bidi="ar"/>
              </w:rPr>
              <w:t>9、配有减速减震阻尼装置，减小噪音，提高安全性。</w:t>
            </w:r>
          </w:p>
        </w:tc>
      </w:tr>
      <w:tr w14:paraId="31DE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8" w:type="dxa"/>
            <w:vAlign w:val="center"/>
          </w:tcPr>
          <w:p w14:paraId="6E59BC10">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2</w:t>
            </w:r>
          </w:p>
        </w:tc>
        <w:tc>
          <w:tcPr>
            <w:tcW w:w="1200" w:type="dxa"/>
            <w:vAlign w:val="center"/>
          </w:tcPr>
          <w:p w14:paraId="15FFD406">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多功能平台</w:t>
            </w:r>
          </w:p>
        </w:tc>
        <w:tc>
          <w:tcPr>
            <w:tcW w:w="664" w:type="dxa"/>
            <w:gridSpan w:val="2"/>
            <w:vAlign w:val="center"/>
          </w:tcPr>
          <w:p w14:paraId="74CEB346">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60</w:t>
            </w:r>
          </w:p>
        </w:tc>
        <w:tc>
          <w:tcPr>
            <w:tcW w:w="729" w:type="dxa"/>
            <w:vAlign w:val="center"/>
          </w:tcPr>
          <w:p w14:paraId="29D881B3">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套</w:t>
            </w:r>
          </w:p>
        </w:tc>
        <w:tc>
          <w:tcPr>
            <w:tcW w:w="7031" w:type="dxa"/>
          </w:tcPr>
          <w:p w14:paraId="3AF6BC07">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1、台面厚度≥25mm，选用防火板，采用前鸭嘴边后直边造型处理，环保基材，表面耐酸</w:t>
            </w:r>
            <w:r>
              <w:rPr>
                <w:rFonts w:hint="eastAsia" w:ascii="Arial" w:hAnsi="Arial" w:eastAsia="宋体" w:cs="Arial"/>
                <w:color w:val="auto"/>
                <w:kern w:val="0"/>
                <w:szCs w:val="21"/>
                <w:highlight w:val="none"/>
                <w:lang w:val="en-US" w:eastAsia="zh-CN" w:bidi="ar"/>
              </w:rPr>
              <w:t>碱</w:t>
            </w:r>
            <w:r>
              <w:rPr>
                <w:rFonts w:ascii="Arial" w:hAnsi="Arial" w:eastAsia="宋体" w:cs="Arial"/>
                <w:color w:val="auto"/>
                <w:kern w:val="0"/>
                <w:szCs w:val="21"/>
                <w:highlight w:val="none"/>
                <w:lang w:bidi="ar"/>
              </w:rPr>
              <w:t>、防火防潮、耐划伤；</w:t>
            </w:r>
            <w:r>
              <w:rPr>
                <w:rFonts w:hint="eastAsia" w:ascii="Arial" w:hAnsi="Arial" w:eastAsia="宋体" w:cs="Arial"/>
                <w:color w:val="auto"/>
                <w:kern w:val="0"/>
                <w:szCs w:val="21"/>
                <w:highlight w:val="none"/>
                <w:lang w:val="en-US" w:eastAsia="zh-CN" w:bidi="ar"/>
              </w:rPr>
              <w:t>多功能平台尺寸（长*宽*高）：</w:t>
            </w:r>
            <w:r>
              <w:rPr>
                <w:rFonts w:ascii="Arial" w:hAnsi="Arial" w:eastAsia="宋体" w:cs="Arial"/>
                <w:color w:val="auto"/>
                <w:kern w:val="0"/>
                <w:szCs w:val="21"/>
                <w:highlight w:val="none"/>
                <w:lang w:bidi="ar"/>
              </w:rPr>
              <w:t>≥</w:t>
            </w:r>
            <w:r>
              <w:rPr>
                <w:rFonts w:hint="eastAsia" w:ascii="Arial" w:hAnsi="Arial" w:eastAsia="宋体" w:cs="Arial"/>
                <w:color w:val="auto"/>
                <w:kern w:val="0"/>
                <w:szCs w:val="21"/>
                <w:highlight w:val="none"/>
                <w:lang w:val="en-US" w:eastAsia="zh-CN" w:bidi="ar"/>
              </w:rPr>
              <w:t>8</w:t>
            </w:r>
            <w:r>
              <w:rPr>
                <w:rFonts w:ascii="Arial" w:hAnsi="Arial" w:eastAsia="宋体" w:cs="Arial"/>
                <w:color w:val="auto"/>
                <w:kern w:val="0"/>
                <w:szCs w:val="21"/>
                <w:highlight w:val="none"/>
                <w:lang w:bidi="ar"/>
              </w:rPr>
              <w:t>00</w:t>
            </w:r>
            <w:r>
              <w:rPr>
                <w:rFonts w:hint="eastAsia" w:ascii="Arial" w:hAnsi="Arial" w:eastAsia="宋体" w:cs="Arial"/>
                <w:color w:val="auto"/>
                <w:kern w:val="0"/>
                <w:szCs w:val="21"/>
                <w:highlight w:val="none"/>
                <w:lang w:bidi="ar"/>
              </w:rPr>
              <w:t>*600*750mm</w:t>
            </w:r>
            <w:r>
              <w:rPr>
                <w:rFonts w:ascii="Arial" w:hAnsi="Arial" w:eastAsia="宋体" w:cs="Arial"/>
                <w:color w:val="auto"/>
                <w:kern w:val="0"/>
                <w:szCs w:val="21"/>
                <w:highlight w:val="none"/>
                <w:lang w:bidi="ar"/>
              </w:rPr>
              <w:t>；</w:t>
            </w:r>
            <w:r>
              <w:rPr>
                <w:rFonts w:ascii="Arial" w:hAnsi="Arial" w:eastAsia="宋体" w:cs="Arial"/>
                <w:color w:val="auto"/>
                <w:kern w:val="0"/>
                <w:szCs w:val="21"/>
                <w:highlight w:val="none"/>
                <w:lang w:bidi="ar"/>
              </w:rPr>
              <w:t xml:space="preserve"> </w:t>
            </w:r>
          </w:p>
          <w:p w14:paraId="552AD2CF">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2、平台采用工形腿带星孔的造型；</w:t>
            </w:r>
          </w:p>
          <w:p w14:paraId="79DF2657">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3、前挡板和门板冲长条孔，具备散热功能，前挡板带椭圆形孔；</w:t>
            </w:r>
          </w:p>
          <w:p w14:paraId="610CE03C">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4、装配尼龙可调脚</w:t>
            </w:r>
            <w:r>
              <w:rPr>
                <w:rFonts w:hint="eastAsia" w:ascii="Arial" w:hAnsi="Arial" w:eastAsia="宋体" w:cs="Arial"/>
                <w:color w:val="auto"/>
                <w:kern w:val="0"/>
                <w:szCs w:val="21"/>
                <w:highlight w:val="none"/>
                <w:lang w:bidi="ar"/>
              </w:rPr>
              <w:t>，</w:t>
            </w:r>
            <w:r>
              <w:rPr>
                <w:rFonts w:ascii="Arial" w:hAnsi="Arial" w:eastAsia="宋体" w:cs="Arial"/>
                <w:color w:val="auto"/>
                <w:kern w:val="0"/>
                <w:szCs w:val="21"/>
                <w:highlight w:val="none"/>
                <w:lang w:bidi="ar"/>
              </w:rPr>
              <w:t>高度可调节，耐用防滑；</w:t>
            </w:r>
          </w:p>
          <w:p w14:paraId="32CB1655">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5、放置物可隐藏，放在后背板和前挡板中间，底板开走线孔；</w:t>
            </w:r>
          </w:p>
          <w:p w14:paraId="4ED4D9AD">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6、翻转器</w:t>
            </w:r>
            <w:r>
              <w:rPr>
                <w:rFonts w:hint="eastAsia" w:ascii="Arial" w:hAnsi="Arial" w:eastAsia="宋体" w:cs="Arial"/>
                <w:color w:val="auto"/>
                <w:kern w:val="0"/>
                <w:szCs w:val="21"/>
                <w:highlight w:val="none"/>
                <w:lang w:val="en-US" w:eastAsia="zh-CN" w:bidi="ar"/>
              </w:rPr>
              <w:t>尺寸（长*宽*高）</w:t>
            </w:r>
            <w:r>
              <w:rPr>
                <w:rFonts w:ascii="Arial" w:hAnsi="Arial" w:eastAsia="宋体" w:cs="Arial"/>
                <w:color w:val="auto"/>
                <w:kern w:val="0"/>
                <w:szCs w:val="21"/>
                <w:highlight w:val="none"/>
                <w:lang w:bidi="ar"/>
              </w:rPr>
              <w:t>：≥660*490*170mm</w:t>
            </w:r>
          </w:p>
          <w:p w14:paraId="287ACDE8">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7、整体为镀锌板，钢板厚度≥1.2毫米，表面经酸洗、磷化防腐防锈处理后静电喷塑。选用气压杆支撑，五金锁具，独立结构。钥匙和拉手左右齐平；</w:t>
            </w:r>
          </w:p>
          <w:p w14:paraId="573989AE">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8、采用人体工程学原理设计，产品能隐藏和翻转放置物；</w:t>
            </w:r>
          </w:p>
          <w:p w14:paraId="7E8FC52D">
            <w:pPr>
              <w:jc w:val="left"/>
              <w:rPr>
                <w:rFonts w:ascii="Arial" w:hAnsi="Arial" w:eastAsia="宋体" w:cs="Arial"/>
                <w:color w:val="auto"/>
                <w:szCs w:val="21"/>
                <w:highlight w:val="none"/>
              </w:rPr>
            </w:pPr>
            <w:r>
              <w:rPr>
                <w:rFonts w:ascii="Arial" w:hAnsi="Arial" w:eastAsia="宋体" w:cs="Arial"/>
                <w:color w:val="auto"/>
                <w:kern w:val="0"/>
                <w:szCs w:val="21"/>
                <w:highlight w:val="none"/>
                <w:lang w:bidi="ar"/>
              </w:rPr>
              <w:t>9、配有减速减震阻尼装置，减小噪音，提高安全性。</w:t>
            </w:r>
          </w:p>
        </w:tc>
      </w:tr>
      <w:tr w14:paraId="74BE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8" w:type="dxa"/>
            <w:vAlign w:val="center"/>
          </w:tcPr>
          <w:p w14:paraId="0A83CF9C">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3</w:t>
            </w:r>
          </w:p>
        </w:tc>
        <w:tc>
          <w:tcPr>
            <w:tcW w:w="1200" w:type="dxa"/>
            <w:vAlign w:val="center"/>
          </w:tcPr>
          <w:p w14:paraId="37349102">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云终端系统平台</w:t>
            </w:r>
          </w:p>
        </w:tc>
        <w:tc>
          <w:tcPr>
            <w:tcW w:w="664" w:type="dxa"/>
            <w:gridSpan w:val="2"/>
            <w:vAlign w:val="center"/>
          </w:tcPr>
          <w:p w14:paraId="4A5516B6">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729" w:type="dxa"/>
            <w:vAlign w:val="center"/>
          </w:tcPr>
          <w:p w14:paraId="2CF2B77E">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套</w:t>
            </w:r>
          </w:p>
        </w:tc>
        <w:tc>
          <w:tcPr>
            <w:tcW w:w="7031" w:type="dxa"/>
          </w:tcPr>
          <w:p w14:paraId="01F896A2">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一、硬件要求：</w:t>
            </w:r>
          </w:p>
          <w:p w14:paraId="76C74D71">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1、处理器：英特尔酷睿 i7-12700 3.0G主频12核处理器或以上；</w:t>
            </w:r>
          </w:p>
          <w:p w14:paraId="018854DA">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2、主板：Intel Q670系列或以上芯片组，集成千兆网卡，支持2500M网卡扩展，主板具备USB屏蔽技术，仅识别USB键盘、鼠标，无法识别USB读取设备，有效防止数据泄露功能；</w:t>
            </w:r>
          </w:p>
          <w:p w14:paraId="71EC8D36">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3、内存：≥16G DDR4，提供≥4个内存槽位；</w:t>
            </w:r>
          </w:p>
          <w:p w14:paraId="603848E4">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4、显卡：配置性能等同或优于1050Ti-4G显卡；</w:t>
            </w:r>
          </w:p>
          <w:p w14:paraId="5ABE0CE1">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5、声卡：集成声卡（前置双接口，包含一个耳麦二合一接口）；</w:t>
            </w:r>
          </w:p>
          <w:p w14:paraId="038BC438">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6、硬盘：≥512G SSD M.2 2280固态硬盘；</w:t>
            </w:r>
          </w:p>
          <w:p w14:paraId="7ABB1394">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7、网卡：集成千兆网卡；</w:t>
            </w:r>
          </w:p>
          <w:p w14:paraId="7B18A49C">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 xml:space="preserve">8、扩展槽:配置1个PCI-E*16、2个PCI-E*4槽位； </w:t>
            </w:r>
          </w:p>
          <w:p w14:paraId="7B869702">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9、显示器</w:t>
            </w:r>
            <w:r>
              <w:rPr>
                <w:rFonts w:hint="eastAsia" w:ascii="Arial" w:hAnsi="Arial" w:eastAsia="宋体" w:cs="Arial"/>
                <w:color w:val="auto"/>
                <w:kern w:val="0"/>
                <w:szCs w:val="21"/>
                <w:highlight w:val="none"/>
                <w:lang w:bidi="ar"/>
              </w:rPr>
              <w:t>：</w:t>
            </w:r>
            <w:r>
              <w:rPr>
                <w:rFonts w:ascii="Arial" w:hAnsi="Arial" w:eastAsia="宋体" w:cs="Arial"/>
                <w:color w:val="auto"/>
                <w:kern w:val="0"/>
                <w:szCs w:val="21"/>
                <w:highlight w:val="none"/>
                <w:lang w:bidi="ar"/>
              </w:rPr>
              <w:t>≥23.8寸显示器，双视频接口</w:t>
            </w:r>
          </w:p>
          <w:p w14:paraId="5FD24403">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10、键盘、鼠标：防水抗菌键盘、抗菌鼠标；</w:t>
            </w:r>
          </w:p>
          <w:p w14:paraId="0D51283F">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11、接口：配置≥8个USB接口(其中至少2个USB 3.2 G2接口 )、≥3个视频输出接口，提供前2后3共5个音频接口；</w:t>
            </w:r>
          </w:p>
          <w:p w14:paraId="62A6D49E">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12、机箱：标准≤14L立式机箱顶置提手设计及顶置开关电源键设计，顶置提手可接受</w:t>
            </w:r>
            <w:r>
              <w:rPr>
                <w:rFonts w:hint="eastAsia" w:ascii="Arial" w:hAnsi="Arial" w:eastAsia="宋体" w:cs="Arial"/>
                <w:color w:val="auto"/>
                <w:kern w:val="0"/>
                <w:szCs w:val="21"/>
                <w:highlight w:val="none"/>
                <w:lang w:val="en-US" w:eastAsia="zh-CN" w:bidi="ar"/>
              </w:rPr>
              <w:t>不低于</w:t>
            </w:r>
            <w:r>
              <w:rPr>
                <w:rFonts w:ascii="Arial" w:hAnsi="Arial" w:eastAsia="宋体" w:cs="Arial"/>
                <w:color w:val="auto"/>
                <w:kern w:val="0"/>
                <w:szCs w:val="21"/>
                <w:highlight w:val="none"/>
                <w:lang w:bidi="ar"/>
              </w:rPr>
              <w:t>三倍重力提拉不易断裂，机箱拐角采用打磨倒圆工艺，不易刮伤，</w:t>
            </w:r>
            <w:r>
              <w:rPr>
                <w:rFonts w:ascii="Arial" w:hAnsi="Arial" w:eastAsia="宋体" w:cs="Arial"/>
                <w:color w:val="auto"/>
                <w:kern w:val="0"/>
                <w:szCs w:val="21"/>
                <w:highlight w:val="none"/>
                <w:lang w:bidi="ar"/>
              </w:rPr>
              <w:t>供货时需提供性能检测报告或相关证明文件</w:t>
            </w:r>
            <w:r>
              <w:rPr>
                <w:rFonts w:ascii="Arial" w:hAnsi="Arial" w:eastAsia="宋体" w:cs="Arial"/>
                <w:color w:val="auto"/>
                <w:kern w:val="0"/>
                <w:szCs w:val="21"/>
                <w:highlight w:val="none"/>
                <w:lang w:bidi="ar"/>
              </w:rPr>
              <w:t>；</w:t>
            </w:r>
          </w:p>
          <w:p w14:paraId="371A790F">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13、电源：260W节能电源或以上，电源可在</w:t>
            </w:r>
            <w:r>
              <w:rPr>
                <w:rFonts w:hint="eastAsia" w:ascii="Arial" w:hAnsi="Arial" w:eastAsia="宋体" w:cs="Arial"/>
                <w:color w:val="auto"/>
                <w:kern w:val="0"/>
                <w:szCs w:val="21"/>
                <w:highlight w:val="none"/>
                <w:lang w:bidi="ar"/>
              </w:rPr>
              <w:t>90V-265V</w:t>
            </w:r>
            <w:r>
              <w:rPr>
                <w:rFonts w:ascii="Arial" w:hAnsi="Arial" w:eastAsia="宋体" w:cs="Arial"/>
                <w:color w:val="auto"/>
                <w:kern w:val="0"/>
                <w:szCs w:val="21"/>
                <w:highlight w:val="none"/>
                <w:lang w:bidi="ar"/>
              </w:rPr>
              <w:t>范围内工作，数据接口电压输出4.75V-5.25Vdc,电流范围500mA-1500mA，</w:t>
            </w:r>
            <w:r>
              <w:rPr>
                <w:rFonts w:ascii="Arial" w:hAnsi="Arial" w:eastAsia="宋体" w:cs="Arial"/>
                <w:color w:val="auto"/>
                <w:kern w:val="0"/>
                <w:szCs w:val="21"/>
                <w:highlight w:val="none"/>
                <w:lang w:bidi="ar"/>
              </w:rPr>
              <w:t>供货时需提供性能检测报告或相关证明文件</w:t>
            </w:r>
            <w:r>
              <w:rPr>
                <w:rFonts w:ascii="Arial" w:hAnsi="Arial" w:eastAsia="宋体" w:cs="Arial"/>
                <w:color w:val="auto"/>
                <w:kern w:val="0"/>
                <w:szCs w:val="21"/>
                <w:highlight w:val="none"/>
                <w:lang w:bidi="ar"/>
              </w:rPr>
              <w:t>；</w:t>
            </w:r>
          </w:p>
          <w:p w14:paraId="39F3EFFB">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14、系统：预装windows正版操作系统；</w:t>
            </w:r>
          </w:p>
          <w:p w14:paraId="376AD4BE">
            <w:pPr>
              <w:jc w:val="left"/>
              <w:rPr>
                <w:rFonts w:ascii="Arial" w:hAnsi="Arial" w:eastAsia="宋体" w:cs="Arial"/>
                <w:color w:val="auto"/>
                <w:szCs w:val="21"/>
                <w:highlight w:val="none"/>
              </w:rPr>
            </w:pPr>
            <w:r>
              <w:rPr>
                <w:rFonts w:ascii="Arial" w:hAnsi="Arial" w:eastAsia="宋体" w:cs="Arial"/>
                <w:color w:val="auto"/>
                <w:kern w:val="0"/>
                <w:szCs w:val="21"/>
                <w:highlight w:val="none"/>
                <w:lang w:bidi="ar"/>
              </w:rPr>
              <w:t>15、</w:t>
            </w:r>
            <w:r>
              <w:rPr>
                <w:rFonts w:ascii="Arial" w:hAnsi="Arial" w:eastAsia="宋体" w:cs="Arial"/>
                <w:color w:val="auto"/>
                <w:szCs w:val="21"/>
                <w:highlight w:val="none"/>
              </w:rPr>
              <w:t>云终端系统平台节点数：≥30+1</w:t>
            </w:r>
          </w:p>
          <w:p w14:paraId="6C657A95">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二、管理平台软件：</w:t>
            </w:r>
          </w:p>
          <w:p w14:paraId="530901A2">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1、支持管理平台同时具有导航管理界面和专业管理界面，随意切换，导航管理界面提供常用操作功能，点击根据导航指导步骤完成操作，特殊位置有手册说明，减少管理老师的误操作的几率，提高管理效率。（</w:t>
            </w:r>
            <w:r>
              <w:rPr>
                <w:rFonts w:hint="eastAsia" w:ascii="Arial" w:hAnsi="Arial" w:eastAsia="宋体" w:cs="Arial"/>
                <w:b/>
                <w:bCs/>
                <w:color w:val="auto"/>
                <w:highlight w:val="none"/>
              </w:rPr>
              <w:t>供应商在响应文件中提供功能截图证明文件并加盖供应商公章</w:t>
            </w:r>
            <w:r>
              <w:rPr>
                <w:rFonts w:ascii="Arial" w:hAnsi="Arial" w:eastAsia="宋体" w:cs="Arial"/>
                <w:color w:val="auto"/>
                <w:kern w:val="0"/>
                <w:szCs w:val="21"/>
                <w:highlight w:val="none"/>
                <w:lang w:bidi="ar"/>
              </w:rPr>
              <w:t>）；</w:t>
            </w:r>
          </w:p>
          <w:p w14:paraId="4E22E1EE">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2、支持Legacy与UEFI两种方式启动系统，支持管理双网卡、双硬盘，支持NVME，M.2新型高速固态硬盘，同时兼容新老机型部署；</w:t>
            </w:r>
          </w:p>
          <w:p w14:paraId="5F64331D">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3、支持批量管理设置终端机计算机名、IP地址、分辨率、时间同步等配置信息。针对不同的群组指定不同的安全管控策略；</w:t>
            </w:r>
          </w:p>
          <w:p w14:paraId="6E8C6EA6">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4、支持超级镜像功能，可通过一个标准镜像可以支持多种不同硬件配置，可覆盖不同品牌、跨越不同代的CPU。（</w:t>
            </w:r>
            <w:r>
              <w:rPr>
                <w:rFonts w:hint="eastAsia" w:ascii="Arial" w:hAnsi="Arial" w:eastAsia="宋体" w:cs="Arial"/>
                <w:b/>
                <w:bCs/>
                <w:color w:val="auto"/>
                <w:highlight w:val="none"/>
              </w:rPr>
              <w:t>供应商在响应文件中提供功能截图证明文件并加盖供应商公章</w:t>
            </w:r>
            <w:r>
              <w:rPr>
                <w:rFonts w:ascii="Arial" w:hAnsi="Arial" w:eastAsia="宋体" w:cs="Arial"/>
                <w:color w:val="auto"/>
                <w:kern w:val="0"/>
                <w:szCs w:val="21"/>
                <w:highlight w:val="none"/>
                <w:lang w:bidi="ar"/>
              </w:rPr>
              <w:t>）；</w:t>
            </w:r>
          </w:p>
          <w:p w14:paraId="13D56058">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5、管理分组及桌面分配：支持将客户端进行分组的方式管理，支持断点续传。（</w:t>
            </w:r>
            <w:r>
              <w:rPr>
                <w:rFonts w:hint="eastAsia" w:ascii="Arial" w:hAnsi="Arial" w:eastAsia="宋体" w:cs="Arial"/>
                <w:b/>
                <w:bCs/>
                <w:color w:val="auto"/>
                <w:highlight w:val="none"/>
              </w:rPr>
              <w:t>供应商在响应文件中提供功能截图证明文件并加盖供应商公章</w:t>
            </w:r>
            <w:r>
              <w:rPr>
                <w:rFonts w:ascii="Arial" w:hAnsi="Arial" w:eastAsia="宋体" w:cs="Arial"/>
                <w:color w:val="auto"/>
                <w:kern w:val="0"/>
                <w:szCs w:val="21"/>
                <w:highlight w:val="none"/>
                <w:lang w:bidi="ar"/>
              </w:rPr>
              <w:t>）；</w:t>
            </w:r>
          </w:p>
          <w:p w14:paraId="16465358">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6、支持同传网络探测（</w:t>
            </w:r>
            <w:r>
              <w:rPr>
                <w:rFonts w:hint="eastAsia" w:ascii="Arial" w:hAnsi="Arial" w:eastAsia="宋体" w:cs="Arial"/>
                <w:b/>
                <w:bCs/>
                <w:color w:val="auto"/>
                <w:highlight w:val="none"/>
              </w:rPr>
              <w:t>供应商在响应文件中提供功能截图证明文件并加盖供应商公章</w:t>
            </w:r>
            <w:r>
              <w:rPr>
                <w:rFonts w:ascii="Arial" w:hAnsi="Arial" w:eastAsia="宋体" w:cs="Arial"/>
                <w:color w:val="auto"/>
                <w:kern w:val="0"/>
                <w:szCs w:val="21"/>
                <w:highlight w:val="none"/>
                <w:lang w:bidi="ar"/>
              </w:rPr>
              <w:t>）；</w:t>
            </w:r>
          </w:p>
          <w:p w14:paraId="76B6DE27">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7、支持复杂网络环境、跨校区跨互联网部署。IP可达即可部署，支持WIFI/4G网络的更新桌面。满足学校使用WIFI的使用场景，简化网络结构；</w:t>
            </w:r>
          </w:p>
          <w:p w14:paraId="53B262FA">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8、多环境教学组合</w:t>
            </w:r>
            <w:r>
              <w:rPr>
                <w:rFonts w:hint="eastAsia" w:ascii="Arial" w:hAnsi="Arial" w:eastAsia="宋体" w:cs="Arial"/>
                <w:color w:val="auto"/>
                <w:kern w:val="0"/>
                <w:szCs w:val="21"/>
                <w:highlight w:val="none"/>
                <w:lang w:bidi="ar"/>
              </w:rPr>
              <w:t>：</w:t>
            </w:r>
            <w:r>
              <w:rPr>
                <w:rFonts w:ascii="Arial" w:hAnsi="Arial" w:eastAsia="宋体" w:cs="Arial"/>
                <w:color w:val="auto"/>
                <w:kern w:val="0"/>
                <w:szCs w:val="21"/>
                <w:highlight w:val="none"/>
                <w:lang w:bidi="ar"/>
              </w:rPr>
              <w:t>自定义多个教学系统环境的复原组合，独立设置某一系统盘数据盘的还原、写入模式，支持对操作系统进行复原后，计算机名、IP地址、域</w:t>
            </w:r>
            <w:r>
              <w:rPr>
                <w:rFonts w:hint="eastAsia" w:ascii="Arial" w:hAnsi="Arial" w:eastAsia="宋体" w:cs="Arial"/>
                <w:color w:val="auto"/>
                <w:kern w:val="0"/>
                <w:szCs w:val="21"/>
                <w:highlight w:val="none"/>
                <w:lang w:bidi="ar"/>
              </w:rPr>
              <w:t>采购人</w:t>
            </w:r>
            <w:r>
              <w:rPr>
                <w:rFonts w:ascii="Arial" w:hAnsi="Arial" w:eastAsia="宋体" w:cs="Arial"/>
                <w:color w:val="auto"/>
                <w:kern w:val="0"/>
                <w:szCs w:val="21"/>
                <w:highlight w:val="none"/>
                <w:lang w:bidi="ar"/>
              </w:rPr>
              <w:t>等信息保存功能；</w:t>
            </w:r>
          </w:p>
          <w:p w14:paraId="15842BEA">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9、支持管理老师做好模板进行系统同传完成后的自动实现关机、重启等操作，减少管理老师的操作步骤；</w:t>
            </w:r>
          </w:p>
          <w:p w14:paraId="571DB1CD">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10、支持从服务器端发起对客户端进行远程开机、关机、发送通知消息，发送远程命令，在提供授权情况下，支持管理员远程桌面协助排错功能；</w:t>
            </w:r>
          </w:p>
          <w:p w14:paraId="7FF2F1C5">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11、硬件资产管理：收集平台中所有终端硬件配置信息，包括名称、主板型号、CPU型号、内存容量、最近运行时间、合计运行时间、硬件变更和记录信息等（</w:t>
            </w:r>
            <w:r>
              <w:rPr>
                <w:rFonts w:hint="eastAsia" w:ascii="Arial" w:hAnsi="Arial" w:eastAsia="宋体" w:cs="Arial"/>
                <w:b/>
                <w:bCs/>
                <w:color w:val="auto"/>
                <w:highlight w:val="none"/>
              </w:rPr>
              <w:t>供应商在响应文件中提供功能截图证明文件并加盖供应商公章</w:t>
            </w:r>
            <w:r>
              <w:rPr>
                <w:rFonts w:ascii="Arial" w:hAnsi="Arial" w:eastAsia="宋体" w:cs="Arial"/>
                <w:color w:val="auto"/>
                <w:kern w:val="0"/>
                <w:szCs w:val="21"/>
                <w:highlight w:val="none"/>
                <w:lang w:bidi="ar"/>
              </w:rPr>
              <w:t>）；</w:t>
            </w:r>
          </w:p>
          <w:p w14:paraId="619D8B01">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12、硬件状态：收集平台中所有运行状态信息，至少包括名称、CPU温度、主板温度、CPU风扇转速、开机时间、硬盘信息等。（</w:t>
            </w:r>
            <w:r>
              <w:rPr>
                <w:rFonts w:hint="eastAsia" w:ascii="Arial" w:hAnsi="Arial" w:eastAsia="宋体" w:cs="Arial"/>
                <w:b/>
                <w:bCs/>
                <w:color w:val="auto"/>
                <w:highlight w:val="none"/>
              </w:rPr>
              <w:t>供应商在响应文件中提供功能截图证明文件并加盖供应商公章</w:t>
            </w:r>
            <w:r>
              <w:rPr>
                <w:rFonts w:ascii="Arial" w:hAnsi="Arial" w:eastAsia="宋体" w:cs="Arial"/>
                <w:color w:val="auto"/>
                <w:kern w:val="0"/>
                <w:szCs w:val="21"/>
                <w:highlight w:val="none"/>
                <w:lang w:bidi="ar"/>
              </w:rPr>
              <w:t>）；</w:t>
            </w:r>
          </w:p>
          <w:p w14:paraId="2D763D0B">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13、软件资产管理，支持收集软件列表，软件安装时间，使用时长并计算使用率；</w:t>
            </w:r>
          </w:p>
          <w:p w14:paraId="774FFD7E">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14、集群及负载均衡</w:t>
            </w:r>
            <w:r>
              <w:rPr>
                <w:rFonts w:hint="eastAsia" w:ascii="Arial" w:hAnsi="Arial" w:eastAsia="宋体" w:cs="Arial"/>
                <w:color w:val="auto"/>
                <w:kern w:val="0"/>
                <w:szCs w:val="21"/>
                <w:highlight w:val="none"/>
                <w:lang w:bidi="ar"/>
              </w:rPr>
              <w:t>：</w:t>
            </w:r>
            <w:r>
              <w:rPr>
                <w:rFonts w:ascii="Arial" w:hAnsi="Arial" w:eastAsia="宋体" w:cs="Arial"/>
                <w:color w:val="auto"/>
                <w:kern w:val="0"/>
                <w:szCs w:val="21"/>
                <w:highlight w:val="none"/>
                <w:lang w:bidi="ar"/>
              </w:rPr>
              <w:t>系统支持服务器集群及高性能负载均衡功能，可配置多I/O服务器多通道同时协同工作,将客户端独立分配至服务器集群的某一I/O服务器中某一网卡通道下进行流量及压力分解；</w:t>
            </w:r>
          </w:p>
          <w:p w14:paraId="1539F8F3">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15、平台可以进行计划任务设置，可以设置固定时间、每天、每周、每月进行定时执行各种任务类型，包括开机、关机、切换模板、还原数据盘。（</w:t>
            </w:r>
            <w:r>
              <w:rPr>
                <w:rFonts w:hint="eastAsia" w:ascii="Arial" w:hAnsi="Arial" w:eastAsia="宋体" w:cs="Arial"/>
                <w:b/>
                <w:bCs/>
                <w:color w:val="auto"/>
                <w:highlight w:val="none"/>
              </w:rPr>
              <w:t>供应商在响应文件中提供功能截图证明文件并加盖供应商公章</w:t>
            </w:r>
            <w:r>
              <w:rPr>
                <w:rFonts w:ascii="Arial" w:hAnsi="Arial" w:eastAsia="宋体" w:cs="Arial"/>
                <w:color w:val="auto"/>
                <w:kern w:val="0"/>
                <w:szCs w:val="21"/>
                <w:highlight w:val="none"/>
                <w:lang w:bidi="ar"/>
              </w:rPr>
              <w:t>）；</w:t>
            </w:r>
          </w:p>
          <w:p w14:paraId="7744EDF4">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16、具有平台运维驾驶舱展示平台，重点展示管理服务器的基本信息、设备详情、资产信息、开关机对比、日志信息、运行计划、系统软件图形统计、系统使用情况等。（</w:t>
            </w:r>
            <w:r>
              <w:rPr>
                <w:rFonts w:hint="eastAsia" w:ascii="Arial" w:hAnsi="Arial" w:eastAsia="宋体" w:cs="Arial"/>
                <w:b/>
                <w:bCs/>
                <w:color w:val="auto"/>
                <w:highlight w:val="none"/>
              </w:rPr>
              <w:t>供应商在响应文件中提供功能截图证明文件并加盖供应商公章</w:t>
            </w:r>
            <w:r>
              <w:rPr>
                <w:rFonts w:ascii="Arial" w:hAnsi="Arial" w:eastAsia="宋体" w:cs="Arial"/>
                <w:color w:val="auto"/>
                <w:kern w:val="0"/>
                <w:szCs w:val="21"/>
                <w:highlight w:val="none"/>
                <w:lang w:bidi="ar"/>
              </w:rPr>
              <w:t>）；</w:t>
            </w:r>
          </w:p>
          <w:p w14:paraId="22CCFBCC">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17、为了避免终端保修过期问题，支持保修已经过期和保修即将过期提醒服务；</w:t>
            </w:r>
          </w:p>
          <w:p w14:paraId="2FC1692D">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18、管理平台支持服务器使用的网络端口检测功能，及时发现哪些端口被占用，通过端口占用情况来快速判断问题和解决问题。（</w:t>
            </w:r>
            <w:r>
              <w:rPr>
                <w:rFonts w:hint="eastAsia" w:ascii="Arial" w:hAnsi="Arial" w:eastAsia="宋体" w:cs="Arial"/>
                <w:b/>
                <w:bCs/>
                <w:color w:val="auto"/>
                <w:highlight w:val="none"/>
              </w:rPr>
              <w:t>供应商在响应文件中提供功能截图证明文件并加盖供应商公章</w:t>
            </w:r>
            <w:r>
              <w:rPr>
                <w:rFonts w:ascii="Arial" w:hAnsi="Arial" w:eastAsia="宋体" w:cs="Arial"/>
                <w:color w:val="auto"/>
                <w:kern w:val="0"/>
                <w:szCs w:val="21"/>
                <w:highlight w:val="none"/>
                <w:lang w:bidi="ar"/>
              </w:rPr>
              <w:t>）</w:t>
            </w:r>
          </w:p>
          <w:p w14:paraId="34600810">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19、支持课表管理，新建课表，按照设定的上下课时间进行开机、关机和切换桌面模版操作，可以把课表进行复制、导出、启用、禁用等操作。（</w:t>
            </w:r>
            <w:r>
              <w:rPr>
                <w:rFonts w:hint="eastAsia" w:ascii="Arial" w:hAnsi="Arial" w:eastAsia="宋体" w:cs="Arial"/>
                <w:b/>
                <w:bCs/>
                <w:color w:val="auto"/>
                <w:highlight w:val="none"/>
              </w:rPr>
              <w:t>供应商在响应文件中提供功能截图证明文件并加盖供应商公章</w:t>
            </w:r>
            <w:r>
              <w:rPr>
                <w:rFonts w:ascii="Arial" w:hAnsi="Arial" w:eastAsia="宋体" w:cs="Arial"/>
                <w:color w:val="auto"/>
                <w:kern w:val="0"/>
                <w:szCs w:val="21"/>
                <w:highlight w:val="none"/>
                <w:lang w:bidi="ar"/>
              </w:rPr>
              <w:t>）；</w:t>
            </w:r>
          </w:p>
          <w:p w14:paraId="709BA9C2">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三、资质及服务要求</w:t>
            </w:r>
          </w:p>
          <w:p w14:paraId="773D8FF8">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保修服务：提供原厂三年上门保修服务，全年无休服务，为确保参数及服务真实有效性，供货时提供设备生产厂商400/800售后服务电话对以上服务内容进行严格查验，</w:t>
            </w:r>
            <w:r>
              <w:rPr>
                <w:rFonts w:ascii="Arial" w:hAnsi="Arial" w:eastAsia="宋体" w:cs="Arial"/>
                <w:color w:val="auto"/>
                <w:kern w:val="0"/>
                <w:szCs w:val="21"/>
                <w:highlight w:val="none"/>
                <w:lang w:bidi="ar"/>
              </w:rPr>
              <w:t>并提供</w:t>
            </w:r>
            <w:r>
              <w:rPr>
                <w:rFonts w:hint="eastAsia" w:ascii="Arial" w:hAnsi="Arial" w:eastAsia="宋体" w:cs="Arial"/>
                <w:color w:val="auto"/>
                <w:kern w:val="0"/>
                <w:szCs w:val="21"/>
                <w:highlight w:val="none"/>
                <w:lang w:val="en-US" w:eastAsia="zh-CN" w:bidi="ar"/>
              </w:rPr>
              <w:t>厂家出具的</w:t>
            </w:r>
            <w:r>
              <w:rPr>
                <w:rFonts w:ascii="Arial" w:hAnsi="Arial" w:eastAsia="宋体" w:cs="Arial"/>
                <w:color w:val="auto"/>
                <w:kern w:val="0"/>
                <w:szCs w:val="21"/>
                <w:highlight w:val="none"/>
                <w:lang w:bidi="ar"/>
              </w:rPr>
              <w:t>满足服务要求售后服务承诺函原件及参数确认函原件。</w:t>
            </w:r>
          </w:p>
          <w:p w14:paraId="7FB35150">
            <w:pPr>
              <w:jc w:val="left"/>
              <w:rPr>
                <w:rFonts w:ascii="Arial" w:hAnsi="Arial" w:eastAsia="宋体" w:cs="Arial"/>
                <w:color w:val="auto"/>
                <w:szCs w:val="21"/>
                <w:highlight w:val="none"/>
              </w:rPr>
            </w:pPr>
            <w:r>
              <w:rPr>
                <w:rFonts w:ascii="Arial" w:hAnsi="Arial" w:eastAsia="宋体" w:cs="Arial"/>
                <w:color w:val="auto"/>
                <w:kern w:val="0"/>
                <w:szCs w:val="21"/>
                <w:highlight w:val="none"/>
                <w:lang w:bidi="ar"/>
              </w:rPr>
              <w:t>四、供货前采购人有权要求成交供应商对</w:t>
            </w:r>
            <w:r>
              <w:rPr>
                <w:rFonts w:hint="eastAsia" w:ascii="Arial" w:hAnsi="Arial" w:eastAsia="宋体" w:cs="Arial"/>
                <w:color w:val="auto"/>
                <w:kern w:val="0"/>
                <w:szCs w:val="21"/>
                <w:highlight w:val="none"/>
                <w:lang w:bidi="ar"/>
              </w:rPr>
              <w:t>响应产品</w:t>
            </w:r>
            <w:r>
              <w:rPr>
                <w:rFonts w:ascii="Arial" w:hAnsi="Arial" w:eastAsia="宋体" w:cs="Arial"/>
                <w:color w:val="auto"/>
                <w:kern w:val="0"/>
                <w:szCs w:val="21"/>
                <w:highlight w:val="none"/>
                <w:lang w:bidi="ar"/>
              </w:rPr>
              <w:t>型号按照</w:t>
            </w:r>
            <w:r>
              <w:rPr>
                <w:rFonts w:hint="eastAsia" w:ascii="Arial" w:hAnsi="Arial" w:eastAsia="宋体" w:cs="Arial"/>
                <w:color w:val="auto"/>
                <w:kern w:val="0"/>
                <w:szCs w:val="21"/>
                <w:highlight w:val="none"/>
                <w:lang w:bidi="ar"/>
              </w:rPr>
              <w:t>采购人</w:t>
            </w:r>
            <w:r>
              <w:rPr>
                <w:rFonts w:ascii="Arial" w:hAnsi="Arial" w:eastAsia="宋体" w:cs="Arial"/>
                <w:color w:val="auto"/>
                <w:kern w:val="0"/>
                <w:szCs w:val="21"/>
                <w:highlight w:val="none"/>
                <w:lang w:bidi="ar"/>
              </w:rPr>
              <w:t xml:space="preserve">需求进行仪器全面测试，成交供应商应在采购人提出测试要求的5天内提供相应设备运行测试实验结果并加盖厂家公章，否则采购人有权终止合同，不予验收，并上报采购监督部门，追究相关法律责任，对造成的损失采购人保留索赔的权利。 </w:t>
            </w:r>
          </w:p>
        </w:tc>
      </w:tr>
      <w:tr w14:paraId="6022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48" w:type="dxa"/>
            <w:vAlign w:val="center"/>
          </w:tcPr>
          <w:p w14:paraId="0A65EB35">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4</w:t>
            </w:r>
          </w:p>
        </w:tc>
        <w:tc>
          <w:tcPr>
            <w:tcW w:w="1200" w:type="dxa"/>
            <w:vAlign w:val="center"/>
          </w:tcPr>
          <w:p w14:paraId="316A6240">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专用实验座椅</w:t>
            </w:r>
          </w:p>
        </w:tc>
        <w:tc>
          <w:tcPr>
            <w:tcW w:w="664" w:type="dxa"/>
            <w:gridSpan w:val="2"/>
            <w:vAlign w:val="center"/>
          </w:tcPr>
          <w:p w14:paraId="7E1772D0">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91</w:t>
            </w:r>
          </w:p>
        </w:tc>
        <w:tc>
          <w:tcPr>
            <w:tcW w:w="729" w:type="dxa"/>
            <w:vAlign w:val="center"/>
          </w:tcPr>
          <w:p w14:paraId="6D5E7F8E">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套</w:t>
            </w:r>
          </w:p>
        </w:tc>
        <w:tc>
          <w:tcPr>
            <w:tcW w:w="7031" w:type="dxa"/>
          </w:tcPr>
          <w:p w14:paraId="20EE7657">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1、背框：采用≥2*3（cm）方管电镀边条;</w:t>
            </w:r>
          </w:p>
          <w:p w14:paraId="2CF567EC">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2、面料：采用透气尼龙特网;</w:t>
            </w:r>
          </w:p>
          <w:p w14:paraId="35AC3E8F">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3、座垫：采用高密度海绵，厚度达7-8cm;</w:t>
            </w:r>
          </w:p>
          <w:p w14:paraId="52727E94">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4、扶手：采用PP扶手面；</w:t>
            </w:r>
          </w:p>
          <w:p w14:paraId="74C1BABC">
            <w:pPr>
              <w:jc w:val="left"/>
              <w:rPr>
                <w:rFonts w:ascii="Arial" w:hAnsi="Arial" w:eastAsia="宋体" w:cs="Arial"/>
                <w:color w:val="auto"/>
                <w:szCs w:val="21"/>
                <w:highlight w:val="none"/>
              </w:rPr>
            </w:pPr>
            <w:r>
              <w:rPr>
                <w:rFonts w:ascii="Arial" w:hAnsi="Arial" w:eastAsia="宋体" w:cs="Arial"/>
                <w:color w:val="auto"/>
                <w:kern w:val="0"/>
                <w:szCs w:val="21"/>
                <w:highlight w:val="none"/>
                <w:lang w:bidi="ar"/>
              </w:rPr>
              <w:t>5、架子：采用≥1.5mm厚25圆管架，可承受最高300斤重量。</w:t>
            </w:r>
          </w:p>
        </w:tc>
      </w:tr>
      <w:tr w14:paraId="716F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48" w:type="dxa"/>
            <w:vAlign w:val="center"/>
          </w:tcPr>
          <w:p w14:paraId="053E4F04">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5</w:t>
            </w:r>
          </w:p>
        </w:tc>
        <w:tc>
          <w:tcPr>
            <w:tcW w:w="1200" w:type="dxa"/>
            <w:vAlign w:val="center"/>
          </w:tcPr>
          <w:p w14:paraId="6E7B29EF">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线路改造</w:t>
            </w:r>
          </w:p>
        </w:tc>
        <w:tc>
          <w:tcPr>
            <w:tcW w:w="664" w:type="dxa"/>
            <w:gridSpan w:val="2"/>
            <w:vAlign w:val="center"/>
          </w:tcPr>
          <w:p w14:paraId="5B74E619">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729" w:type="dxa"/>
            <w:vAlign w:val="center"/>
          </w:tcPr>
          <w:p w14:paraId="0DFF863E">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项</w:t>
            </w:r>
          </w:p>
        </w:tc>
        <w:tc>
          <w:tcPr>
            <w:tcW w:w="7031" w:type="dxa"/>
          </w:tcPr>
          <w:p w14:paraId="03B6195F">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1、改造的目标具体需求如下：</w:t>
            </w:r>
          </w:p>
          <w:p w14:paraId="0AE199EE">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 xml:space="preserve">（1）需支持高速网络设备和系统，保证数据的快速传输。 </w:t>
            </w:r>
          </w:p>
          <w:p w14:paraId="6C0C2D6A">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 xml:space="preserve">（2）需具备可扩展性和灵活性，方便设备的配置和扩展。 </w:t>
            </w:r>
          </w:p>
          <w:p w14:paraId="6C605817">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（3）需具备高容错性，能够在单点故障时保持网络的稳定性。</w:t>
            </w:r>
          </w:p>
          <w:p w14:paraId="5D3AFB89">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2、布线规划：布线前需对机房进行实地勘察，规划出合理的线缆路径，避免线缆过长、弯曲过多或与其他设备干扰。电线插座应覆盖每个多功能平台。</w:t>
            </w:r>
          </w:p>
          <w:p w14:paraId="4A72C2C8">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3、电线</w:t>
            </w:r>
            <w:r>
              <w:rPr>
                <w:rFonts w:hint="eastAsia" w:ascii="Arial" w:hAnsi="Arial" w:eastAsia="宋体" w:cs="Arial"/>
                <w:color w:val="auto"/>
                <w:kern w:val="0"/>
                <w:szCs w:val="21"/>
                <w:highlight w:val="none"/>
                <w:lang w:val="en-US" w:eastAsia="zh-CN" w:bidi="ar"/>
              </w:rPr>
              <w:t>要求</w:t>
            </w:r>
            <w:r>
              <w:rPr>
                <w:rFonts w:ascii="Arial" w:hAnsi="Arial" w:eastAsia="宋体" w:cs="Arial"/>
                <w:color w:val="auto"/>
                <w:kern w:val="0"/>
                <w:szCs w:val="21"/>
                <w:highlight w:val="none"/>
                <w:lang w:bidi="ar"/>
              </w:rPr>
              <w:t>：根据机房设备用电需求和安全标准，选择符合国家标准的阻燃、低烟、无卤（LSZH）或耐火电缆。电线的截面积需根据设备的额定功率和电流负载来计算，以确保足够的电力传输能力。</w:t>
            </w:r>
          </w:p>
          <w:p w14:paraId="08066133">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4、网线</w:t>
            </w:r>
            <w:r>
              <w:rPr>
                <w:rFonts w:hint="eastAsia" w:ascii="Arial" w:hAnsi="Arial" w:eastAsia="宋体" w:cs="Arial"/>
                <w:color w:val="auto"/>
                <w:kern w:val="0"/>
                <w:szCs w:val="21"/>
                <w:highlight w:val="none"/>
                <w:lang w:val="en-US" w:eastAsia="zh-CN" w:bidi="ar"/>
              </w:rPr>
              <w:t>要求</w:t>
            </w:r>
            <w:r>
              <w:rPr>
                <w:rFonts w:ascii="Arial" w:hAnsi="Arial" w:eastAsia="宋体" w:cs="Arial"/>
                <w:color w:val="auto"/>
                <w:kern w:val="0"/>
                <w:szCs w:val="21"/>
                <w:highlight w:val="none"/>
                <w:lang w:bidi="ar"/>
              </w:rPr>
              <w:t>：考虑到机房内数据传输的高速、稳定性和未来扩展性，使用Cat 6或更高类别的网线（如Cat 6A、Cat 7等）。</w:t>
            </w:r>
          </w:p>
          <w:p w14:paraId="378E7570">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5、材料质量：线缆的导体材料应选用纯度高的铜或铜合金，绝缘材料和护套材料应具有电气性能和机械性能。</w:t>
            </w:r>
          </w:p>
          <w:p w14:paraId="4355980B">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6、制造工艺：线缆的制造工艺应符合相关标准，确保线缆的结构均匀、外径一致、绝缘层厚度适中、无气泡和杂质等缺陷。</w:t>
            </w:r>
          </w:p>
          <w:p w14:paraId="7002FF85">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7、线路布局要求：</w:t>
            </w:r>
          </w:p>
          <w:p w14:paraId="39BEA3D4">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（1）布局应考虑设备散热需求，避免设备过于集中导致散热不良。</w:t>
            </w:r>
          </w:p>
          <w:p w14:paraId="066D5211">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（2）合理利用机房空间，使设备布局紧凑而不拥挤，便于后期维护和扩展。</w:t>
            </w:r>
          </w:p>
          <w:p w14:paraId="50D9116B">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（3）设备与设备之间应保持一定的安全距离，防止电磁干扰和火灾等安全隐患。</w:t>
            </w:r>
          </w:p>
          <w:p w14:paraId="064A4261">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8、安装要求：</w:t>
            </w:r>
          </w:p>
          <w:p w14:paraId="54FED40D">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（1）施工人员应具备相应的施工资质和经验，熟悉线缆安装改造的相关标准和规范。</w:t>
            </w:r>
          </w:p>
          <w:p w14:paraId="213A613B">
            <w:pPr>
              <w:jc w:val="left"/>
              <w:rPr>
                <w:rFonts w:ascii="Arial" w:hAnsi="Arial" w:eastAsia="宋体" w:cs="Arial"/>
                <w:color w:val="auto"/>
                <w:szCs w:val="21"/>
                <w:highlight w:val="none"/>
              </w:rPr>
            </w:pPr>
            <w:r>
              <w:rPr>
                <w:rFonts w:ascii="Arial" w:hAnsi="Arial" w:eastAsia="宋体" w:cs="Arial"/>
                <w:color w:val="auto"/>
                <w:kern w:val="0"/>
                <w:szCs w:val="21"/>
                <w:highlight w:val="none"/>
                <w:lang w:bidi="ar"/>
              </w:rPr>
              <w:t>（2）施工完成后进行严格的测试和验收，确保线缆安装改造符合设计要求和相关标准。</w:t>
            </w:r>
          </w:p>
        </w:tc>
      </w:tr>
      <w:tr w14:paraId="3F50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48" w:type="dxa"/>
            <w:vAlign w:val="center"/>
          </w:tcPr>
          <w:p w14:paraId="1660F1A9">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6</w:t>
            </w:r>
          </w:p>
        </w:tc>
        <w:tc>
          <w:tcPr>
            <w:tcW w:w="1200" w:type="dxa"/>
            <w:vAlign w:val="center"/>
          </w:tcPr>
          <w:p w14:paraId="1B56CAAC">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地面改造翻新</w:t>
            </w:r>
          </w:p>
        </w:tc>
        <w:tc>
          <w:tcPr>
            <w:tcW w:w="664" w:type="dxa"/>
            <w:gridSpan w:val="2"/>
            <w:vAlign w:val="center"/>
          </w:tcPr>
          <w:p w14:paraId="31034DCD">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729" w:type="dxa"/>
            <w:vAlign w:val="center"/>
          </w:tcPr>
          <w:p w14:paraId="46424868">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项</w:t>
            </w:r>
          </w:p>
        </w:tc>
        <w:tc>
          <w:tcPr>
            <w:tcW w:w="7031" w:type="dxa"/>
            <w:vAlign w:val="center"/>
          </w:tcPr>
          <w:p w14:paraId="5189BE78">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1、地面翻新改造包括原有地面材料拆除、拆除旧地面、地面平整处理、铺设新地面材料、边缘处理等方面。</w:t>
            </w:r>
          </w:p>
          <w:p w14:paraId="119C7599">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2、拆除旧地面：在翻新改造前，需要先将旧地面进行拆除。拆除过程中应注意保护机房内的设备和设施，避免因施工造成不必要的损坏。</w:t>
            </w:r>
          </w:p>
          <w:p w14:paraId="78BDC96F">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3、地面材料：采用</w:t>
            </w:r>
            <w:r>
              <w:rPr>
                <w:rFonts w:hint="default" w:ascii="Arial" w:hAnsi="Arial" w:eastAsia="宋体" w:cs="Arial"/>
                <w:color w:val="auto"/>
                <w:kern w:val="0"/>
                <w:sz w:val="21"/>
                <w:szCs w:val="21"/>
                <w:highlight w:val="none"/>
                <w:lang w:bidi="ar"/>
              </w:rPr>
              <w:t>耐磨、防静电、易清洁的</w:t>
            </w:r>
            <w:r>
              <w:rPr>
                <w:rFonts w:ascii="Arial" w:hAnsi="Arial" w:eastAsia="宋体" w:cs="Arial"/>
                <w:color w:val="auto"/>
                <w:kern w:val="0"/>
                <w:szCs w:val="21"/>
                <w:highlight w:val="none"/>
                <w:lang w:bidi="ar"/>
              </w:rPr>
              <w:t>地毯材料。</w:t>
            </w:r>
          </w:p>
          <w:p w14:paraId="5DBE83AF">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4、地面平整处理：在铺设新地面材料前，需要对地面进行平整处理。这包括清理地面上的灰尘、油污等杂物，修补地面的坑洼和裂缝，确保地面平整、无障碍物。平整处理后的地面应符合新地面材料的铺设要求。</w:t>
            </w:r>
          </w:p>
          <w:p w14:paraId="515B0A09">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5、铺设新地面材料：按照相应的施工方法和规范进行铺设。在铺设过程中，保持材料的平整度和对缝的紧密度，确保地面铺设质量。同时，还需注意地面与墙面、设备底座等处的衔接处理，确保整体美观和实用性。</w:t>
            </w:r>
          </w:p>
          <w:p w14:paraId="0290BE70">
            <w:pPr>
              <w:jc w:val="left"/>
              <w:rPr>
                <w:rFonts w:ascii="Arial" w:hAnsi="Arial" w:eastAsia="宋体" w:cs="Arial"/>
                <w:color w:val="auto"/>
                <w:szCs w:val="21"/>
                <w:highlight w:val="none"/>
              </w:rPr>
            </w:pPr>
            <w:r>
              <w:rPr>
                <w:rFonts w:ascii="Arial" w:hAnsi="Arial" w:eastAsia="宋体" w:cs="Arial"/>
                <w:color w:val="auto"/>
                <w:kern w:val="0"/>
                <w:szCs w:val="21"/>
                <w:highlight w:val="none"/>
                <w:lang w:bidi="ar"/>
              </w:rPr>
              <w:t>6、边缘处理：在地面铺设完成后，需要对边缘进行处理，提升机房的整体美观度，增强地面的耐用性和实用性。</w:t>
            </w:r>
          </w:p>
        </w:tc>
      </w:tr>
      <w:tr w14:paraId="2BFB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48" w:type="dxa"/>
            <w:vAlign w:val="center"/>
          </w:tcPr>
          <w:p w14:paraId="50FED5E5">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7</w:t>
            </w:r>
          </w:p>
        </w:tc>
        <w:tc>
          <w:tcPr>
            <w:tcW w:w="1200" w:type="dxa"/>
            <w:vAlign w:val="center"/>
          </w:tcPr>
          <w:p w14:paraId="7FD5326A">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房间清理及垃圾下楼</w:t>
            </w:r>
          </w:p>
        </w:tc>
        <w:tc>
          <w:tcPr>
            <w:tcW w:w="664" w:type="dxa"/>
            <w:gridSpan w:val="2"/>
            <w:vAlign w:val="center"/>
          </w:tcPr>
          <w:p w14:paraId="1EF2C18C">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729" w:type="dxa"/>
            <w:vAlign w:val="center"/>
          </w:tcPr>
          <w:p w14:paraId="3E03EC1B">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项</w:t>
            </w:r>
          </w:p>
        </w:tc>
        <w:tc>
          <w:tcPr>
            <w:tcW w:w="7031" w:type="dxa"/>
            <w:vAlign w:val="center"/>
          </w:tcPr>
          <w:p w14:paraId="427C4F91">
            <w:pPr>
              <w:jc w:val="left"/>
              <w:rPr>
                <w:rFonts w:ascii="Arial" w:hAnsi="Arial" w:eastAsia="宋体" w:cs="Arial"/>
                <w:color w:val="auto"/>
                <w:kern w:val="0"/>
                <w:szCs w:val="21"/>
                <w:highlight w:val="none"/>
                <w:lang w:bidi="ar"/>
              </w:rPr>
            </w:pPr>
            <w:r>
              <w:rPr>
                <w:rFonts w:ascii="Arial" w:hAnsi="Arial" w:eastAsia="宋体" w:cs="Arial"/>
                <w:color w:val="auto"/>
                <w:kern w:val="0"/>
                <w:szCs w:val="21"/>
                <w:highlight w:val="none"/>
                <w:lang w:bidi="ar"/>
              </w:rPr>
              <w:t>1、清理装修后垃圾，将房间内的垃圾打包清理，人工搬运下楼，搬运时注意避免使用硬物划伤地面，保护好楼道的地面和墙面，避免垃圾刮伤或造成其它损害，并进行最终的垃圾妥善处理。</w:t>
            </w:r>
          </w:p>
          <w:p w14:paraId="60632450">
            <w:pPr>
              <w:jc w:val="left"/>
              <w:rPr>
                <w:rFonts w:ascii="Arial" w:hAnsi="Arial" w:eastAsia="宋体" w:cs="Arial"/>
                <w:color w:val="auto"/>
                <w:szCs w:val="21"/>
                <w:highlight w:val="none"/>
              </w:rPr>
            </w:pPr>
            <w:r>
              <w:rPr>
                <w:rFonts w:ascii="Arial" w:hAnsi="Arial" w:eastAsia="宋体" w:cs="Arial"/>
                <w:color w:val="auto"/>
                <w:kern w:val="0"/>
                <w:szCs w:val="21"/>
                <w:highlight w:val="none"/>
                <w:lang w:bidi="ar"/>
              </w:rPr>
              <w:t>2、打扫地面杂物，进行除尘处理，全房间擦拭，做到洁净卫生，一尘不染，满足采购人房间使用要求。</w:t>
            </w:r>
          </w:p>
        </w:tc>
      </w:tr>
      <w:tr w14:paraId="637E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72" w:type="dxa"/>
            <w:gridSpan w:val="6"/>
            <w:vAlign w:val="center"/>
          </w:tcPr>
          <w:p w14:paraId="1E961A1C">
            <w:pPr>
              <w:rPr>
                <w:rFonts w:ascii="Arial" w:hAnsi="Arial" w:eastAsia="宋体" w:cs="Arial"/>
                <w:b/>
                <w:color w:val="auto"/>
                <w:szCs w:val="21"/>
                <w:highlight w:val="none"/>
              </w:rPr>
            </w:pPr>
            <w:r>
              <w:rPr>
                <w:rFonts w:ascii="Arial" w:hAnsi="Arial" w:eastAsia="宋体" w:cs="Arial"/>
                <w:b/>
                <w:color w:val="auto"/>
                <w:szCs w:val="21"/>
                <w:highlight w:val="none"/>
              </w:rPr>
              <w:t>预算金额(元)：本项目采购预算为：人民币叁拾捌万元整（¥380000.00），响应报价超采购预算的，作响应无效处理。</w:t>
            </w:r>
          </w:p>
        </w:tc>
      </w:tr>
      <w:tr w14:paraId="1BBB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72" w:type="dxa"/>
            <w:gridSpan w:val="6"/>
            <w:vAlign w:val="center"/>
          </w:tcPr>
          <w:p w14:paraId="0541DB03">
            <w:pPr>
              <w:rPr>
                <w:rFonts w:ascii="Arial" w:hAnsi="Arial" w:eastAsia="宋体" w:cs="Arial"/>
                <w:b/>
                <w:color w:val="auto"/>
                <w:szCs w:val="21"/>
                <w:highlight w:val="none"/>
              </w:rPr>
            </w:pPr>
            <w:r>
              <w:rPr>
                <w:rFonts w:ascii="Arial" w:hAnsi="Arial" w:eastAsia="宋体" w:cs="Arial"/>
                <w:b/>
                <w:color w:val="auto"/>
                <w:szCs w:val="21"/>
                <w:highlight w:val="none"/>
              </w:rPr>
              <w:t>二、核心产品：为第</w:t>
            </w:r>
            <w:r>
              <w:rPr>
                <w:rFonts w:ascii="Arial" w:hAnsi="Arial" w:eastAsia="宋体" w:cs="Arial"/>
                <w:b/>
                <w:color w:val="auto"/>
                <w:szCs w:val="21"/>
                <w:highlight w:val="none"/>
                <w:u w:val="single"/>
              </w:rPr>
              <w:t xml:space="preserve"> 3 </w:t>
            </w:r>
            <w:r>
              <w:rPr>
                <w:rFonts w:ascii="Arial" w:hAnsi="Arial" w:eastAsia="宋体" w:cs="Arial"/>
                <w:b/>
                <w:color w:val="auto"/>
                <w:szCs w:val="21"/>
                <w:highlight w:val="none"/>
              </w:rPr>
              <w:t>项号标的</w:t>
            </w:r>
            <w:r>
              <w:rPr>
                <w:rFonts w:ascii="Arial" w:hAnsi="Arial" w:eastAsia="宋体" w:cs="Arial"/>
                <w:b/>
                <w:color w:val="auto"/>
                <w:szCs w:val="21"/>
                <w:highlight w:val="none"/>
                <w:u w:val="single"/>
              </w:rPr>
              <w:t>“ 云终端系统平台 ”</w:t>
            </w:r>
            <w:r>
              <w:rPr>
                <w:rFonts w:ascii="Arial" w:hAnsi="Arial" w:eastAsia="宋体" w:cs="Arial"/>
                <w:b/>
                <w:color w:val="auto"/>
                <w:szCs w:val="21"/>
                <w:highlight w:val="none"/>
              </w:rPr>
              <w:t>。</w:t>
            </w:r>
          </w:p>
        </w:tc>
      </w:tr>
      <w:tr w14:paraId="504E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72" w:type="dxa"/>
            <w:gridSpan w:val="6"/>
            <w:vAlign w:val="center"/>
          </w:tcPr>
          <w:p w14:paraId="43D68410">
            <w:pPr>
              <w:rPr>
                <w:rFonts w:ascii="Arial" w:hAnsi="Arial" w:eastAsia="宋体" w:cs="Arial"/>
                <w:b/>
                <w:color w:val="auto"/>
                <w:szCs w:val="21"/>
                <w:highlight w:val="none"/>
              </w:rPr>
            </w:pPr>
            <w:r>
              <w:rPr>
                <w:rFonts w:ascii="Arial" w:hAnsi="Arial" w:eastAsia="宋体" w:cs="Arial"/>
                <w:b/>
                <w:color w:val="auto"/>
                <w:szCs w:val="21"/>
                <w:highlight w:val="none"/>
              </w:rPr>
              <w:t>三、商务要求</w:t>
            </w:r>
          </w:p>
        </w:tc>
      </w:tr>
      <w:tr w14:paraId="5E38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gridSpan w:val="2"/>
            <w:vAlign w:val="center"/>
          </w:tcPr>
          <w:p w14:paraId="6D3B4324">
            <w:pPr>
              <w:jc w:val="center"/>
              <w:rPr>
                <w:rFonts w:ascii="Arial" w:hAnsi="Arial" w:eastAsia="宋体" w:cs="Arial"/>
                <w:color w:val="auto"/>
                <w:szCs w:val="21"/>
                <w:highlight w:val="none"/>
              </w:rPr>
            </w:pPr>
            <w:r>
              <w:rPr>
                <w:rFonts w:ascii="Arial" w:hAnsi="Arial" w:eastAsia="宋体" w:cs="Arial"/>
                <w:color w:val="auto"/>
                <w:szCs w:val="21"/>
                <w:highlight w:val="none"/>
              </w:rPr>
              <w:t>（一）免费保修期</w:t>
            </w:r>
          </w:p>
        </w:tc>
        <w:tc>
          <w:tcPr>
            <w:tcW w:w="8424" w:type="dxa"/>
            <w:gridSpan w:val="4"/>
            <w:shd w:val="clear" w:color="auto" w:fill="auto"/>
          </w:tcPr>
          <w:p w14:paraId="3EE08A3B">
            <w:pPr>
              <w:spacing w:line="360" w:lineRule="exact"/>
              <w:rPr>
                <w:rFonts w:ascii="Arial" w:hAnsi="Arial" w:eastAsia="宋体" w:cs="Arial"/>
                <w:color w:val="auto"/>
                <w:highlight w:val="none"/>
              </w:rPr>
            </w:pPr>
            <w:r>
              <w:rPr>
                <w:rFonts w:ascii="Arial" w:hAnsi="Arial" w:eastAsia="宋体" w:cs="Arial"/>
                <w:bCs/>
                <w:color w:val="auto"/>
                <w:szCs w:val="21"/>
                <w:highlight w:val="none"/>
              </w:rPr>
              <w:t>1．免费保修期：按国家有关产品“三包”规定执行“三包”，免费保修期最短不得少于</w:t>
            </w:r>
            <w:r>
              <w:rPr>
                <w:rFonts w:ascii="Arial" w:hAnsi="Arial" w:eastAsia="宋体" w:cs="Arial"/>
                <w:b/>
                <w:color w:val="auto"/>
                <w:szCs w:val="21"/>
                <w:highlight w:val="none"/>
                <w:u w:val="single"/>
              </w:rPr>
              <w:t>一年</w:t>
            </w:r>
            <w:r>
              <w:rPr>
                <w:rFonts w:ascii="Arial" w:hAnsi="Arial" w:eastAsia="宋体" w:cs="Arial"/>
                <w:bCs/>
                <w:color w:val="auto"/>
                <w:szCs w:val="21"/>
                <w:highlight w:val="none"/>
              </w:rPr>
              <w:t>（免费保修期从设备验收合格之日起计算，项目要求及技术需求中规定的，按规定执行）。</w:t>
            </w:r>
            <w:r>
              <w:rPr>
                <w:rFonts w:ascii="Arial" w:hAnsi="Arial" w:eastAsia="宋体" w:cs="Arial"/>
                <w:color w:val="auto"/>
                <w:highlight w:val="none"/>
              </w:rPr>
              <w:t>免费保修期内免费上门维修（免收维修费和元器件费）、免费更换零部件，并提供终身维修服务。</w:t>
            </w:r>
          </w:p>
        </w:tc>
      </w:tr>
      <w:tr w14:paraId="2050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gridSpan w:val="2"/>
            <w:vAlign w:val="center"/>
          </w:tcPr>
          <w:p w14:paraId="19D4B44D">
            <w:pPr>
              <w:jc w:val="center"/>
              <w:rPr>
                <w:rFonts w:ascii="Arial" w:hAnsi="Arial" w:eastAsia="宋体" w:cs="Arial"/>
                <w:color w:val="auto"/>
                <w:szCs w:val="21"/>
                <w:highlight w:val="none"/>
              </w:rPr>
            </w:pPr>
            <w:r>
              <w:rPr>
                <w:rFonts w:ascii="Arial" w:hAnsi="Arial" w:eastAsia="宋体" w:cs="Arial"/>
                <w:color w:val="auto"/>
                <w:szCs w:val="21"/>
                <w:highlight w:val="none"/>
              </w:rPr>
              <w:t>（二）售后服务要求</w:t>
            </w:r>
          </w:p>
        </w:tc>
        <w:tc>
          <w:tcPr>
            <w:tcW w:w="8424" w:type="dxa"/>
            <w:gridSpan w:val="4"/>
            <w:shd w:val="clear" w:color="auto" w:fill="auto"/>
          </w:tcPr>
          <w:p w14:paraId="1FFC6060">
            <w:pPr>
              <w:spacing w:line="360" w:lineRule="exact"/>
              <w:rPr>
                <w:rFonts w:ascii="Arial" w:hAnsi="Arial" w:eastAsia="宋体" w:cs="Arial"/>
                <w:color w:val="auto"/>
                <w:highlight w:val="none"/>
              </w:rPr>
            </w:pPr>
            <w:r>
              <w:rPr>
                <w:rFonts w:ascii="Arial" w:hAnsi="Arial" w:eastAsia="宋体" w:cs="Arial"/>
                <w:color w:val="auto"/>
                <w:szCs w:val="21"/>
                <w:highlight w:val="none"/>
              </w:rPr>
              <w:t>1．</w:t>
            </w:r>
            <w:r>
              <w:rPr>
                <w:rFonts w:ascii="Arial" w:hAnsi="Arial" w:eastAsia="宋体" w:cs="Arial"/>
                <w:color w:val="auto"/>
                <w:highlight w:val="none"/>
              </w:rPr>
              <w:t>免费送货上门，免费按采购人要求安装调试，免费技术培训，直至操作人员熟练操作产品的各项功能。</w:t>
            </w:r>
          </w:p>
          <w:p w14:paraId="34D1BD37">
            <w:pPr>
              <w:snapToGrid w:val="0"/>
              <w:spacing w:line="360" w:lineRule="exact"/>
              <w:jc w:val="left"/>
              <w:rPr>
                <w:rFonts w:ascii="Arial" w:hAnsi="Arial" w:eastAsia="宋体" w:cs="Arial"/>
                <w:color w:val="auto"/>
                <w:szCs w:val="21"/>
                <w:highlight w:val="none"/>
              </w:rPr>
            </w:pPr>
            <w:r>
              <w:rPr>
                <w:rFonts w:ascii="Arial" w:hAnsi="Arial" w:eastAsia="宋体" w:cs="Arial"/>
                <w:color w:val="auto"/>
                <w:highlight w:val="none"/>
              </w:rPr>
              <w:t>2.售后服务要求：①免费保修期内接到报障电话在承诺时间内派工程技术人员上门维修解决问题，如果需要更换配件的，要求更换的配件应跟被更换的品牌、类型相一致或者是同类同档次的替代品，后者需征得</w:t>
            </w:r>
            <w:r>
              <w:rPr>
                <w:rFonts w:hint="eastAsia" w:ascii="Arial" w:hAnsi="Arial" w:eastAsia="宋体" w:cs="Arial"/>
                <w:color w:val="auto"/>
                <w:highlight w:val="none"/>
              </w:rPr>
              <w:t>采购人</w:t>
            </w:r>
            <w:r>
              <w:rPr>
                <w:rFonts w:ascii="Arial" w:hAnsi="Arial" w:eastAsia="宋体" w:cs="Arial"/>
                <w:color w:val="auto"/>
                <w:highlight w:val="none"/>
              </w:rPr>
              <w:t>方管理人员同意；②若</w:t>
            </w:r>
            <w:r>
              <w:rPr>
                <w:rFonts w:ascii="Arial" w:hAnsi="Arial" w:eastAsia="宋体" w:cs="Arial"/>
                <w:color w:val="auto"/>
                <w:highlight w:val="none"/>
                <w:lang w:val="zh-CN"/>
              </w:rPr>
              <w:t>产品自带</w:t>
            </w:r>
            <w:r>
              <w:rPr>
                <w:rFonts w:ascii="Arial" w:hAnsi="Arial" w:eastAsia="宋体" w:cs="Arial"/>
                <w:color w:val="auto"/>
                <w:highlight w:val="none"/>
              </w:rPr>
              <w:t>软件的，则须提供免费保修期内免费升级服务。③其余按厂家承诺执行。</w:t>
            </w:r>
          </w:p>
        </w:tc>
      </w:tr>
      <w:tr w14:paraId="1016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gridSpan w:val="2"/>
            <w:vAlign w:val="center"/>
          </w:tcPr>
          <w:p w14:paraId="0B4F0050">
            <w:pPr>
              <w:jc w:val="center"/>
              <w:rPr>
                <w:rFonts w:ascii="Arial" w:hAnsi="Arial" w:eastAsia="宋体" w:cs="Arial"/>
                <w:color w:val="auto"/>
                <w:szCs w:val="21"/>
                <w:highlight w:val="none"/>
              </w:rPr>
            </w:pPr>
            <w:r>
              <w:rPr>
                <w:rFonts w:ascii="Arial" w:hAnsi="Arial" w:eastAsia="宋体" w:cs="Arial"/>
                <w:color w:val="auto"/>
                <w:szCs w:val="21"/>
                <w:highlight w:val="none"/>
              </w:rPr>
              <w:t>（三）合同签订时间</w:t>
            </w:r>
          </w:p>
        </w:tc>
        <w:tc>
          <w:tcPr>
            <w:tcW w:w="8424" w:type="dxa"/>
            <w:gridSpan w:val="4"/>
            <w:shd w:val="clear" w:color="auto" w:fill="auto"/>
          </w:tcPr>
          <w:p w14:paraId="5AA7F147">
            <w:pPr>
              <w:spacing w:line="360" w:lineRule="exact"/>
              <w:rPr>
                <w:rFonts w:ascii="Arial" w:hAnsi="Arial" w:eastAsia="宋体" w:cs="Arial"/>
                <w:color w:val="auto"/>
                <w:szCs w:val="21"/>
                <w:highlight w:val="none"/>
              </w:rPr>
            </w:pPr>
            <w:r>
              <w:rPr>
                <w:rFonts w:ascii="Arial" w:hAnsi="Arial" w:eastAsia="宋体" w:cs="Arial"/>
                <w:color w:val="auto"/>
                <w:highlight w:val="none"/>
              </w:rPr>
              <w:t>自</w:t>
            </w:r>
            <w:r>
              <w:rPr>
                <w:rFonts w:hint="eastAsia" w:ascii="Arial" w:hAnsi="Arial" w:eastAsia="宋体" w:cs="Arial"/>
                <w:color w:val="auto"/>
                <w:highlight w:val="none"/>
              </w:rPr>
              <w:t>成交</w:t>
            </w:r>
            <w:r>
              <w:rPr>
                <w:rFonts w:ascii="Arial" w:hAnsi="Arial" w:eastAsia="宋体" w:cs="Arial"/>
                <w:color w:val="auto"/>
                <w:highlight w:val="none"/>
              </w:rPr>
              <w:t>通知书发出之日起</w:t>
            </w:r>
            <w:r>
              <w:rPr>
                <w:rFonts w:ascii="Arial" w:hAnsi="Arial" w:eastAsia="宋体" w:cs="Arial"/>
                <w:b/>
                <w:color w:val="auto"/>
                <w:szCs w:val="21"/>
                <w:highlight w:val="none"/>
                <w:u w:val="single"/>
              </w:rPr>
              <w:t xml:space="preserve"> </w:t>
            </w:r>
            <w:r>
              <w:rPr>
                <w:rFonts w:hint="eastAsia" w:ascii="Arial" w:hAnsi="Arial" w:eastAsia="宋体" w:cs="Arial"/>
                <w:b/>
                <w:color w:val="auto"/>
                <w:szCs w:val="21"/>
                <w:highlight w:val="none"/>
                <w:u w:val="single"/>
                <w:lang w:val="en-US" w:eastAsia="zh-CN"/>
              </w:rPr>
              <w:t>10</w:t>
            </w:r>
            <w:r>
              <w:rPr>
                <w:rFonts w:ascii="Arial" w:hAnsi="Arial" w:eastAsia="宋体" w:cs="Arial"/>
                <w:b/>
                <w:color w:val="auto"/>
                <w:szCs w:val="21"/>
                <w:highlight w:val="none"/>
                <w:u w:val="single"/>
              </w:rPr>
              <w:t>日</w:t>
            </w:r>
            <w:r>
              <w:rPr>
                <w:rFonts w:ascii="Arial" w:hAnsi="Arial" w:eastAsia="宋体" w:cs="Arial"/>
                <w:color w:val="auto"/>
                <w:highlight w:val="none"/>
              </w:rPr>
              <w:t>内签订采购合同。</w:t>
            </w:r>
          </w:p>
        </w:tc>
      </w:tr>
      <w:tr w14:paraId="2DAF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gridSpan w:val="2"/>
            <w:vAlign w:val="center"/>
          </w:tcPr>
          <w:p w14:paraId="145AF377">
            <w:pPr>
              <w:jc w:val="center"/>
              <w:rPr>
                <w:rFonts w:ascii="Arial" w:hAnsi="Arial" w:eastAsia="宋体" w:cs="Arial"/>
                <w:color w:val="auto"/>
                <w:szCs w:val="21"/>
                <w:highlight w:val="none"/>
              </w:rPr>
            </w:pPr>
            <w:r>
              <w:rPr>
                <w:rFonts w:ascii="Arial" w:hAnsi="Arial" w:eastAsia="宋体" w:cs="Arial"/>
                <w:color w:val="auto"/>
                <w:szCs w:val="21"/>
                <w:highlight w:val="none"/>
              </w:rPr>
              <w:t>（四）交货期及地点</w:t>
            </w:r>
          </w:p>
        </w:tc>
        <w:tc>
          <w:tcPr>
            <w:tcW w:w="8424" w:type="dxa"/>
            <w:gridSpan w:val="4"/>
            <w:shd w:val="clear" w:color="auto" w:fill="auto"/>
          </w:tcPr>
          <w:p w14:paraId="296F4961">
            <w:pPr>
              <w:spacing w:line="360" w:lineRule="exact"/>
              <w:rPr>
                <w:rFonts w:ascii="Arial" w:hAnsi="Arial" w:eastAsia="宋体" w:cs="Arial"/>
                <w:bCs/>
                <w:color w:val="auto"/>
                <w:szCs w:val="21"/>
                <w:highlight w:val="none"/>
              </w:rPr>
            </w:pPr>
            <w:r>
              <w:rPr>
                <w:rFonts w:ascii="Arial" w:hAnsi="Arial" w:eastAsia="宋体" w:cs="Arial"/>
                <w:color w:val="auto"/>
                <w:szCs w:val="21"/>
                <w:highlight w:val="none"/>
              </w:rPr>
              <w:t>1．</w:t>
            </w:r>
            <w:r>
              <w:rPr>
                <w:rFonts w:ascii="Arial" w:hAnsi="Arial" w:eastAsia="宋体" w:cs="Arial"/>
                <w:bCs/>
                <w:color w:val="auto"/>
                <w:szCs w:val="21"/>
                <w:highlight w:val="none"/>
              </w:rPr>
              <w:t>交货期：</w:t>
            </w:r>
            <w:r>
              <w:rPr>
                <w:rFonts w:ascii="Arial" w:hAnsi="Arial" w:eastAsia="宋体" w:cs="Arial"/>
                <w:color w:val="auto"/>
                <w:szCs w:val="21"/>
                <w:highlight w:val="none"/>
              </w:rPr>
              <w:t>自签订合同之日起</w:t>
            </w:r>
            <w:r>
              <w:rPr>
                <w:rFonts w:ascii="Arial" w:hAnsi="Arial" w:eastAsia="宋体" w:cs="Arial"/>
                <w:b/>
                <w:color w:val="auto"/>
                <w:szCs w:val="21"/>
                <w:highlight w:val="none"/>
                <w:u w:val="single"/>
              </w:rPr>
              <w:t xml:space="preserve"> 15个</w:t>
            </w:r>
            <w:r>
              <w:rPr>
                <w:rFonts w:ascii="Arial" w:hAnsi="Arial" w:eastAsia="宋体" w:cs="Arial"/>
                <w:color w:val="auto"/>
                <w:szCs w:val="21"/>
                <w:highlight w:val="none"/>
              </w:rPr>
              <w:t>工作日内到货并全部安装调试合格完毕；</w:t>
            </w:r>
          </w:p>
          <w:p w14:paraId="0B0F857A">
            <w:pPr>
              <w:spacing w:line="360" w:lineRule="exact"/>
              <w:rPr>
                <w:rFonts w:ascii="Arial" w:hAnsi="Arial" w:eastAsia="宋体" w:cs="Arial"/>
                <w:color w:val="auto"/>
                <w:highlight w:val="none"/>
              </w:rPr>
            </w:pPr>
            <w:r>
              <w:rPr>
                <w:rFonts w:ascii="Arial" w:hAnsi="Arial" w:eastAsia="宋体" w:cs="Arial"/>
                <w:color w:val="auto"/>
                <w:szCs w:val="21"/>
                <w:highlight w:val="none"/>
              </w:rPr>
              <w:t>2．交货地点：广西桂林市采购人指定地点。</w:t>
            </w:r>
          </w:p>
        </w:tc>
      </w:tr>
      <w:tr w14:paraId="0921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gridSpan w:val="2"/>
            <w:vAlign w:val="center"/>
          </w:tcPr>
          <w:p w14:paraId="2F6459B2">
            <w:pPr>
              <w:spacing w:line="360" w:lineRule="exact"/>
              <w:jc w:val="center"/>
              <w:rPr>
                <w:rFonts w:ascii="Arial" w:hAnsi="Arial" w:eastAsia="宋体" w:cs="Arial"/>
                <w:color w:val="auto"/>
                <w:szCs w:val="21"/>
                <w:highlight w:val="none"/>
              </w:rPr>
            </w:pPr>
            <w:r>
              <w:rPr>
                <w:rFonts w:ascii="Arial" w:hAnsi="Arial" w:eastAsia="宋体" w:cs="Arial"/>
                <w:color w:val="auto"/>
                <w:szCs w:val="21"/>
                <w:highlight w:val="none"/>
              </w:rPr>
              <w:t>（五）付款方式</w:t>
            </w:r>
          </w:p>
        </w:tc>
        <w:tc>
          <w:tcPr>
            <w:tcW w:w="8424" w:type="dxa"/>
            <w:gridSpan w:val="4"/>
            <w:shd w:val="clear" w:color="auto" w:fill="auto"/>
          </w:tcPr>
          <w:p w14:paraId="3BB2D754">
            <w:pPr>
              <w:spacing w:line="360" w:lineRule="exact"/>
              <w:rPr>
                <w:rFonts w:ascii="Arial" w:hAnsi="Arial" w:eastAsia="宋体" w:cs="Arial"/>
                <w:color w:val="auto"/>
                <w:highlight w:val="none"/>
              </w:rPr>
            </w:pPr>
            <w:r>
              <w:rPr>
                <w:rFonts w:ascii="Arial" w:hAnsi="Arial" w:eastAsia="宋体" w:cs="Arial"/>
                <w:color w:val="auto"/>
                <w:highlight w:val="none"/>
              </w:rPr>
              <w:t>付款方式：本项目通过最终验收后，成交供应商开具全额发票（国产设备必须开具增值税专用发票）给采购人，采购人收到发票后10个工作日内一次性付清100%的合同价款（无息）。</w:t>
            </w:r>
          </w:p>
        </w:tc>
      </w:tr>
      <w:tr w14:paraId="221D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gridSpan w:val="2"/>
            <w:vAlign w:val="center"/>
          </w:tcPr>
          <w:p w14:paraId="31DDAE78">
            <w:pPr>
              <w:jc w:val="center"/>
              <w:rPr>
                <w:rFonts w:ascii="Arial" w:hAnsi="Arial" w:eastAsia="宋体" w:cs="Arial"/>
                <w:color w:val="auto"/>
                <w:szCs w:val="21"/>
                <w:highlight w:val="none"/>
              </w:rPr>
            </w:pPr>
            <w:r>
              <w:rPr>
                <w:rFonts w:ascii="Arial" w:hAnsi="Arial" w:eastAsia="宋体" w:cs="Arial"/>
                <w:color w:val="auto"/>
                <w:szCs w:val="21"/>
                <w:highlight w:val="none"/>
              </w:rPr>
              <w:t>（六）包装和运输</w:t>
            </w:r>
          </w:p>
        </w:tc>
        <w:tc>
          <w:tcPr>
            <w:tcW w:w="8424" w:type="dxa"/>
            <w:gridSpan w:val="4"/>
            <w:shd w:val="clear" w:color="auto" w:fill="auto"/>
          </w:tcPr>
          <w:p w14:paraId="1E94D753">
            <w:pPr>
              <w:adjustRightInd w:val="0"/>
              <w:snapToGrid w:val="0"/>
              <w:spacing w:line="360" w:lineRule="exact"/>
              <w:rPr>
                <w:rFonts w:ascii="Arial" w:hAnsi="Arial" w:eastAsia="宋体" w:cs="Arial"/>
                <w:bCs/>
                <w:color w:val="auto"/>
                <w:kern w:val="0"/>
                <w:szCs w:val="21"/>
                <w:highlight w:val="none"/>
              </w:rPr>
            </w:pPr>
            <w:r>
              <w:rPr>
                <w:rFonts w:ascii="Arial" w:hAnsi="Arial" w:eastAsia="宋体" w:cs="Arial"/>
                <w:bCs/>
                <w:color w:val="auto"/>
                <w:kern w:val="0"/>
                <w:szCs w:val="21"/>
                <w:highlight w:val="none"/>
              </w:rPr>
              <w:t>1.原厂原包装，包装完好、完整无破损、未开封。</w:t>
            </w:r>
          </w:p>
          <w:p w14:paraId="62EB9DA2">
            <w:pPr>
              <w:adjustRightInd w:val="0"/>
              <w:snapToGrid w:val="0"/>
              <w:spacing w:line="360" w:lineRule="exact"/>
              <w:rPr>
                <w:rFonts w:ascii="Arial" w:hAnsi="Arial" w:eastAsia="宋体" w:cs="Arial"/>
                <w:bCs/>
                <w:color w:val="auto"/>
                <w:kern w:val="0"/>
                <w:szCs w:val="21"/>
                <w:highlight w:val="none"/>
              </w:rPr>
            </w:pPr>
            <w:r>
              <w:rPr>
                <w:rFonts w:ascii="Arial" w:hAnsi="Arial" w:eastAsia="宋体" w:cs="Arial"/>
                <w:bCs/>
                <w:color w:val="auto"/>
                <w:kern w:val="0"/>
                <w:szCs w:val="21"/>
                <w:highlight w:val="none"/>
              </w:rPr>
              <w:t>2.包装及运输方式应综合考虑运输距离、防潮、防震、防锈和防破损装卸等要求。</w:t>
            </w:r>
          </w:p>
          <w:p w14:paraId="7E53AEF4">
            <w:pPr>
              <w:adjustRightInd w:val="0"/>
              <w:snapToGrid w:val="0"/>
              <w:spacing w:line="360" w:lineRule="exact"/>
              <w:rPr>
                <w:rFonts w:ascii="Arial" w:hAnsi="Arial" w:eastAsia="宋体" w:cs="Arial"/>
                <w:bCs/>
                <w:color w:val="auto"/>
                <w:kern w:val="0"/>
                <w:szCs w:val="21"/>
                <w:highlight w:val="none"/>
              </w:rPr>
            </w:pPr>
            <w:r>
              <w:rPr>
                <w:rFonts w:ascii="Arial" w:hAnsi="Arial" w:eastAsia="宋体" w:cs="Arial"/>
                <w:bCs/>
                <w:color w:val="auto"/>
                <w:kern w:val="0"/>
                <w:szCs w:val="21"/>
                <w:highlight w:val="none"/>
              </w:rPr>
              <w:t>3.国家对包装及运输有相关强制性标准或要求的，成交供应商应当执行。</w:t>
            </w:r>
          </w:p>
          <w:p w14:paraId="253F5412">
            <w:pPr>
              <w:adjustRightInd w:val="0"/>
              <w:snapToGrid w:val="0"/>
              <w:spacing w:line="360" w:lineRule="exact"/>
              <w:rPr>
                <w:rFonts w:ascii="Arial" w:hAnsi="Arial" w:eastAsia="宋体" w:cs="Arial"/>
                <w:bCs/>
                <w:color w:val="auto"/>
                <w:kern w:val="0"/>
                <w:szCs w:val="21"/>
                <w:highlight w:val="none"/>
              </w:rPr>
            </w:pPr>
            <w:r>
              <w:rPr>
                <w:rFonts w:ascii="Arial" w:hAnsi="Arial" w:eastAsia="宋体" w:cs="Arial"/>
                <w:bCs/>
                <w:color w:val="auto"/>
                <w:kern w:val="0"/>
                <w:szCs w:val="21"/>
                <w:highlight w:val="none"/>
              </w:rPr>
              <w:t>4.产品（含包装）运抵采购人指定交付地点前发生损坏的，相关损失由成交供应商自行承担。</w:t>
            </w:r>
          </w:p>
        </w:tc>
      </w:tr>
      <w:tr w14:paraId="30E6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gridSpan w:val="2"/>
            <w:vAlign w:val="center"/>
          </w:tcPr>
          <w:p w14:paraId="06368110">
            <w:pPr>
              <w:jc w:val="center"/>
              <w:rPr>
                <w:rFonts w:ascii="Arial" w:hAnsi="Arial" w:eastAsia="宋体" w:cs="Arial"/>
                <w:color w:val="auto"/>
                <w:szCs w:val="21"/>
                <w:highlight w:val="none"/>
              </w:rPr>
            </w:pPr>
            <w:r>
              <w:rPr>
                <w:rFonts w:ascii="Arial" w:hAnsi="Arial" w:eastAsia="宋体" w:cs="Arial"/>
                <w:color w:val="auto"/>
                <w:szCs w:val="21"/>
                <w:highlight w:val="none"/>
              </w:rPr>
              <w:t>（七）保险</w:t>
            </w:r>
          </w:p>
        </w:tc>
        <w:tc>
          <w:tcPr>
            <w:tcW w:w="8424" w:type="dxa"/>
            <w:gridSpan w:val="4"/>
            <w:shd w:val="clear" w:color="auto" w:fill="auto"/>
          </w:tcPr>
          <w:p w14:paraId="3D5E68FF">
            <w:pPr>
              <w:adjustRightInd w:val="0"/>
              <w:snapToGrid w:val="0"/>
              <w:spacing w:line="360" w:lineRule="exact"/>
              <w:rPr>
                <w:rFonts w:ascii="Arial" w:hAnsi="Arial" w:eastAsia="宋体" w:cs="Arial"/>
                <w:color w:val="auto"/>
                <w:szCs w:val="21"/>
                <w:highlight w:val="none"/>
              </w:rPr>
            </w:pPr>
            <w:r>
              <w:rPr>
                <w:rFonts w:ascii="Arial" w:hAnsi="Arial" w:eastAsia="宋体" w:cs="Arial"/>
                <w:bCs/>
                <w:color w:val="auto"/>
                <w:kern w:val="0"/>
                <w:szCs w:val="21"/>
                <w:highlight w:val="none"/>
              </w:rPr>
              <w:t>若</w:t>
            </w:r>
            <w:r>
              <w:rPr>
                <w:rFonts w:hint="eastAsia" w:ascii="Arial" w:hAnsi="Arial" w:eastAsia="宋体" w:cs="Arial"/>
                <w:bCs/>
                <w:color w:val="auto"/>
                <w:kern w:val="0"/>
                <w:szCs w:val="21"/>
                <w:highlight w:val="none"/>
              </w:rPr>
              <w:t>供应商</w:t>
            </w:r>
            <w:r>
              <w:rPr>
                <w:rFonts w:ascii="Arial" w:hAnsi="Arial" w:eastAsia="宋体" w:cs="Arial"/>
                <w:bCs/>
                <w:color w:val="auto"/>
                <w:kern w:val="0"/>
                <w:szCs w:val="21"/>
                <w:highlight w:val="none"/>
              </w:rPr>
              <w:t>为本项目标的及标的涉及的相关材料、设备、人员、运输等购买保险的，相关费用由</w:t>
            </w:r>
            <w:r>
              <w:rPr>
                <w:rFonts w:hint="eastAsia" w:ascii="Arial" w:hAnsi="Arial" w:eastAsia="宋体" w:cs="Arial"/>
                <w:bCs/>
                <w:color w:val="auto"/>
                <w:kern w:val="0"/>
                <w:szCs w:val="21"/>
                <w:highlight w:val="none"/>
              </w:rPr>
              <w:t>供应商</w:t>
            </w:r>
            <w:r>
              <w:rPr>
                <w:rFonts w:ascii="Arial" w:hAnsi="Arial" w:eastAsia="宋体" w:cs="Arial"/>
                <w:bCs/>
                <w:color w:val="auto"/>
                <w:kern w:val="0"/>
                <w:szCs w:val="21"/>
                <w:highlight w:val="none"/>
              </w:rPr>
              <w:t>自行承担。</w:t>
            </w:r>
          </w:p>
        </w:tc>
      </w:tr>
      <w:tr w14:paraId="1E41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gridSpan w:val="2"/>
            <w:vAlign w:val="center"/>
          </w:tcPr>
          <w:p w14:paraId="773E32E4">
            <w:pPr>
              <w:widowControl/>
              <w:spacing w:line="360" w:lineRule="exact"/>
              <w:jc w:val="center"/>
              <w:rPr>
                <w:rFonts w:ascii="Arial" w:hAnsi="Arial" w:eastAsia="宋体" w:cs="Arial"/>
                <w:color w:val="auto"/>
                <w:szCs w:val="21"/>
                <w:highlight w:val="none"/>
              </w:rPr>
            </w:pPr>
            <w:r>
              <w:rPr>
                <w:rFonts w:ascii="Arial" w:hAnsi="Arial" w:eastAsia="宋体" w:cs="Arial"/>
                <w:bCs/>
                <w:color w:val="auto"/>
                <w:kern w:val="0"/>
                <w:szCs w:val="21"/>
                <w:highlight w:val="none"/>
              </w:rPr>
              <w:t>（八）验收标准</w:t>
            </w:r>
          </w:p>
        </w:tc>
        <w:tc>
          <w:tcPr>
            <w:tcW w:w="8424" w:type="dxa"/>
            <w:gridSpan w:val="4"/>
            <w:shd w:val="clear" w:color="auto" w:fill="auto"/>
          </w:tcPr>
          <w:p w14:paraId="0E61D552">
            <w:pPr>
              <w:spacing w:line="360" w:lineRule="exact"/>
              <w:rPr>
                <w:rFonts w:ascii="Arial" w:hAnsi="Arial" w:eastAsia="宋体" w:cs="Arial"/>
                <w:color w:val="auto"/>
                <w:szCs w:val="21"/>
                <w:highlight w:val="none"/>
              </w:rPr>
            </w:pPr>
            <w:r>
              <w:rPr>
                <w:rFonts w:ascii="Arial" w:hAnsi="Arial" w:eastAsia="宋体" w:cs="Arial"/>
                <w:color w:val="auto"/>
                <w:szCs w:val="21"/>
                <w:highlight w:val="none"/>
              </w:rPr>
              <w:t>（1）质量标准：本项目执行国家相关标准、行业标准、地方标准或者其他标准、规范。如具体采购需求与标准、规范不一致的，高于标准、规范的按具体采购需求执行；低于标准、规范的按标准、规范执行。</w:t>
            </w:r>
            <w:r>
              <w:rPr>
                <w:rFonts w:hint="eastAsia" w:ascii="Arial" w:hAnsi="Arial" w:eastAsia="宋体" w:cs="Arial"/>
                <w:bCs/>
                <w:color w:val="auto"/>
                <w:kern w:val="0"/>
                <w:szCs w:val="21"/>
                <w:highlight w:val="none"/>
              </w:rPr>
              <w:t>供应商</w:t>
            </w:r>
            <w:r>
              <w:rPr>
                <w:rFonts w:ascii="Arial" w:hAnsi="Arial" w:eastAsia="宋体" w:cs="Arial"/>
                <w:color w:val="auto"/>
                <w:szCs w:val="21"/>
                <w:highlight w:val="none"/>
              </w:rPr>
              <w:t>所提供的产品必须是全新、完好、无破损、未经使用的原装产品，产品符合制造厂家合格产品的出厂质量标准，且在正常安装、使用和保养条件下，其使用寿命期内各项指标均达到质量要求。</w:t>
            </w:r>
          </w:p>
          <w:p w14:paraId="74293A43">
            <w:pPr>
              <w:spacing w:line="360" w:lineRule="exact"/>
              <w:rPr>
                <w:rFonts w:ascii="Arial" w:hAnsi="Arial" w:eastAsia="宋体" w:cs="Arial"/>
                <w:color w:val="auto"/>
                <w:szCs w:val="21"/>
                <w:highlight w:val="none"/>
              </w:rPr>
            </w:pPr>
            <w:r>
              <w:rPr>
                <w:rFonts w:ascii="Arial" w:hAnsi="Arial" w:eastAsia="宋体" w:cs="Arial"/>
                <w:color w:val="auto"/>
                <w:szCs w:val="21"/>
                <w:highlight w:val="none"/>
              </w:rPr>
              <w:t>（2）产品到货后，采购人现场根据</w:t>
            </w:r>
            <w:r>
              <w:rPr>
                <w:rFonts w:hint="eastAsia" w:ascii="Arial" w:hAnsi="Arial" w:eastAsia="宋体" w:cs="Arial"/>
                <w:color w:val="auto"/>
                <w:szCs w:val="21"/>
                <w:highlight w:val="none"/>
              </w:rPr>
              <w:t>采购</w:t>
            </w:r>
            <w:r>
              <w:rPr>
                <w:rFonts w:ascii="Arial" w:hAnsi="Arial" w:eastAsia="宋体" w:cs="Arial"/>
                <w:color w:val="auto"/>
                <w:szCs w:val="21"/>
                <w:highlight w:val="none"/>
              </w:rPr>
              <w:t>文件要求及</w:t>
            </w:r>
            <w:r>
              <w:rPr>
                <w:rFonts w:hint="eastAsia" w:ascii="Arial" w:hAnsi="Arial" w:eastAsia="宋体" w:cs="Arial"/>
                <w:color w:val="auto"/>
                <w:szCs w:val="21"/>
                <w:highlight w:val="none"/>
              </w:rPr>
              <w:t>响应</w:t>
            </w:r>
            <w:r>
              <w:rPr>
                <w:rFonts w:ascii="Arial" w:hAnsi="Arial" w:eastAsia="宋体" w:cs="Arial"/>
                <w:color w:val="auto"/>
                <w:szCs w:val="21"/>
                <w:highlight w:val="none"/>
              </w:rPr>
              <w:t>文件承诺逐条对应进行核验（含测试或试运行），核验不合格的，采购人有权不予验收，同时报相关监督管理部门，由此造成采购人经济损失的由</w:t>
            </w:r>
            <w:r>
              <w:rPr>
                <w:rFonts w:hint="eastAsia" w:ascii="Arial" w:hAnsi="Arial" w:eastAsia="宋体" w:cs="Arial"/>
                <w:bCs/>
                <w:color w:val="auto"/>
                <w:kern w:val="0"/>
                <w:szCs w:val="21"/>
                <w:highlight w:val="none"/>
              </w:rPr>
              <w:t>成交供应商</w:t>
            </w:r>
            <w:r>
              <w:rPr>
                <w:rFonts w:ascii="Arial" w:hAnsi="Arial" w:eastAsia="宋体" w:cs="Arial"/>
                <w:color w:val="auto"/>
                <w:szCs w:val="21"/>
                <w:highlight w:val="none"/>
              </w:rPr>
              <w:t>负责承担全部赔偿责任。</w:t>
            </w:r>
          </w:p>
          <w:p w14:paraId="505CBE61">
            <w:pPr>
              <w:spacing w:line="360" w:lineRule="exact"/>
              <w:rPr>
                <w:rFonts w:ascii="Arial" w:hAnsi="Arial" w:eastAsia="宋体" w:cs="Arial"/>
                <w:color w:val="auto"/>
                <w:szCs w:val="21"/>
                <w:highlight w:val="none"/>
              </w:rPr>
            </w:pPr>
            <w:r>
              <w:rPr>
                <w:rFonts w:ascii="Arial" w:hAnsi="Arial" w:eastAsia="宋体" w:cs="Arial"/>
                <w:color w:val="auto"/>
                <w:szCs w:val="21"/>
                <w:highlight w:val="none"/>
              </w:rPr>
              <w:t>（3）设备开机试运行，测试设备的技术性能指标，确认各项功能正常运行，同时检查随机文件应齐整。</w:t>
            </w:r>
          </w:p>
          <w:p w14:paraId="2B2093B0">
            <w:pPr>
              <w:spacing w:line="360" w:lineRule="exact"/>
              <w:rPr>
                <w:rFonts w:ascii="Arial" w:hAnsi="Arial" w:eastAsia="宋体" w:cs="Arial"/>
                <w:color w:val="auto"/>
                <w:szCs w:val="21"/>
                <w:highlight w:val="none"/>
              </w:rPr>
            </w:pPr>
            <w:r>
              <w:rPr>
                <w:rFonts w:ascii="Arial" w:hAnsi="Arial" w:eastAsia="宋体" w:cs="Arial"/>
                <w:color w:val="auto"/>
                <w:szCs w:val="21"/>
                <w:highlight w:val="none"/>
              </w:rPr>
              <w:t>（4）验收时，采购人有权邀请国家认可的</w:t>
            </w:r>
            <w:r>
              <w:rPr>
                <w:rFonts w:ascii="Arial" w:hAnsi="Arial" w:eastAsia="宋体" w:cs="Arial"/>
                <w:bCs/>
                <w:color w:val="auto"/>
                <w:szCs w:val="21"/>
                <w:highlight w:val="none"/>
              </w:rPr>
              <w:t>第三方检测计量单位到现场进行校准</w:t>
            </w:r>
            <w:r>
              <w:rPr>
                <w:rFonts w:ascii="Arial" w:hAnsi="Arial" w:eastAsia="宋体" w:cs="Arial"/>
                <w:color w:val="auto"/>
                <w:szCs w:val="21"/>
                <w:highlight w:val="none"/>
              </w:rPr>
              <w:t>，并出具校准报告，</w:t>
            </w:r>
            <w:r>
              <w:rPr>
                <w:rFonts w:ascii="Arial" w:hAnsi="Arial" w:eastAsia="宋体" w:cs="Arial"/>
                <w:bCs/>
                <w:color w:val="auto"/>
                <w:szCs w:val="21"/>
                <w:highlight w:val="none"/>
              </w:rPr>
              <w:t>所涉及的相关费用</w:t>
            </w:r>
            <w:r>
              <w:rPr>
                <w:rFonts w:ascii="Arial" w:hAnsi="Arial" w:eastAsia="宋体" w:cs="Arial"/>
                <w:color w:val="auto"/>
                <w:szCs w:val="21"/>
                <w:highlight w:val="none"/>
              </w:rPr>
              <w:t>由</w:t>
            </w:r>
            <w:r>
              <w:rPr>
                <w:rFonts w:hint="eastAsia" w:ascii="Arial" w:hAnsi="Arial" w:eastAsia="宋体" w:cs="Arial"/>
                <w:bCs/>
                <w:color w:val="auto"/>
                <w:kern w:val="0"/>
                <w:szCs w:val="21"/>
                <w:highlight w:val="none"/>
              </w:rPr>
              <w:t>成交供应商</w:t>
            </w:r>
            <w:r>
              <w:rPr>
                <w:rFonts w:ascii="Arial" w:hAnsi="Arial" w:eastAsia="宋体" w:cs="Arial"/>
                <w:color w:val="auto"/>
                <w:szCs w:val="21"/>
                <w:highlight w:val="none"/>
              </w:rPr>
              <w:t>承担（</w:t>
            </w:r>
            <w:r>
              <w:rPr>
                <w:rFonts w:hint="eastAsia" w:ascii="Arial" w:hAnsi="Arial" w:eastAsia="宋体" w:cs="Arial"/>
                <w:bCs/>
                <w:color w:val="auto"/>
                <w:kern w:val="0"/>
                <w:szCs w:val="21"/>
                <w:highlight w:val="none"/>
              </w:rPr>
              <w:t>供应商</w:t>
            </w:r>
            <w:r>
              <w:rPr>
                <w:rFonts w:ascii="Arial" w:hAnsi="Arial" w:eastAsia="宋体" w:cs="Arial"/>
                <w:color w:val="auto"/>
                <w:szCs w:val="21"/>
                <w:highlight w:val="none"/>
              </w:rPr>
              <w:t>自行将费用综合考虑进入</w:t>
            </w:r>
            <w:r>
              <w:rPr>
                <w:rFonts w:hint="eastAsia" w:ascii="Arial" w:hAnsi="Arial" w:eastAsia="宋体" w:cs="Arial"/>
                <w:color w:val="auto"/>
                <w:szCs w:val="21"/>
                <w:highlight w:val="none"/>
              </w:rPr>
              <w:t>响应</w:t>
            </w:r>
            <w:r>
              <w:rPr>
                <w:rFonts w:ascii="Arial" w:hAnsi="Arial" w:eastAsia="宋体" w:cs="Arial"/>
                <w:color w:val="auto"/>
                <w:szCs w:val="21"/>
                <w:highlight w:val="none"/>
              </w:rPr>
              <w:t>报价中）</w:t>
            </w:r>
            <w:r>
              <w:rPr>
                <w:rFonts w:ascii="Arial" w:hAnsi="Arial" w:eastAsia="宋体" w:cs="Arial"/>
                <w:bCs/>
                <w:color w:val="auto"/>
                <w:szCs w:val="21"/>
                <w:highlight w:val="none"/>
              </w:rPr>
              <w:t>，采购人不再另行支付。校准不合格的，采购人不予验收。</w:t>
            </w:r>
          </w:p>
          <w:p w14:paraId="42A29633">
            <w:pPr>
              <w:adjustRightInd w:val="0"/>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（5）因产品质量问题发生争议的，应邀请国家认可的质量检测机构对产品质量进行鉴定。产品符合标准的，鉴定费由采购人承担；产品不符合标准的，鉴定费由</w:t>
            </w:r>
            <w:r>
              <w:rPr>
                <w:rFonts w:hint="eastAsia" w:ascii="Arial" w:hAnsi="Arial" w:eastAsia="宋体" w:cs="Arial"/>
                <w:bCs/>
                <w:color w:val="auto"/>
                <w:kern w:val="0"/>
                <w:szCs w:val="21"/>
                <w:highlight w:val="none"/>
              </w:rPr>
              <w:t>成交供应商</w:t>
            </w:r>
            <w:r>
              <w:rPr>
                <w:rFonts w:ascii="Arial" w:hAnsi="Arial" w:eastAsia="宋体" w:cs="Arial"/>
                <w:color w:val="auto"/>
                <w:szCs w:val="21"/>
                <w:highlight w:val="none"/>
              </w:rPr>
              <w:t>承担。</w:t>
            </w:r>
          </w:p>
          <w:p w14:paraId="64AFFB38">
            <w:pPr>
              <w:spacing w:line="360" w:lineRule="exact"/>
              <w:rPr>
                <w:rFonts w:ascii="Arial" w:hAnsi="Arial" w:eastAsia="宋体" w:cs="Arial"/>
                <w:color w:val="auto"/>
                <w:szCs w:val="21"/>
                <w:highlight w:val="none"/>
              </w:rPr>
            </w:pPr>
            <w:r>
              <w:rPr>
                <w:rFonts w:ascii="Arial" w:hAnsi="Arial" w:eastAsia="宋体" w:cs="Arial"/>
                <w:color w:val="auto"/>
                <w:szCs w:val="21"/>
                <w:highlight w:val="none"/>
              </w:rPr>
              <w:t>（6）供货前采购人有权要求成交供应商对</w:t>
            </w:r>
            <w:r>
              <w:rPr>
                <w:rFonts w:hint="eastAsia" w:ascii="Arial" w:hAnsi="Arial" w:eastAsia="宋体" w:cs="Arial"/>
                <w:color w:val="auto"/>
                <w:szCs w:val="21"/>
                <w:highlight w:val="none"/>
              </w:rPr>
              <w:t>响应产品</w:t>
            </w:r>
            <w:r>
              <w:rPr>
                <w:rFonts w:ascii="Arial" w:hAnsi="Arial" w:eastAsia="宋体" w:cs="Arial"/>
                <w:color w:val="auto"/>
                <w:szCs w:val="21"/>
                <w:highlight w:val="none"/>
              </w:rPr>
              <w:t>型号按照</w:t>
            </w:r>
            <w:r>
              <w:rPr>
                <w:rFonts w:hint="eastAsia" w:ascii="Arial" w:hAnsi="Arial" w:eastAsia="宋体" w:cs="Arial"/>
                <w:color w:val="auto"/>
                <w:szCs w:val="21"/>
                <w:highlight w:val="none"/>
              </w:rPr>
              <w:t>采购人</w:t>
            </w:r>
            <w:r>
              <w:rPr>
                <w:rFonts w:ascii="Arial" w:hAnsi="Arial" w:eastAsia="宋体" w:cs="Arial"/>
                <w:color w:val="auto"/>
                <w:szCs w:val="21"/>
                <w:highlight w:val="none"/>
              </w:rPr>
              <w:t>需求进行仪器全面测试，成交供应商应在采购人提出测试要求的5天内提供相应设备运行测试实验结果并加盖厂家公章，否则采购人有权终止合同，不予验收。</w:t>
            </w:r>
          </w:p>
          <w:p w14:paraId="5E000FF3">
            <w:pPr>
              <w:spacing w:line="360" w:lineRule="exact"/>
              <w:rPr>
                <w:rFonts w:ascii="Arial" w:hAnsi="Arial" w:eastAsia="宋体" w:cs="Arial"/>
                <w:color w:val="auto"/>
                <w:szCs w:val="21"/>
                <w:highlight w:val="none"/>
              </w:rPr>
            </w:pPr>
            <w:r>
              <w:rPr>
                <w:rFonts w:ascii="Arial" w:hAnsi="Arial" w:eastAsia="宋体" w:cs="Arial"/>
                <w:color w:val="auto"/>
                <w:szCs w:val="21"/>
                <w:highlight w:val="none"/>
              </w:rPr>
              <w:t>（7）为确保产品质量和服务，供货时成交供应商必须向采购人提供</w:t>
            </w:r>
            <w:r>
              <w:rPr>
                <w:rFonts w:hint="eastAsia" w:ascii="Arial" w:hAnsi="Arial" w:eastAsia="宋体" w:cs="Arial"/>
                <w:color w:val="auto"/>
                <w:szCs w:val="21"/>
                <w:highlight w:val="none"/>
              </w:rPr>
              <w:t>响应产品</w:t>
            </w:r>
            <w:r>
              <w:rPr>
                <w:rFonts w:ascii="Arial" w:hAnsi="Arial" w:eastAsia="宋体" w:cs="Arial"/>
                <w:color w:val="auto"/>
                <w:szCs w:val="21"/>
                <w:highlight w:val="none"/>
              </w:rPr>
              <w:t>生产厂家针对本项目本产品出具的售后服务承诺书原件，否则，不予验收。</w:t>
            </w:r>
          </w:p>
        </w:tc>
      </w:tr>
      <w:tr w14:paraId="564B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gridSpan w:val="2"/>
            <w:vAlign w:val="center"/>
          </w:tcPr>
          <w:p w14:paraId="63AFBB33">
            <w:pPr>
              <w:spacing w:line="320" w:lineRule="exact"/>
              <w:jc w:val="center"/>
              <w:rPr>
                <w:rFonts w:ascii="Arial" w:hAnsi="Arial" w:eastAsia="宋体" w:cs="Arial"/>
                <w:color w:val="auto"/>
                <w:szCs w:val="21"/>
                <w:highlight w:val="none"/>
              </w:rPr>
            </w:pPr>
            <w:r>
              <w:rPr>
                <w:rFonts w:ascii="Arial" w:hAnsi="Arial" w:eastAsia="宋体" w:cs="Arial"/>
                <w:color w:val="auto"/>
                <w:szCs w:val="21"/>
                <w:highlight w:val="none"/>
              </w:rPr>
              <w:t>（九）知识产权</w:t>
            </w:r>
          </w:p>
        </w:tc>
        <w:tc>
          <w:tcPr>
            <w:tcW w:w="8424" w:type="dxa"/>
            <w:gridSpan w:val="4"/>
            <w:shd w:val="clear" w:color="auto" w:fill="auto"/>
          </w:tcPr>
          <w:p w14:paraId="2E92B76F">
            <w:pPr>
              <w:spacing w:line="360" w:lineRule="exact"/>
              <w:jc w:val="left"/>
              <w:rPr>
                <w:rFonts w:ascii="Arial" w:hAnsi="Arial" w:eastAsia="宋体" w:cs="Arial"/>
                <w:color w:val="auto"/>
                <w:szCs w:val="21"/>
                <w:highlight w:val="none"/>
              </w:rPr>
            </w:pPr>
            <w:r>
              <w:rPr>
                <w:rFonts w:hint="eastAsia" w:ascii="Arial" w:hAnsi="Arial" w:eastAsia="宋体" w:cs="Arial"/>
                <w:bCs/>
                <w:color w:val="auto"/>
                <w:kern w:val="0"/>
                <w:szCs w:val="21"/>
                <w:highlight w:val="none"/>
              </w:rPr>
              <w:t>供应商</w:t>
            </w:r>
            <w:r>
              <w:rPr>
                <w:rFonts w:ascii="Arial" w:hAnsi="Arial" w:eastAsia="宋体" w:cs="Arial"/>
                <w:color w:val="auto"/>
                <w:szCs w:val="21"/>
                <w:highlight w:val="none"/>
              </w:rPr>
              <w:t>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w:t>
            </w:r>
            <w:r>
              <w:rPr>
                <w:rFonts w:hint="eastAsia" w:ascii="Arial" w:hAnsi="Arial" w:eastAsia="宋体" w:cs="Arial"/>
                <w:bCs/>
                <w:color w:val="auto"/>
                <w:kern w:val="0"/>
                <w:szCs w:val="21"/>
                <w:highlight w:val="none"/>
              </w:rPr>
              <w:t>供应商</w:t>
            </w:r>
            <w:r>
              <w:rPr>
                <w:rFonts w:ascii="Arial" w:hAnsi="Arial" w:eastAsia="宋体" w:cs="Arial"/>
                <w:color w:val="auto"/>
                <w:szCs w:val="21"/>
                <w:highlight w:val="none"/>
              </w:rPr>
              <w:t>负责解决由此引起的一切纠纷，采购人有权追究</w:t>
            </w:r>
            <w:r>
              <w:rPr>
                <w:rFonts w:hint="eastAsia" w:ascii="Arial" w:hAnsi="Arial" w:eastAsia="宋体" w:cs="Arial"/>
                <w:bCs/>
                <w:color w:val="auto"/>
                <w:kern w:val="0"/>
                <w:szCs w:val="21"/>
                <w:highlight w:val="none"/>
              </w:rPr>
              <w:t>成交供应商</w:t>
            </w:r>
            <w:r>
              <w:rPr>
                <w:rFonts w:ascii="Arial" w:hAnsi="Arial" w:eastAsia="宋体" w:cs="Arial"/>
                <w:color w:val="auto"/>
                <w:szCs w:val="21"/>
                <w:highlight w:val="none"/>
              </w:rPr>
              <w:t>的法律责任，其不利后果</w:t>
            </w:r>
            <w:r>
              <w:rPr>
                <w:rFonts w:hint="eastAsia" w:ascii="Arial" w:hAnsi="Arial" w:eastAsia="宋体" w:cs="Arial"/>
                <w:color w:val="auto"/>
                <w:szCs w:val="21"/>
                <w:highlight w:val="none"/>
              </w:rPr>
              <w:t>由</w:t>
            </w:r>
            <w:r>
              <w:rPr>
                <w:rFonts w:hint="eastAsia" w:ascii="Arial" w:hAnsi="Arial" w:eastAsia="宋体" w:cs="Arial"/>
                <w:bCs/>
                <w:color w:val="auto"/>
                <w:kern w:val="0"/>
                <w:szCs w:val="21"/>
                <w:highlight w:val="none"/>
              </w:rPr>
              <w:t>供应商</w:t>
            </w:r>
            <w:r>
              <w:rPr>
                <w:rFonts w:ascii="Arial" w:hAnsi="Arial" w:eastAsia="宋体" w:cs="Arial"/>
                <w:color w:val="auto"/>
                <w:szCs w:val="21"/>
                <w:highlight w:val="none"/>
              </w:rPr>
              <w:t>全部承担。</w:t>
            </w:r>
          </w:p>
        </w:tc>
      </w:tr>
      <w:tr w14:paraId="1511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gridSpan w:val="2"/>
            <w:vAlign w:val="center"/>
          </w:tcPr>
          <w:p w14:paraId="1ED73BC0">
            <w:pPr>
              <w:jc w:val="center"/>
              <w:rPr>
                <w:rFonts w:ascii="Arial" w:hAnsi="Arial" w:eastAsia="宋体" w:cs="Arial"/>
                <w:color w:val="auto"/>
                <w:szCs w:val="21"/>
                <w:highlight w:val="none"/>
              </w:rPr>
            </w:pPr>
            <w:r>
              <w:rPr>
                <w:rFonts w:ascii="Arial" w:hAnsi="Arial" w:eastAsia="宋体" w:cs="Arial"/>
                <w:color w:val="auto"/>
                <w:szCs w:val="21"/>
                <w:highlight w:val="none"/>
              </w:rPr>
              <w:t>（十）履约保证金</w:t>
            </w:r>
          </w:p>
        </w:tc>
        <w:tc>
          <w:tcPr>
            <w:tcW w:w="8424" w:type="dxa"/>
            <w:gridSpan w:val="4"/>
            <w:shd w:val="clear" w:color="auto" w:fill="auto"/>
          </w:tcPr>
          <w:p w14:paraId="52AAFE4A">
            <w:pPr>
              <w:widowControl/>
              <w:adjustRightInd w:val="0"/>
              <w:snapToGrid w:val="0"/>
              <w:spacing w:line="300" w:lineRule="auto"/>
              <w:jc w:val="left"/>
              <w:rPr>
                <w:rFonts w:ascii="Arial" w:hAnsi="Arial" w:eastAsia="宋体" w:cs="Arial"/>
                <w:color w:val="auto"/>
                <w:szCs w:val="21"/>
                <w:highlight w:val="none"/>
              </w:rPr>
            </w:pPr>
            <w:r>
              <w:rPr>
                <w:rFonts w:ascii="Arial" w:hAnsi="Arial" w:eastAsia="宋体" w:cs="Arial"/>
                <w:color w:val="auto"/>
                <w:szCs w:val="21"/>
                <w:highlight w:val="none"/>
              </w:rPr>
              <w:t>履约保证金：在合同签订之前，成交供应商按成交金额的5%（如成交供应商为中小微企业的，按成交金额的2%））向采购人交纳履约保证金。履约保证金交纳方式：转账或电汇等非现金形式。履约保证金指定账户【开户名称：桂林理工大学，开户银行：中国银行桂林分行，账号：613257488744】。成交供应商须按上述规定的金额、方式将履约保证金转入桂林理工大学账户。否则，不予签订合同。</w:t>
            </w:r>
          </w:p>
          <w:p w14:paraId="3670D38C">
            <w:pPr>
              <w:widowControl/>
              <w:jc w:val="left"/>
              <w:rPr>
                <w:rFonts w:ascii="Arial" w:hAnsi="Arial" w:eastAsia="宋体" w:cs="Arial"/>
                <w:color w:val="auto"/>
                <w:szCs w:val="21"/>
                <w:highlight w:val="none"/>
              </w:rPr>
            </w:pPr>
            <w:r>
              <w:rPr>
                <w:rFonts w:ascii="Arial" w:hAnsi="Arial" w:eastAsia="宋体" w:cs="Arial"/>
                <w:color w:val="auto"/>
                <w:szCs w:val="21"/>
                <w:highlight w:val="none"/>
              </w:rPr>
              <w:t>履约保证金在成交供应商履行完合同约定的权利义务（包括免费保修服务等）事项后7个工作日内，由成交供应商凭履约保证金的申请表及合同向采购人申请办理履约保证金退还手续，采购人在收到合格材料后5个工作日内以银行转账方式如数退还（不计利息）。</w:t>
            </w:r>
          </w:p>
        </w:tc>
      </w:tr>
      <w:tr w14:paraId="3EB1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8" w:type="dxa"/>
            <w:gridSpan w:val="2"/>
            <w:vAlign w:val="center"/>
          </w:tcPr>
          <w:p w14:paraId="7AC2CDEB">
            <w:pPr>
              <w:jc w:val="center"/>
              <w:rPr>
                <w:rFonts w:ascii="Arial" w:hAnsi="Arial" w:eastAsia="宋体" w:cs="Arial"/>
                <w:color w:val="auto"/>
                <w:szCs w:val="21"/>
                <w:highlight w:val="none"/>
              </w:rPr>
            </w:pPr>
            <w:r>
              <w:rPr>
                <w:rFonts w:ascii="Arial" w:hAnsi="Arial" w:eastAsia="宋体" w:cs="Arial"/>
                <w:color w:val="auto"/>
                <w:szCs w:val="21"/>
                <w:highlight w:val="none"/>
              </w:rPr>
              <w:t>（十一）违约责任</w:t>
            </w:r>
          </w:p>
        </w:tc>
        <w:tc>
          <w:tcPr>
            <w:tcW w:w="8424" w:type="dxa"/>
            <w:gridSpan w:val="4"/>
            <w:shd w:val="clear" w:color="auto" w:fill="auto"/>
          </w:tcPr>
          <w:p w14:paraId="2DD4AA95">
            <w:pPr>
              <w:adjustRightInd w:val="0"/>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1.成交供应商所提供的产品名称、生产厂家、品牌、规格型号、技术参数等不符合投标（响应）文件承诺或质量不合格的，应在2日内及时更换，更换不及时的按逾期交货处罚；因质量问题</w:t>
            </w:r>
            <w:r>
              <w:rPr>
                <w:rFonts w:hint="eastAsia" w:ascii="Arial" w:hAnsi="Arial" w:eastAsia="宋体" w:cs="Arial"/>
                <w:color w:val="auto"/>
                <w:szCs w:val="21"/>
                <w:highlight w:val="none"/>
              </w:rPr>
              <w:t>采购人</w:t>
            </w:r>
            <w:r>
              <w:rPr>
                <w:rFonts w:ascii="Arial" w:hAnsi="Arial" w:eastAsia="宋体" w:cs="Arial"/>
                <w:color w:val="auto"/>
                <w:szCs w:val="21"/>
                <w:highlight w:val="none"/>
              </w:rPr>
              <w:t>不同意接收的或特殊情况</w:t>
            </w:r>
            <w:r>
              <w:rPr>
                <w:rFonts w:hint="eastAsia" w:ascii="Arial" w:hAnsi="Arial" w:eastAsia="宋体" w:cs="Arial"/>
                <w:color w:val="auto"/>
                <w:szCs w:val="21"/>
                <w:highlight w:val="none"/>
              </w:rPr>
              <w:t>采购人</w:t>
            </w:r>
            <w:r>
              <w:rPr>
                <w:rFonts w:ascii="Arial" w:hAnsi="Arial" w:eastAsia="宋体" w:cs="Arial"/>
                <w:color w:val="auto"/>
                <w:szCs w:val="21"/>
                <w:highlight w:val="none"/>
              </w:rPr>
              <w:t>同意接收的，成交供应商应向</w:t>
            </w:r>
            <w:r>
              <w:rPr>
                <w:rFonts w:hint="eastAsia" w:ascii="Arial" w:hAnsi="Arial" w:eastAsia="宋体" w:cs="Arial"/>
                <w:color w:val="auto"/>
                <w:szCs w:val="21"/>
                <w:highlight w:val="none"/>
              </w:rPr>
              <w:t>采购人</w:t>
            </w:r>
            <w:r>
              <w:rPr>
                <w:rFonts w:ascii="Arial" w:hAnsi="Arial" w:eastAsia="宋体" w:cs="Arial"/>
                <w:color w:val="auto"/>
                <w:szCs w:val="21"/>
                <w:highlight w:val="none"/>
              </w:rPr>
              <w:t>支付违约货款额 5%违约金并赔偿</w:t>
            </w:r>
            <w:r>
              <w:rPr>
                <w:rFonts w:hint="eastAsia" w:ascii="Arial" w:hAnsi="Arial" w:eastAsia="宋体" w:cs="Arial"/>
                <w:color w:val="auto"/>
                <w:szCs w:val="21"/>
                <w:highlight w:val="none"/>
              </w:rPr>
              <w:t>采购人</w:t>
            </w:r>
            <w:r>
              <w:rPr>
                <w:rFonts w:ascii="Arial" w:hAnsi="Arial" w:eastAsia="宋体" w:cs="Arial"/>
                <w:color w:val="auto"/>
                <w:szCs w:val="21"/>
                <w:highlight w:val="none"/>
              </w:rPr>
              <w:t>经济损失。</w:t>
            </w:r>
          </w:p>
          <w:p w14:paraId="451AA1CC">
            <w:pPr>
              <w:adjustRightInd w:val="0"/>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2.成交供应商提供的货物如侵犯了第三方合法权益而引发的任何纠纷或诉讼，均由</w:t>
            </w:r>
            <w:r>
              <w:rPr>
                <w:rFonts w:hint="eastAsia" w:ascii="Arial" w:hAnsi="Arial" w:eastAsia="宋体" w:cs="Arial"/>
                <w:color w:val="auto"/>
                <w:szCs w:val="21"/>
                <w:highlight w:val="none"/>
              </w:rPr>
              <w:t>成交供应商</w:t>
            </w:r>
            <w:r>
              <w:rPr>
                <w:rFonts w:ascii="Arial" w:hAnsi="Arial" w:eastAsia="宋体" w:cs="Arial"/>
                <w:color w:val="auto"/>
                <w:szCs w:val="21"/>
                <w:highlight w:val="none"/>
              </w:rPr>
              <w:t>负责交涉并承担全部责任。</w:t>
            </w:r>
          </w:p>
          <w:p w14:paraId="3D89A3ED">
            <w:pPr>
              <w:adjustRightInd w:val="0"/>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3.因包装、运输引起的货物损坏，按质量不合格处罚。</w:t>
            </w:r>
          </w:p>
          <w:p w14:paraId="086A1954">
            <w:pPr>
              <w:adjustRightInd w:val="0"/>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4.</w:t>
            </w:r>
            <w:r>
              <w:rPr>
                <w:rFonts w:hint="eastAsia" w:ascii="Arial" w:hAnsi="Arial" w:eastAsia="宋体" w:cs="Arial"/>
                <w:color w:val="auto"/>
                <w:szCs w:val="21"/>
                <w:highlight w:val="none"/>
              </w:rPr>
              <w:t>采购人</w:t>
            </w:r>
            <w:r>
              <w:rPr>
                <w:rFonts w:ascii="Arial" w:hAnsi="Arial" w:eastAsia="宋体" w:cs="Arial"/>
                <w:color w:val="auto"/>
                <w:szCs w:val="21"/>
                <w:highlight w:val="none"/>
              </w:rPr>
              <w:t>无故延期接收货物、成交供应商逾期交货的，每天向对方偿付违约货款额3‰违约金，但违约金累计不得超过违约货款额5%，超过7天对方有权解除合同，违约方承担因此给对方造成经济损失；</w:t>
            </w:r>
            <w:r>
              <w:rPr>
                <w:rFonts w:hint="eastAsia" w:ascii="Arial" w:hAnsi="Arial" w:eastAsia="宋体" w:cs="Arial"/>
                <w:color w:val="auto"/>
                <w:szCs w:val="21"/>
                <w:highlight w:val="none"/>
              </w:rPr>
              <w:t>采购人</w:t>
            </w:r>
            <w:r>
              <w:rPr>
                <w:rFonts w:ascii="Arial" w:hAnsi="Arial" w:eastAsia="宋体" w:cs="Arial"/>
                <w:color w:val="auto"/>
                <w:szCs w:val="21"/>
                <w:highlight w:val="none"/>
              </w:rPr>
              <w:t>延期付货款的，每天向成交供应商偿付延期货款额3‰滞纳金，但滞纳金累计不得超过延期货款额5%。</w:t>
            </w:r>
          </w:p>
          <w:p w14:paraId="6F51879D">
            <w:pPr>
              <w:adjustRightInd w:val="0"/>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5.成交供应商未按本合同和投标（响应）文件中规定的服务承诺提供售后服务的，成交供应商应按本合同合计金额 5%向</w:t>
            </w:r>
            <w:r>
              <w:rPr>
                <w:rFonts w:hint="eastAsia" w:ascii="Arial" w:hAnsi="Arial" w:eastAsia="宋体" w:cs="Arial"/>
                <w:color w:val="auto"/>
                <w:szCs w:val="21"/>
                <w:highlight w:val="none"/>
              </w:rPr>
              <w:t>采购人</w:t>
            </w:r>
            <w:r>
              <w:rPr>
                <w:rFonts w:ascii="Arial" w:hAnsi="Arial" w:eastAsia="宋体" w:cs="Arial"/>
                <w:color w:val="auto"/>
                <w:szCs w:val="21"/>
                <w:highlight w:val="none"/>
              </w:rPr>
              <w:t>支付违约金。</w:t>
            </w:r>
          </w:p>
          <w:p w14:paraId="779BDA47">
            <w:pPr>
              <w:adjustRightInd w:val="0"/>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6.成交供应商提供的货物在质量保证期内，因设计、工艺或材料的缺陷和其它质量原因造成的问题，由成交供应商负责，费用从履约保证金中扣除，不足另补。</w:t>
            </w:r>
          </w:p>
          <w:p w14:paraId="7DD402DA">
            <w:pPr>
              <w:adjustRightInd w:val="0"/>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7.其它违约行为按违约货款额5%收取违约金并赔偿经济损失。</w:t>
            </w:r>
          </w:p>
          <w:p w14:paraId="5E34AF84">
            <w:pPr>
              <w:adjustRightInd w:val="0"/>
              <w:snapToGrid w:val="0"/>
              <w:spacing w:line="300" w:lineRule="auto"/>
              <w:rPr>
                <w:rFonts w:ascii="Arial" w:hAnsi="Arial" w:eastAsia="宋体" w:cs="Arial"/>
                <w:color w:val="auto"/>
                <w:szCs w:val="21"/>
                <w:highlight w:val="none"/>
              </w:rPr>
            </w:pPr>
            <w:r>
              <w:rPr>
                <w:rFonts w:ascii="Arial" w:hAnsi="Arial" w:eastAsia="宋体" w:cs="Arial"/>
                <w:color w:val="auto"/>
                <w:szCs w:val="21"/>
                <w:highlight w:val="none"/>
              </w:rPr>
              <w:t>8.成交供应商于响应文件中必须对所有产品的技术参数要求作出真实、有效的响应和承诺。所提供的产品必须为原装正品的、全新的、符合国家有关质量标准的产品。验收前，</w:t>
            </w:r>
            <w:r>
              <w:rPr>
                <w:rFonts w:hint="eastAsia" w:ascii="Arial" w:hAnsi="Arial" w:eastAsia="宋体" w:cs="Arial"/>
                <w:color w:val="auto"/>
                <w:szCs w:val="21"/>
                <w:highlight w:val="none"/>
              </w:rPr>
              <w:t>采购人</w:t>
            </w:r>
            <w:r>
              <w:rPr>
                <w:rFonts w:ascii="Arial" w:hAnsi="Arial" w:eastAsia="宋体" w:cs="Arial"/>
                <w:color w:val="auto"/>
                <w:szCs w:val="21"/>
                <w:highlight w:val="none"/>
              </w:rPr>
              <w:t>现场根据采购文件要求及响应文件承诺对各项参数逐条对应进行核验，核验或检测数据不符合</w:t>
            </w:r>
            <w:r>
              <w:rPr>
                <w:rFonts w:hint="eastAsia" w:ascii="Arial" w:hAnsi="Arial" w:eastAsia="宋体" w:cs="Arial"/>
                <w:color w:val="auto"/>
                <w:szCs w:val="21"/>
                <w:highlight w:val="none"/>
              </w:rPr>
              <w:t>采购人</w:t>
            </w:r>
            <w:r>
              <w:rPr>
                <w:rFonts w:ascii="Arial" w:hAnsi="Arial" w:eastAsia="宋体" w:cs="Arial"/>
                <w:color w:val="auto"/>
                <w:szCs w:val="21"/>
                <w:highlight w:val="none"/>
              </w:rPr>
              <w:t>要求及响应文件承诺的指标的，</w:t>
            </w:r>
            <w:r>
              <w:rPr>
                <w:rFonts w:hint="eastAsia" w:ascii="Arial" w:hAnsi="Arial" w:eastAsia="宋体" w:cs="Arial"/>
                <w:color w:val="auto"/>
                <w:szCs w:val="21"/>
                <w:highlight w:val="none"/>
              </w:rPr>
              <w:t>采购人</w:t>
            </w:r>
            <w:r>
              <w:rPr>
                <w:rFonts w:ascii="Arial" w:hAnsi="Arial" w:eastAsia="宋体" w:cs="Arial"/>
                <w:color w:val="auto"/>
                <w:szCs w:val="21"/>
                <w:highlight w:val="none"/>
              </w:rPr>
              <w:t>有权终止合同执行并全部退货，由此造成</w:t>
            </w:r>
            <w:r>
              <w:rPr>
                <w:rFonts w:hint="eastAsia" w:ascii="Arial" w:hAnsi="Arial" w:eastAsia="宋体" w:cs="Arial"/>
                <w:color w:val="auto"/>
                <w:szCs w:val="21"/>
                <w:highlight w:val="none"/>
              </w:rPr>
              <w:t>采购人</w:t>
            </w:r>
            <w:r>
              <w:rPr>
                <w:rFonts w:ascii="Arial" w:hAnsi="Arial" w:eastAsia="宋体" w:cs="Arial"/>
                <w:color w:val="auto"/>
                <w:szCs w:val="21"/>
                <w:highlight w:val="none"/>
              </w:rPr>
              <w:t>经济损失的由成交供应商负责承担全部赔偿责任并向</w:t>
            </w:r>
            <w:r>
              <w:rPr>
                <w:rFonts w:hint="eastAsia" w:ascii="Arial" w:hAnsi="Arial" w:eastAsia="宋体" w:cs="Arial"/>
                <w:color w:val="auto"/>
                <w:szCs w:val="21"/>
                <w:highlight w:val="none"/>
              </w:rPr>
              <w:t>采购人</w:t>
            </w:r>
            <w:r>
              <w:rPr>
                <w:rFonts w:ascii="Arial" w:hAnsi="Arial" w:eastAsia="宋体" w:cs="Arial"/>
                <w:color w:val="auto"/>
                <w:szCs w:val="21"/>
                <w:highlight w:val="none"/>
              </w:rPr>
              <w:t>支付合同金额的30%违约赔偿金。如有异议，将交由国家认可并具有检验检测资质的第三方机构进行检验，若核验结果的各项参数指标不满足</w:t>
            </w:r>
            <w:r>
              <w:rPr>
                <w:rFonts w:hint="eastAsia" w:ascii="Arial" w:hAnsi="Arial" w:eastAsia="宋体" w:cs="Arial"/>
                <w:color w:val="auto"/>
                <w:szCs w:val="21"/>
                <w:highlight w:val="none"/>
              </w:rPr>
              <w:t>采购人</w:t>
            </w:r>
            <w:r>
              <w:rPr>
                <w:rFonts w:ascii="Arial" w:hAnsi="Arial" w:eastAsia="宋体" w:cs="Arial"/>
                <w:color w:val="auto"/>
                <w:szCs w:val="21"/>
                <w:highlight w:val="none"/>
              </w:rPr>
              <w:t>要求及响应文件承诺的指标要求，所有产生的费用由成交供应商承担，并承担政府采购虚假竞标的相关法律责任。</w:t>
            </w:r>
          </w:p>
        </w:tc>
      </w:tr>
      <w:tr w14:paraId="7EDE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1" w:hRule="atLeast"/>
        </w:trPr>
        <w:tc>
          <w:tcPr>
            <w:tcW w:w="1648" w:type="dxa"/>
            <w:gridSpan w:val="2"/>
            <w:vAlign w:val="center"/>
          </w:tcPr>
          <w:p w14:paraId="1DA1702A">
            <w:pPr>
              <w:jc w:val="center"/>
              <w:rPr>
                <w:rFonts w:ascii="Arial" w:hAnsi="Arial" w:eastAsia="宋体" w:cs="Arial"/>
                <w:color w:val="auto"/>
                <w:szCs w:val="21"/>
                <w:highlight w:val="none"/>
              </w:rPr>
            </w:pPr>
            <w:r>
              <w:rPr>
                <w:rFonts w:ascii="Arial" w:hAnsi="Arial" w:eastAsia="宋体" w:cs="Arial"/>
                <w:color w:val="auto"/>
                <w:szCs w:val="21"/>
                <w:highlight w:val="none"/>
              </w:rPr>
              <w:t>（十二）进口产品说明</w:t>
            </w:r>
          </w:p>
        </w:tc>
        <w:tc>
          <w:tcPr>
            <w:tcW w:w="8424" w:type="dxa"/>
            <w:gridSpan w:val="4"/>
          </w:tcPr>
          <w:p w14:paraId="694E9831">
            <w:pPr>
              <w:adjustRightInd w:val="0"/>
              <w:snapToGrid w:val="0"/>
              <w:spacing w:line="300" w:lineRule="auto"/>
              <w:rPr>
                <w:rFonts w:ascii="Arial" w:hAnsi="Arial" w:eastAsia="宋体" w:cs="Arial"/>
                <w:b/>
                <w:bCs/>
                <w:color w:val="auto"/>
                <w:szCs w:val="21"/>
                <w:highlight w:val="none"/>
              </w:rPr>
            </w:pPr>
            <w:r>
              <w:rPr>
                <w:rFonts w:ascii="Arial" w:hAnsi="Arial" w:eastAsia="宋体" w:cs="Arial"/>
                <w:b/>
                <w:bCs/>
                <w:color w:val="auto"/>
                <w:szCs w:val="21"/>
                <w:highlight w:val="none"/>
              </w:rPr>
              <w:sym w:font="Wingdings 2" w:char="0052"/>
            </w:r>
            <w:r>
              <w:rPr>
                <w:rFonts w:ascii="Arial" w:hAnsi="Arial" w:eastAsia="宋体" w:cs="Arial"/>
                <w:b/>
                <w:bCs/>
                <w:color w:val="auto"/>
                <w:szCs w:val="21"/>
                <w:highlight w:val="none"/>
              </w:rPr>
              <w:t xml:space="preserve"> 本项目标的不接受进口产品参与谈判，如供应商选用进口产品谈判的，响应文件按无效处理。</w:t>
            </w:r>
          </w:p>
          <w:p w14:paraId="0D96B047">
            <w:pPr>
              <w:adjustRightInd w:val="0"/>
              <w:snapToGrid w:val="0"/>
              <w:spacing w:line="300" w:lineRule="auto"/>
              <w:rPr>
                <w:rFonts w:ascii="Arial" w:hAnsi="Arial" w:eastAsia="宋体" w:cs="Arial"/>
                <w:color w:val="auto"/>
                <w:szCs w:val="21"/>
                <w:highlight w:val="none"/>
              </w:rPr>
            </w:pPr>
          </w:p>
          <w:p w14:paraId="1F4AF240">
            <w:pPr>
              <w:adjustRightInd w:val="0"/>
              <w:snapToGrid w:val="0"/>
              <w:spacing w:line="300" w:lineRule="auto"/>
              <w:rPr>
                <w:rFonts w:ascii="Arial" w:hAnsi="Arial" w:eastAsia="宋体" w:cs="Arial"/>
                <w:color w:val="auto"/>
                <w:szCs w:val="21"/>
                <w:highlight w:val="none"/>
              </w:rPr>
            </w:pPr>
            <w:r>
              <w:rPr>
                <w:rFonts w:hint="eastAsia" w:ascii="Arial" w:hAnsi="Arial" w:eastAsia="宋体" w:cs="Arial"/>
                <w:color w:val="auto"/>
                <w:szCs w:val="21"/>
                <w:highlight w:val="none"/>
              </w:rPr>
              <w:t>□ 1.本项目货物已办理进口产品手续，接受进口产品（即通过中国海关报关验放进入中国境内且产自关境外的产品）参与投标。但如选用进口产品时必须为原装进口产品（即通过中国海关报关验放进入中国境内且产自境外的产品），投标报价必须为人民币报价，若投标人选用进口产品投标用人民币之外的其他货币报价的，投标文件作无效处理；同时投标人必须负责办理进口产品所有相关手续并承担所有费用，采购人不再支付除中标价以外的任何费用，采购人协助办理免税审批手续。在进口产品最后报价相同的</w:t>
            </w:r>
            <w:r>
              <w:rPr>
                <w:rFonts w:hint="eastAsia" w:ascii="Arial" w:hAnsi="Arial" w:eastAsia="宋体" w:cs="Arial"/>
                <w:color w:val="auto"/>
                <w:szCs w:val="21"/>
                <w:highlight w:val="none"/>
              </w:rPr>
              <w:t>情况下，优先采购向我国企业转让技术、与我国企业签订消化吸收再创新方案的供应商的进口产品。2.供应商如所竞本项目货物产品为进口产品时，供应商的报价必须为免税价，如项目执行期间遭遇国家相关政策因素加征关税，所产生的加征关税等费用由供应商承担，供应商自行将此项风险综合考虑到投标报价中，采购人不再另行支付涉及的任何费用。</w:t>
            </w:r>
          </w:p>
        </w:tc>
      </w:tr>
      <w:tr w14:paraId="2C45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072" w:type="dxa"/>
            <w:gridSpan w:val="6"/>
            <w:vAlign w:val="center"/>
          </w:tcPr>
          <w:p w14:paraId="42C50AAE">
            <w:pPr>
              <w:snapToGrid w:val="0"/>
              <w:spacing w:line="320" w:lineRule="exact"/>
              <w:jc w:val="left"/>
              <w:rPr>
                <w:rFonts w:ascii="Arial" w:hAnsi="Arial" w:eastAsia="宋体" w:cs="Arial"/>
                <w:color w:val="auto"/>
                <w:szCs w:val="21"/>
                <w:highlight w:val="none"/>
              </w:rPr>
            </w:pPr>
            <w:r>
              <w:rPr>
                <w:rFonts w:ascii="Arial" w:hAnsi="Arial" w:eastAsia="宋体" w:cs="Arial"/>
                <w:b/>
                <w:color w:val="auto"/>
                <w:szCs w:val="21"/>
                <w:highlight w:val="none"/>
              </w:rPr>
              <w:t>四、</w:t>
            </w:r>
            <w:r>
              <w:rPr>
                <w:rFonts w:ascii="Arial" w:hAnsi="Arial" w:eastAsia="宋体" w:cs="Arial"/>
                <w:b/>
                <w:bCs/>
                <w:color w:val="auto"/>
                <w:szCs w:val="21"/>
                <w:highlight w:val="none"/>
              </w:rPr>
              <w:t>与实现项目目标相关的其他要求</w:t>
            </w:r>
          </w:p>
        </w:tc>
      </w:tr>
      <w:tr w14:paraId="5362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2" w:type="dxa"/>
            <w:gridSpan w:val="3"/>
            <w:vAlign w:val="center"/>
          </w:tcPr>
          <w:p w14:paraId="4023FCE3">
            <w:pPr>
              <w:snapToGrid w:val="0"/>
              <w:spacing w:line="320" w:lineRule="exact"/>
              <w:jc w:val="left"/>
              <w:rPr>
                <w:rFonts w:ascii="Arial" w:hAnsi="Arial" w:eastAsia="宋体" w:cs="Arial"/>
                <w:color w:val="auto"/>
                <w:szCs w:val="21"/>
                <w:highlight w:val="none"/>
              </w:rPr>
            </w:pPr>
            <w:r>
              <w:rPr>
                <w:rFonts w:ascii="Arial" w:hAnsi="Arial" w:eastAsia="宋体" w:cs="Arial"/>
                <w:bCs/>
                <w:color w:val="auto"/>
                <w:szCs w:val="21"/>
                <w:highlight w:val="none"/>
              </w:rPr>
              <w:t>（一）其他要求</w:t>
            </w:r>
          </w:p>
        </w:tc>
        <w:tc>
          <w:tcPr>
            <w:tcW w:w="8330" w:type="dxa"/>
            <w:gridSpan w:val="3"/>
            <w:vAlign w:val="center"/>
          </w:tcPr>
          <w:p w14:paraId="71590DBA">
            <w:pPr>
              <w:snapToGrid w:val="0"/>
              <w:spacing w:line="320" w:lineRule="exact"/>
              <w:jc w:val="left"/>
              <w:rPr>
                <w:rFonts w:ascii="Arial" w:hAnsi="Arial" w:eastAsia="宋体" w:cs="Arial"/>
                <w:bCs/>
                <w:color w:val="auto"/>
                <w:szCs w:val="21"/>
                <w:highlight w:val="none"/>
              </w:rPr>
            </w:pPr>
            <w:r>
              <w:rPr>
                <w:rFonts w:ascii="Arial" w:hAnsi="Arial" w:eastAsia="宋体" w:cs="Arial"/>
                <w:b/>
                <w:color w:val="auto"/>
                <w:sz w:val="22"/>
                <w:szCs w:val="22"/>
                <w:highlight w:val="none"/>
              </w:rPr>
              <w:t>以上《项目要求及技术需求》中项目的所有参数都是实质性要求，若有任意一项负偏离，其响应作无效处理。</w:t>
            </w:r>
          </w:p>
        </w:tc>
      </w:tr>
    </w:tbl>
    <w:p w14:paraId="33885B05">
      <w:pPr>
        <w:rPr>
          <w:rFonts w:ascii="Arial" w:hAnsi="Arial" w:eastAsia="宋体" w:cs="Arial"/>
          <w:b/>
          <w:color w:val="auto"/>
          <w:highlight w:val="none"/>
        </w:rPr>
      </w:pPr>
      <w:r>
        <w:rPr>
          <w:rFonts w:ascii="Arial" w:hAnsi="Arial" w:eastAsia="宋体" w:cs="Arial"/>
          <w:b/>
          <w:color w:val="auto"/>
          <w:highlight w:val="none"/>
        </w:rPr>
        <w:br w:type="page"/>
      </w:r>
    </w:p>
    <w:p w14:paraId="307772C5">
      <w:pPr>
        <w:pStyle w:val="2"/>
        <w:snapToGrid w:val="0"/>
        <w:spacing w:before="0" w:after="0" w:line="240" w:lineRule="auto"/>
        <w:jc w:val="center"/>
        <w:rPr>
          <w:rFonts w:hint="eastAsia"/>
          <w:color w:val="auto"/>
          <w:highlight w:val="none"/>
        </w:rPr>
      </w:pPr>
      <w:bookmarkStart w:id="29" w:name="_Toc16632"/>
      <w:r>
        <w:rPr>
          <w:color w:val="auto"/>
          <w:highlight w:val="none"/>
        </w:rPr>
        <w:t>第四章  评审办法</w:t>
      </w:r>
      <w:bookmarkEnd w:id="28"/>
      <w:bookmarkEnd w:id="29"/>
    </w:p>
    <w:p w14:paraId="087AF2B2">
      <w:pPr>
        <w:pStyle w:val="14"/>
        <w:snapToGrid w:val="0"/>
        <w:ind w:firstLine="420" w:firstLineChars="200"/>
        <w:rPr>
          <w:rFonts w:ascii="Arial" w:hAnsi="Arial" w:eastAsia="宋体" w:cs="Arial"/>
          <w:b/>
          <w:bCs/>
          <w:color w:val="auto"/>
          <w:szCs w:val="21"/>
          <w:highlight w:val="none"/>
        </w:rPr>
      </w:pPr>
    </w:p>
    <w:p w14:paraId="1684D04B">
      <w:pPr>
        <w:pStyle w:val="14"/>
        <w:snapToGrid w:val="0"/>
        <w:spacing w:line="300" w:lineRule="auto"/>
        <w:ind w:firstLine="420" w:firstLineChars="200"/>
        <w:rPr>
          <w:rFonts w:ascii="Arial" w:hAnsi="Arial" w:eastAsia="宋体" w:cs="Arial"/>
          <w:b/>
          <w:bCs/>
          <w:color w:val="auto"/>
          <w:szCs w:val="21"/>
          <w:highlight w:val="none"/>
        </w:rPr>
      </w:pPr>
      <w:r>
        <w:rPr>
          <w:rFonts w:ascii="Arial" w:hAnsi="Arial" w:eastAsia="宋体" w:cs="Arial"/>
          <w:b/>
          <w:bCs/>
          <w:color w:val="auto"/>
          <w:szCs w:val="21"/>
          <w:highlight w:val="none"/>
        </w:rPr>
        <w:t>一、评审依据</w:t>
      </w:r>
    </w:p>
    <w:p w14:paraId="6D4E2EA7">
      <w:pPr>
        <w:pStyle w:val="14"/>
        <w:snapToGrid w:val="0"/>
        <w:spacing w:line="300" w:lineRule="auto"/>
        <w:ind w:firstLine="420" w:firstLineChars="200"/>
        <w:rPr>
          <w:rFonts w:ascii="Arial" w:hAnsi="Arial" w:eastAsia="宋体" w:cs="Arial"/>
          <w:bCs/>
          <w:color w:val="auto"/>
          <w:highlight w:val="none"/>
        </w:rPr>
      </w:pPr>
      <w:r>
        <w:rPr>
          <w:rFonts w:ascii="Arial" w:hAnsi="Arial" w:eastAsia="宋体" w:cs="Arial"/>
          <w:bCs/>
          <w:color w:val="auto"/>
          <w:highlight w:val="none"/>
        </w:rPr>
        <w:t>1. 评审依据：谈判小组以谈判文件和响应文件为评审依据。</w:t>
      </w:r>
    </w:p>
    <w:p w14:paraId="6729F48F">
      <w:pPr>
        <w:pStyle w:val="14"/>
        <w:snapToGrid w:val="0"/>
        <w:spacing w:line="300" w:lineRule="auto"/>
        <w:ind w:firstLine="420" w:firstLineChars="200"/>
        <w:rPr>
          <w:rFonts w:ascii="Arial" w:hAnsi="Arial" w:eastAsia="宋体" w:cs="Arial"/>
          <w:bCs/>
          <w:color w:val="auto"/>
          <w:highlight w:val="none"/>
        </w:rPr>
      </w:pPr>
      <w:r>
        <w:rPr>
          <w:rFonts w:ascii="Arial" w:hAnsi="Arial" w:eastAsia="宋体" w:cs="Arial"/>
          <w:bCs/>
          <w:color w:val="auto"/>
          <w:highlight w:val="none"/>
        </w:rPr>
        <w:t>2. 采购人和采购代理机构、竞争性谈判小组成员要严格遵守相关法律制度，依法履行各自职责，公正、客观、审慎地组织和参与评审工作。</w:t>
      </w:r>
    </w:p>
    <w:p w14:paraId="4BECACD3">
      <w:pPr>
        <w:pStyle w:val="14"/>
        <w:snapToGrid w:val="0"/>
        <w:spacing w:line="300" w:lineRule="auto"/>
        <w:ind w:firstLine="420" w:firstLineChars="200"/>
        <w:rPr>
          <w:rFonts w:ascii="Arial" w:hAnsi="Arial" w:eastAsia="宋体" w:cs="Arial"/>
          <w:b/>
          <w:bCs/>
          <w:color w:val="auto"/>
          <w:szCs w:val="21"/>
          <w:highlight w:val="none"/>
        </w:rPr>
      </w:pPr>
      <w:r>
        <w:rPr>
          <w:rFonts w:ascii="Arial" w:hAnsi="Arial" w:eastAsia="宋体" w:cs="Arial"/>
          <w:b/>
          <w:bCs/>
          <w:color w:val="auto"/>
          <w:szCs w:val="21"/>
          <w:highlight w:val="none"/>
        </w:rPr>
        <w:t>二、评审办法</w:t>
      </w:r>
    </w:p>
    <w:p w14:paraId="6F7F60D7">
      <w:pPr>
        <w:pStyle w:val="14"/>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1.谈判小组应当从质量和服务均能满足竞争性谈判文件全部实质性响应要求的供应商中，按照评审报价由低到高顺序提出3名以上（含3名）成交候选人。</w:t>
      </w:r>
    </w:p>
    <w:p w14:paraId="020FC051">
      <w:pPr>
        <w:pStyle w:val="14"/>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2.评审时，应当将通过资格性审查和符合性审查各供应商的评审报价，按照由低到高顺序排序；</w:t>
      </w:r>
    </w:p>
    <w:p w14:paraId="2CB0624E">
      <w:pPr>
        <w:pStyle w:val="14"/>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提供相同品牌产品的不同</w:t>
      </w:r>
      <w:r>
        <w:rPr>
          <w:rFonts w:hint="eastAsia" w:ascii="Arial" w:hAnsi="Arial" w:eastAsia="宋体" w:cs="Arial"/>
          <w:color w:val="auto"/>
          <w:szCs w:val="21"/>
          <w:highlight w:val="none"/>
        </w:rPr>
        <w:t>供应商</w:t>
      </w:r>
      <w:r>
        <w:rPr>
          <w:rFonts w:ascii="Arial" w:hAnsi="Arial" w:eastAsia="宋体" w:cs="Arial"/>
          <w:color w:val="auto"/>
          <w:szCs w:val="21"/>
          <w:highlight w:val="none"/>
        </w:rPr>
        <w:t>参加同一合同项下</w:t>
      </w:r>
      <w:r>
        <w:rPr>
          <w:rFonts w:hint="eastAsia" w:ascii="Arial" w:hAnsi="Arial" w:eastAsia="宋体" w:cs="Arial"/>
          <w:color w:val="auto"/>
          <w:szCs w:val="21"/>
          <w:highlight w:val="none"/>
        </w:rPr>
        <w:t>谈判</w:t>
      </w:r>
      <w:r>
        <w:rPr>
          <w:rFonts w:ascii="Arial" w:hAnsi="Arial" w:eastAsia="宋体" w:cs="Arial"/>
          <w:color w:val="auto"/>
          <w:szCs w:val="21"/>
          <w:highlight w:val="none"/>
        </w:rPr>
        <w:t>的，以其中通过资格审查、符合性审查</w:t>
      </w:r>
      <w:r>
        <w:rPr>
          <w:rFonts w:hint="eastAsia" w:ascii="Arial" w:hAnsi="Arial" w:eastAsia="宋体" w:cs="Arial"/>
          <w:color w:val="auto"/>
          <w:szCs w:val="21"/>
          <w:highlight w:val="none"/>
        </w:rPr>
        <w:t>、谈判</w:t>
      </w:r>
      <w:r>
        <w:rPr>
          <w:rFonts w:ascii="Arial" w:hAnsi="Arial" w:eastAsia="宋体" w:cs="Arial"/>
          <w:color w:val="auto"/>
          <w:szCs w:val="21"/>
          <w:highlight w:val="none"/>
        </w:rPr>
        <w:t>且</w:t>
      </w:r>
      <w:r>
        <w:rPr>
          <w:rFonts w:hint="eastAsia" w:ascii="Arial" w:hAnsi="Arial" w:eastAsia="宋体" w:cs="Arial"/>
          <w:color w:val="auto"/>
          <w:szCs w:val="21"/>
          <w:highlight w:val="none"/>
        </w:rPr>
        <w:t>最后</w:t>
      </w:r>
      <w:r>
        <w:rPr>
          <w:rFonts w:ascii="Arial" w:hAnsi="Arial" w:eastAsia="宋体" w:cs="Arial"/>
          <w:color w:val="auto"/>
          <w:szCs w:val="21"/>
          <w:highlight w:val="none"/>
        </w:rPr>
        <w:t>报价最低的参加</w:t>
      </w:r>
      <w:r>
        <w:rPr>
          <w:rFonts w:hint="eastAsia" w:ascii="Arial" w:hAnsi="Arial" w:eastAsia="宋体" w:cs="Arial"/>
          <w:color w:val="auto"/>
          <w:szCs w:val="21"/>
          <w:highlight w:val="none"/>
        </w:rPr>
        <w:t>报价</w:t>
      </w:r>
      <w:r>
        <w:rPr>
          <w:rFonts w:ascii="Arial" w:hAnsi="Arial" w:eastAsia="宋体" w:cs="Arial"/>
          <w:color w:val="auto"/>
          <w:szCs w:val="21"/>
          <w:highlight w:val="none"/>
        </w:rPr>
        <w:t>评审，</w:t>
      </w:r>
      <w:r>
        <w:rPr>
          <w:rFonts w:hint="eastAsia" w:ascii="Arial" w:hAnsi="Arial" w:eastAsia="宋体" w:cs="Arial"/>
          <w:color w:val="auto"/>
          <w:szCs w:val="21"/>
          <w:highlight w:val="none"/>
        </w:rPr>
        <w:t>最后</w:t>
      </w:r>
      <w:r>
        <w:rPr>
          <w:rFonts w:ascii="Arial" w:hAnsi="Arial" w:eastAsia="宋体" w:cs="Arial"/>
          <w:color w:val="auto"/>
          <w:szCs w:val="21"/>
          <w:highlight w:val="none"/>
        </w:rPr>
        <w:t>报价相同的，</w:t>
      </w:r>
      <w:r>
        <w:rPr>
          <w:rFonts w:hint="eastAsia" w:ascii="Arial" w:hAnsi="Arial" w:eastAsia="宋体" w:cs="Arial"/>
          <w:color w:val="auto"/>
          <w:szCs w:val="21"/>
          <w:highlight w:val="none"/>
        </w:rPr>
        <w:t>由采购人或者采购人委托谈判小组按照竞争性谈判文件规定的方式确定一个参加评审的供应商，竞争性谈判文件未规定的采取随机抽取方式确定，其他响应文件作无效处理。</w:t>
      </w:r>
    </w:p>
    <w:p w14:paraId="1A0E9D3A">
      <w:pPr>
        <w:pStyle w:val="14"/>
        <w:snapToGrid w:val="0"/>
        <w:spacing w:line="300" w:lineRule="auto"/>
        <w:ind w:firstLine="420" w:firstLineChars="200"/>
        <w:rPr>
          <w:rFonts w:ascii="Arial" w:hAnsi="Arial" w:eastAsia="宋体" w:cs="Arial"/>
          <w:color w:val="auto"/>
          <w:szCs w:val="21"/>
          <w:highlight w:val="none"/>
        </w:rPr>
      </w:pPr>
      <w:r>
        <w:rPr>
          <w:rFonts w:hint="eastAsia" w:ascii="Arial" w:hAnsi="Arial" w:eastAsia="宋体" w:cs="Arial"/>
          <w:color w:val="auto"/>
          <w:szCs w:val="21"/>
          <w:highlight w:val="none"/>
        </w:rPr>
        <w:t>非单一产品采购项目，多家供应商提供的核心产品品牌相同的，按前款规定处理。</w:t>
      </w:r>
    </w:p>
    <w:p w14:paraId="2473FF06">
      <w:pPr>
        <w:pStyle w:val="14"/>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除以上情况外，当评审报价相同时，以最后报价低的优先排序；当最后报价相同时，则依次按节能环保产品优先、技术指标高优先、售后服务优先原则排序。</w:t>
      </w:r>
    </w:p>
    <w:p w14:paraId="3A917F8D">
      <w:pPr>
        <w:pStyle w:val="14"/>
        <w:snapToGrid w:val="0"/>
        <w:spacing w:line="300" w:lineRule="auto"/>
        <w:ind w:firstLine="420" w:firstLineChars="200"/>
        <w:rPr>
          <w:rFonts w:ascii="Arial" w:hAnsi="Arial" w:eastAsia="宋体" w:cs="Arial"/>
          <w:color w:val="auto"/>
          <w:szCs w:val="21"/>
          <w:highlight w:val="none"/>
        </w:rPr>
      </w:pPr>
      <w:r>
        <w:rPr>
          <w:rFonts w:hint="eastAsia" w:ascii="Arial" w:hAnsi="Arial" w:eastAsia="宋体" w:cs="Arial"/>
          <w:color w:val="auto"/>
          <w:szCs w:val="21"/>
          <w:highlight w:val="none"/>
        </w:rPr>
        <w:t>3.评审报价为供应商的最后报价进行政策性扣除后的价格，评审报价只是作为评审时使用。最终成交供应商的成交金额等于最后报价。</w:t>
      </w:r>
    </w:p>
    <w:p w14:paraId="675BB686">
      <w:pPr>
        <w:pStyle w:val="14"/>
        <w:snapToGrid w:val="0"/>
        <w:spacing w:line="300" w:lineRule="auto"/>
        <w:ind w:firstLine="420" w:firstLineChars="200"/>
        <w:rPr>
          <w:rFonts w:ascii="Arial" w:hAnsi="Arial" w:eastAsia="宋体" w:cs="Arial"/>
          <w:color w:val="auto"/>
          <w:szCs w:val="21"/>
          <w:highlight w:val="none"/>
        </w:rPr>
      </w:pPr>
      <w:r>
        <w:rPr>
          <w:rFonts w:hint="eastAsia" w:ascii="Arial" w:hAnsi="Arial" w:eastAsia="宋体" w:cs="Arial"/>
          <w:color w:val="auto"/>
          <w:szCs w:val="21"/>
          <w:highlight w:val="none"/>
        </w:rPr>
        <w:t>4.政策性扣除计算方法：</w:t>
      </w:r>
    </w:p>
    <w:p w14:paraId="61DB86E0">
      <w:pPr>
        <w:pStyle w:val="14"/>
        <w:snapToGrid w:val="0"/>
        <w:spacing w:line="300" w:lineRule="auto"/>
        <w:ind w:firstLine="420" w:firstLineChars="200"/>
        <w:rPr>
          <w:rFonts w:ascii="Arial" w:hAnsi="Arial" w:eastAsia="宋体" w:cs="Arial"/>
          <w:color w:val="auto"/>
          <w:szCs w:val="21"/>
          <w:highlight w:val="none"/>
        </w:rPr>
      </w:pPr>
      <w:r>
        <w:rPr>
          <w:rFonts w:hint="eastAsia" w:ascii="Arial" w:hAnsi="Arial" w:eastAsia="宋体" w:cs="Arial"/>
          <w:color w:val="auto"/>
          <w:szCs w:val="21"/>
          <w:highlight w:val="none"/>
        </w:rPr>
        <w:t>（1）根据《政府采购促进中小企业发展管理办法》（财库〔2020〕46号）规定，供应商在其响应文件中提供《中小企业声明函》，且其投标全部货物由小微企业制造的，对其最后报价给予10%的扣除，用扣除后的价格参加评审，扣除后的价格为评审报价，即评审报价=最后报价×（1-10%）。</w:t>
      </w:r>
    </w:p>
    <w:p w14:paraId="103E74C6">
      <w:pPr>
        <w:pStyle w:val="14"/>
        <w:snapToGrid w:val="0"/>
        <w:spacing w:line="300" w:lineRule="auto"/>
        <w:ind w:firstLine="420" w:firstLineChars="200"/>
        <w:rPr>
          <w:rFonts w:ascii="Arial" w:hAnsi="Arial" w:eastAsia="宋体" w:cs="Arial"/>
          <w:color w:val="auto"/>
          <w:szCs w:val="21"/>
          <w:highlight w:val="none"/>
        </w:rPr>
      </w:pPr>
      <w:r>
        <w:rPr>
          <w:rFonts w:hint="eastAsia" w:ascii="Arial" w:hAnsi="Arial" w:eastAsia="宋体" w:cs="Arial"/>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11B6233">
      <w:pPr>
        <w:pStyle w:val="14"/>
        <w:snapToGrid w:val="0"/>
        <w:spacing w:line="300" w:lineRule="auto"/>
        <w:ind w:firstLine="420" w:firstLineChars="200"/>
        <w:rPr>
          <w:rFonts w:ascii="Arial" w:hAnsi="Arial" w:eastAsia="宋体" w:cs="Arial"/>
          <w:color w:val="auto"/>
          <w:szCs w:val="21"/>
          <w:highlight w:val="none"/>
        </w:rPr>
      </w:pPr>
      <w:r>
        <w:rPr>
          <w:rFonts w:hint="eastAsia" w:ascii="Arial" w:hAnsi="Arial" w:eastAsia="宋体" w:cs="Arial"/>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DEBD065">
      <w:pPr>
        <w:pStyle w:val="14"/>
        <w:snapToGrid w:val="0"/>
        <w:spacing w:line="300" w:lineRule="auto"/>
        <w:ind w:firstLine="420" w:firstLineChars="200"/>
        <w:rPr>
          <w:rFonts w:ascii="Arial" w:hAnsi="Arial" w:eastAsia="宋体" w:cs="Arial"/>
          <w:color w:val="auto"/>
          <w:szCs w:val="21"/>
          <w:highlight w:val="none"/>
        </w:rPr>
      </w:pPr>
      <w:r>
        <w:rPr>
          <w:rFonts w:hint="eastAsia" w:ascii="Arial" w:hAnsi="Arial" w:eastAsia="宋体" w:cs="Arial"/>
          <w:color w:val="auto"/>
          <w:szCs w:val="21"/>
          <w:highlight w:val="none"/>
        </w:rPr>
        <w:t>（4）除上述情况外，评审报价=最后报价。</w:t>
      </w:r>
    </w:p>
    <w:p w14:paraId="7BD6361D">
      <w:pPr>
        <w:pStyle w:val="14"/>
        <w:snapToGrid w:val="0"/>
        <w:spacing w:line="300" w:lineRule="auto"/>
        <w:ind w:firstLine="420" w:firstLineChars="200"/>
        <w:rPr>
          <w:rFonts w:ascii="Arial" w:hAnsi="Arial" w:eastAsia="宋体" w:cs="Arial"/>
          <w:b/>
          <w:bCs/>
          <w:color w:val="auto"/>
          <w:szCs w:val="21"/>
          <w:highlight w:val="none"/>
        </w:rPr>
      </w:pPr>
      <w:r>
        <w:rPr>
          <w:rFonts w:ascii="Arial" w:hAnsi="Arial" w:eastAsia="宋体" w:cs="Arial"/>
          <w:b/>
          <w:bCs/>
          <w:color w:val="auto"/>
          <w:szCs w:val="21"/>
          <w:highlight w:val="none"/>
        </w:rPr>
        <w:t>三、成交候选人确定原则</w:t>
      </w:r>
    </w:p>
    <w:p w14:paraId="046AB35D">
      <w:pPr>
        <w:pStyle w:val="14"/>
        <w:tabs>
          <w:tab w:val="left" w:pos="4214"/>
        </w:tabs>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（1）采购单位应当确定谈判小组推荐排名第一的成交候选人为成交供应商。</w:t>
      </w:r>
    </w:p>
    <w:p w14:paraId="7AA343BA">
      <w:pPr>
        <w:pStyle w:val="14"/>
        <w:snapToGrid w:val="0"/>
        <w:spacing w:line="300" w:lineRule="auto"/>
        <w:ind w:firstLine="447" w:firstLineChars="213"/>
        <w:rPr>
          <w:rFonts w:ascii="Arial" w:hAnsi="Arial" w:eastAsia="宋体" w:cs="Arial"/>
          <w:color w:val="auto"/>
          <w:szCs w:val="21"/>
          <w:highlight w:val="none"/>
        </w:rPr>
      </w:pPr>
      <w:r>
        <w:rPr>
          <w:rFonts w:ascii="Arial" w:hAnsi="Arial" w:eastAsia="宋体" w:cs="Arial"/>
          <w:color w:val="auto"/>
          <w:szCs w:val="21"/>
          <w:highlight w:val="none"/>
        </w:rPr>
        <w:t>（2）排名第一的成交候选人放弃成交、因不可抗力提出不能履行合同，或因失信行为被取消成交候选人资格的，采购单位可以确定排名第二的成交候选人为成交供应商。</w:t>
      </w:r>
    </w:p>
    <w:p w14:paraId="1FB1879F">
      <w:pPr>
        <w:pStyle w:val="14"/>
        <w:snapToGrid w:val="0"/>
        <w:spacing w:line="300" w:lineRule="auto"/>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（3）排名第二的成交候选人因前款规定的同样原因不能签订合同的，采购单位可以确定排名第三的成交候选人为成交供应商。</w:t>
      </w:r>
    </w:p>
    <w:p w14:paraId="77A07776">
      <w:pPr>
        <w:spacing w:line="360" w:lineRule="exact"/>
        <w:jc w:val="center"/>
        <w:rPr>
          <w:rFonts w:ascii="Arial" w:hAnsi="Arial" w:eastAsia="宋体" w:cs="Arial"/>
          <w:b/>
          <w:color w:val="auto"/>
          <w:sz w:val="32"/>
          <w:szCs w:val="32"/>
          <w:highlight w:val="none"/>
        </w:rPr>
      </w:pPr>
    </w:p>
    <w:p w14:paraId="06A1D6F2">
      <w:pPr>
        <w:pStyle w:val="2"/>
        <w:jc w:val="center"/>
        <w:rPr>
          <w:rFonts w:ascii="Arial" w:hAnsi="Arial" w:eastAsia="宋体" w:cs="Arial"/>
          <w:color w:val="auto"/>
          <w:highlight w:val="none"/>
        </w:rPr>
      </w:pPr>
      <w:r>
        <w:rPr>
          <w:rFonts w:ascii="Arial" w:hAnsi="Arial" w:eastAsia="宋体" w:cs="Arial"/>
          <w:b w:val="0"/>
          <w:color w:val="auto"/>
          <w:highlight w:val="none"/>
        </w:rPr>
        <w:br w:type="page"/>
      </w:r>
      <w:bookmarkStart w:id="30" w:name="_Toc7117"/>
      <w:bookmarkStart w:id="31" w:name="_Toc16567"/>
      <w:r>
        <w:rPr>
          <w:rFonts w:ascii="Arial" w:hAnsi="Arial" w:eastAsia="宋体" w:cs="Arial"/>
          <w:bCs w:val="0"/>
          <w:color w:val="auto"/>
          <w:highlight w:val="none"/>
        </w:rPr>
        <w:t>第五章  采购合同（合同主要条款及格式）</w:t>
      </w:r>
      <w:bookmarkEnd w:id="30"/>
      <w:bookmarkEnd w:id="31"/>
    </w:p>
    <w:p w14:paraId="681204CB">
      <w:pPr>
        <w:snapToGrid w:val="0"/>
        <w:spacing w:line="360" w:lineRule="exact"/>
        <w:ind w:right="480" w:firstLine="6720" w:firstLineChars="3200"/>
        <w:rPr>
          <w:rFonts w:ascii="Arial" w:hAnsi="Arial" w:eastAsia="宋体" w:cs="Arial"/>
          <w:bCs/>
          <w:color w:val="auto"/>
          <w:szCs w:val="21"/>
          <w:highlight w:val="none"/>
          <w:u w:val="single"/>
        </w:rPr>
      </w:pPr>
      <w:r>
        <w:rPr>
          <w:rFonts w:ascii="Arial" w:hAnsi="Arial" w:eastAsia="宋体" w:cs="Arial"/>
          <w:bCs/>
          <w:color w:val="auto"/>
          <w:szCs w:val="21"/>
          <w:highlight w:val="none"/>
        </w:rPr>
        <w:t>合同编号：</w:t>
      </w:r>
      <w:r>
        <w:rPr>
          <w:rFonts w:ascii="Arial" w:hAnsi="Arial" w:eastAsia="宋体" w:cs="Arial"/>
          <w:bCs/>
          <w:color w:val="auto"/>
          <w:szCs w:val="21"/>
          <w:highlight w:val="none"/>
          <w:u w:val="single"/>
        </w:rPr>
        <w:t xml:space="preserve">          </w:t>
      </w:r>
    </w:p>
    <w:p w14:paraId="0474E99E">
      <w:pPr>
        <w:snapToGrid w:val="0"/>
        <w:spacing w:line="360" w:lineRule="exact"/>
        <w:rPr>
          <w:rFonts w:ascii="Arial" w:hAnsi="Arial" w:eastAsia="宋体" w:cs="Arial"/>
          <w:color w:val="auto"/>
          <w:szCs w:val="21"/>
          <w:highlight w:val="none"/>
        </w:rPr>
      </w:pPr>
    </w:p>
    <w:p w14:paraId="226A2F42">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采购人（甲方）:</w:t>
      </w:r>
      <w:r>
        <w:rPr>
          <w:rFonts w:ascii="Arial" w:hAnsi="Arial" w:eastAsia="宋体" w:cs="Arial"/>
          <w:color w:val="auto"/>
          <w:szCs w:val="21"/>
          <w:highlight w:val="none"/>
          <w:u w:val="single"/>
        </w:rPr>
        <w:t xml:space="preserve">桂林理工大学      </w:t>
      </w:r>
      <w:r>
        <w:rPr>
          <w:rFonts w:ascii="Arial" w:hAnsi="Arial" w:eastAsia="宋体" w:cs="Arial"/>
          <w:color w:val="auto"/>
          <w:szCs w:val="21"/>
          <w:highlight w:val="none"/>
        </w:rPr>
        <w:t xml:space="preserve">               </w:t>
      </w:r>
    </w:p>
    <w:p w14:paraId="3F1AE49A">
      <w:pPr>
        <w:snapToGrid w:val="0"/>
        <w:spacing w:line="360" w:lineRule="exact"/>
        <w:rPr>
          <w:rFonts w:ascii="Arial" w:hAnsi="Arial" w:eastAsia="宋体" w:cs="Arial"/>
          <w:color w:val="auto"/>
          <w:szCs w:val="21"/>
          <w:highlight w:val="none"/>
          <w:u w:val="single"/>
        </w:rPr>
      </w:pPr>
      <w:r>
        <w:rPr>
          <w:rFonts w:ascii="Arial" w:hAnsi="Arial" w:eastAsia="宋体" w:cs="Arial"/>
          <w:color w:val="auto"/>
          <w:szCs w:val="21"/>
          <w:highlight w:val="none"/>
        </w:rPr>
        <w:t>供应商（乙方）:</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 xml:space="preserve">               项目编号:</w:t>
      </w:r>
      <w:r>
        <w:rPr>
          <w:rFonts w:ascii="Arial" w:hAnsi="Arial" w:eastAsia="宋体" w:cs="Arial"/>
          <w:color w:val="auto"/>
          <w:szCs w:val="21"/>
          <w:highlight w:val="none"/>
          <w:u w:val="single"/>
        </w:rPr>
        <w:t xml:space="preserve">                </w:t>
      </w:r>
    </w:p>
    <w:p w14:paraId="2E9D9D7E">
      <w:pPr>
        <w:snapToGrid w:val="0"/>
        <w:spacing w:line="360" w:lineRule="exact"/>
        <w:rPr>
          <w:rFonts w:ascii="Arial" w:hAnsi="Arial" w:eastAsia="宋体" w:cs="Arial"/>
          <w:color w:val="auto"/>
          <w:szCs w:val="21"/>
          <w:highlight w:val="none"/>
          <w:u w:val="single"/>
        </w:rPr>
      </w:pPr>
      <w:r>
        <w:rPr>
          <w:rFonts w:ascii="Arial" w:hAnsi="Arial" w:eastAsia="宋体" w:cs="Arial"/>
          <w:color w:val="auto"/>
          <w:szCs w:val="21"/>
          <w:highlight w:val="none"/>
        </w:rPr>
        <w:t>签订地点:</w:t>
      </w:r>
      <w:r>
        <w:rPr>
          <w:rFonts w:ascii="Arial" w:hAnsi="Arial" w:eastAsia="宋体" w:cs="Arial"/>
          <w:color w:val="auto"/>
          <w:szCs w:val="21"/>
          <w:highlight w:val="none"/>
          <w:u w:val="single"/>
        </w:rPr>
        <w:t xml:space="preserve">  广西桂林              </w:t>
      </w:r>
      <w:r>
        <w:rPr>
          <w:rFonts w:ascii="Arial" w:hAnsi="Arial" w:eastAsia="宋体" w:cs="Arial"/>
          <w:color w:val="auto"/>
          <w:szCs w:val="21"/>
          <w:highlight w:val="none"/>
        </w:rPr>
        <w:t xml:space="preserve">               签订时间:</w:t>
      </w:r>
      <w:r>
        <w:rPr>
          <w:rFonts w:ascii="Arial" w:hAnsi="Arial" w:eastAsia="宋体" w:cs="Arial"/>
          <w:color w:val="auto"/>
          <w:szCs w:val="21"/>
          <w:highlight w:val="none"/>
          <w:u w:val="single"/>
        </w:rPr>
        <w:t xml:space="preserve">                </w:t>
      </w:r>
    </w:p>
    <w:p w14:paraId="2BC8899B">
      <w:pPr>
        <w:snapToGrid w:val="0"/>
        <w:spacing w:line="360" w:lineRule="exact"/>
        <w:ind w:firstLine="420" w:firstLineChars="200"/>
        <w:rPr>
          <w:rFonts w:ascii="Arial" w:hAnsi="Arial" w:eastAsia="宋体" w:cs="Arial"/>
          <w:color w:val="auto"/>
          <w:szCs w:val="21"/>
          <w:highlight w:val="none"/>
        </w:rPr>
      </w:pPr>
      <w:r>
        <w:rPr>
          <w:rFonts w:ascii="Arial" w:hAnsi="Arial" w:eastAsia="宋体" w:cs="Arial"/>
          <w:color w:val="auto"/>
          <w:szCs w:val="21"/>
          <w:highlight w:val="none"/>
        </w:rPr>
        <w:t>根据《中华人民共和国政府采购法》、</w:t>
      </w:r>
      <w:r>
        <w:rPr>
          <w:rFonts w:ascii="Arial" w:hAnsi="Arial" w:eastAsia="宋体" w:cs="Arial"/>
          <w:color w:val="auto"/>
          <w:highlight w:val="none"/>
        </w:rPr>
        <w:t>《中华人民共和国政府采购法实施条例》、</w:t>
      </w:r>
      <w:r>
        <w:rPr>
          <w:rFonts w:ascii="Arial" w:hAnsi="Arial" w:eastAsia="宋体" w:cs="Arial"/>
          <w:color w:val="auto"/>
          <w:szCs w:val="21"/>
          <w:highlight w:val="none"/>
        </w:rPr>
        <w:t>《</w:t>
      </w:r>
      <w:r>
        <w:rPr>
          <w:rFonts w:ascii="Arial" w:hAnsi="Arial" w:eastAsia="宋体" w:cs="Arial"/>
          <w:color w:val="auto"/>
          <w:szCs w:val="21"/>
          <w:highlight w:val="none"/>
          <w:shd w:val="clear" w:color="auto" w:fill="FFFFFF"/>
        </w:rPr>
        <w:t>中华人民共和国民法典</w:t>
      </w:r>
      <w:r>
        <w:rPr>
          <w:rFonts w:ascii="Arial" w:hAnsi="Arial" w:eastAsia="宋体" w:cs="Arial"/>
          <w:color w:val="auto"/>
          <w:szCs w:val="21"/>
          <w:highlight w:val="none"/>
        </w:rPr>
        <w:t>》等法律、法规规定，甲乙双方签订本合同。</w:t>
      </w:r>
    </w:p>
    <w:p w14:paraId="35D32B78">
      <w:pPr>
        <w:snapToGrid w:val="0"/>
        <w:spacing w:line="360" w:lineRule="exact"/>
        <w:rPr>
          <w:rFonts w:ascii="Arial" w:hAnsi="Arial" w:eastAsia="宋体" w:cs="Arial"/>
          <w:b/>
          <w:color w:val="auto"/>
          <w:szCs w:val="21"/>
          <w:highlight w:val="none"/>
        </w:rPr>
      </w:pPr>
      <w:r>
        <w:rPr>
          <w:rFonts w:ascii="Arial" w:hAnsi="Arial" w:eastAsia="宋体" w:cs="Arial"/>
          <w:b/>
          <w:color w:val="auto"/>
          <w:szCs w:val="21"/>
          <w:highlight w:val="none"/>
        </w:rPr>
        <w:t>第一条　合同标的</w:t>
      </w:r>
    </w:p>
    <w:p w14:paraId="55357D5B">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1.供货一览表</w:t>
      </w:r>
    </w:p>
    <w:tbl>
      <w:tblPr>
        <w:tblStyle w:val="24"/>
        <w:tblW w:w="970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701"/>
        <w:gridCol w:w="992"/>
        <w:gridCol w:w="1134"/>
        <w:gridCol w:w="851"/>
        <w:gridCol w:w="708"/>
        <w:gridCol w:w="709"/>
        <w:gridCol w:w="1016"/>
        <w:gridCol w:w="1564"/>
      </w:tblGrid>
      <w:tr w14:paraId="3979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31" w:type="dxa"/>
            <w:vAlign w:val="center"/>
          </w:tcPr>
          <w:p w14:paraId="7CD3B320">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项号</w:t>
            </w:r>
          </w:p>
        </w:tc>
        <w:tc>
          <w:tcPr>
            <w:tcW w:w="1701" w:type="dxa"/>
            <w:vAlign w:val="center"/>
          </w:tcPr>
          <w:p w14:paraId="2F53584D">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货物名称</w:t>
            </w:r>
          </w:p>
        </w:tc>
        <w:tc>
          <w:tcPr>
            <w:tcW w:w="992" w:type="dxa"/>
            <w:vAlign w:val="center"/>
          </w:tcPr>
          <w:p w14:paraId="065456B8">
            <w:pPr>
              <w:snapToGrid w:val="0"/>
              <w:jc w:val="center"/>
              <w:rPr>
                <w:rFonts w:ascii="Arial" w:hAnsi="Arial" w:eastAsia="宋体" w:cs="Arial"/>
                <w:color w:val="auto"/>
                <w:szCs w:val="21"/>
                <w:highlight w:val="none"/>
              </w:rPr>
            </w:pPr>
            <w:r>
              <w:rPr>
                <w:rFonts w:ascii="Arial" w:hAnsi="Arial" w:eastAsia="宋体" w:cs="Arial"/>
                <w:color w:val="auto"/>
                <w:szCs w:val="30"/>
                <w:highlight w:val="none"/>
              </w:rPr>
              <w:t>厂家、品牌</w:t>
            </w:r>
          </w:p>
        </w:tc>
        <w:tc>
          <w:tcPr>
            <w:tcW w:w="1134" w:type="dxa"/>
            <w:vAlign w:val="center"/>
          </w:tcPr>
          <w:p w14:paraId="28DC2E9C">
            <w:pPr>
              <w:snapToGrid w:val="0"/>
              <w:jc w:val="center"/>
              <w:rPr>
                <w:rFonts w:ascii="Arial" w:hAnsi="Arial" w:eastAsia="宋体" w:cs="Arial"/>
                <w:color w:val="auto"/>
                <w:szCs w:val="21"/>
                <w:highlight w:val="none"/>
              </w:rPr>
            </w:pPr>
            <w:r>
              <w:rPr>
                <w:rFonts w:ascii="Arial" w:hAnsi="Arial" w:eastAsia="宋体" w:cs="Arial"/>
                <w:color w:val="auto"/>
                <w:szCs w:val="30"/>
                <w:highlight w:val="none"/>
              </w:rPr>
              <w:t>规格型号</w:t>
            </w:r>
          </w:p>
        </w:tc>
        <w:tc>
          <w:tcPr>
            <w:tcW w:w="851" w:type="dxa"/>
            <w:vAlign w:val="center"/>
          </w:tcPr>
          <w:p w14:paraId="0E3088BF">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技术参数</w:t>
            </w:r>
          </w:p>
        </w:tc>
        <w:tc>
          <w:tcPr>
            <w:tcW w:w="708" w:type="dxa"/>
            <w:vAlign w:val="center"/>
          </w:tcPr>
          <w:p w14:paraId="495DB1BA">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数量</w:t>
            </w:r>
          </w:p>
          <w:p w14:paraId="3C9D2106">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①</w:t>
            </w:r>
          </w:p>
        </w:tc>
        <w:tc>
          <w:tcPr>
            <w:tcW w:w="709" w:type="dxa"/>
            <w:vAlign w:val="center"/>
          </w:tcPr>
          <w:p w14:paraId="41258AE8">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单位</w:t>
            </w:r>
          </w:p>
        </w:tc>
        <w:tc>
          <w:tcPr>
            <w:tcW w:w="1016" w:type="dxa"/>
            <w:vAlign w:val="center"/>
          </w:tcPr>
          <w:p w14:paraId="71A6AE56">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单价（元）</w:t>
            </w:r>
          </w:p>
          <w:p w14:paraId="1A9556BA">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②</w:t>
            </w:r>
          </w:p>
        </w:tc>
        <w:tc>
          <w:tcPr>
            <w:tcW w:w="1564" w:type="dxa"/>
            <w:vAlign w:val="center"/>
          </w:tcPr>
          <w:p w14:paraId="3B6DFCA3">
            <w:pPr>
              <w:snapToGrid w:val="0"/>
              <w:jc w:val="center"/>
              <w:rPr>
                <w:rFonts w:ascii="Arial" w:hAnsi="Arial" w:eastAsia="宋体" w:cs="Arial"/>
                <w:color w:val="auto"/>
                <w:szCs w:val="21"/>
                <w:highlight w:val="none"/>
              </w:rPr>
            </w:pPr>
            <w:r>
              <w:rPr>
                <w:rFonts w:ascii="Arial" w:hAnsi="Arial" w:eastAsia="宋体" w:cs="Arial"/>
                <w:b/>
                <w:color w:val="auto"/>
                <w:szCs w:val="21"/>
                <w:highlight w:val="none"/>
              </w:rPr>
              <w:t>单项合计金额</w:t>
            </w:r>
            <w:r>
              <w:rPr>
                <w:rFonts w:ascii="Arial" w:hAnsi="Arial" w:eastAsia="宋体" w:cs="Arial"/>
                <w:color w:val="auto"/>
                <w:szCs w:val="21"/>
                <w:highlight w:val="none"/>
              </w:rPr>
              <w:t>（元）</w:t>
            </w:r>
          </w:p>
          <w:p w14:paraId="092FF008">
            <w:pPr>
              <w:snapToGrid w:val="0"/>
              <w:jc w:val="center"/>
              <w:rPr>
                <w:rFonts w:ascii="Arial" w:hAnsi="Arial" w:eastAsia="宋体" w:cs="Arial"/>
                <w:color w:val="auto"/>
                <w:szCs w:val="21"/>
                <w:highlight w:val="none"/>
              </w:rPr>
            </w:pPr>
            <w:r>
              <w:rPr>
                <w:rFonts w:ascii="Arial" w:hAnsi="Arial" w:eastAsia="宋体" w:cs="Arial"/>
                <w:color w:val="auto"/>
                <w:szCs w:val="21"/>
                <w:highlight w:val="none"/>
              </w:rPr>
              <w:t>③＝①×②</w:t>
            </w:r>
          </w:p>
        </w:tc>
      </w:tr>
      <w:tr w14:paraId="776E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031" w:type="dxa"/>
            <w:vAlign w:val="center"/>
          </w:tcPr>
          <w:p w14:paraId="785815DD">
            <w:pPr>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1701" w:type="dxa"/>
            <w:vAlign w:val="center"/>
          </w:tcPr>
          <w:p w14:paraId="79CA4747">
            <w:pPr>
              <w:jc w:val="center"/>
              <w:rPr>
                <w:rFonts w:ascii="Arial" w:hAnsi="Arial" w:eastAsia="宋体" w:cs="Arial"/>
                <w:color w:val="auto"/>
                <w:szCs w:val="21"/>
                <w:highlight w:val="none"/>
              </w:rPr>
            </w:pPr>
          </w:p>
        </w:tc>
        <w:tc>
          <w:tcPr>
            <w:tcW w:w="992" w:type="dxa"/>
            <w:vAlign w:val="center"/>
          </w:tcPr>
          <w:p w14:paraId="22413C1E">
            <w:pPr>
              <w:snapToGrid w:val="0"/>
              <w:rPr>
                <w:rFonts w:ascii="Arial" w:hAnsi="Arial" w:eastAsia="宋体" w:cs="Arial"/>
                <w:color w:val="auto"/>
                <w:szCs w:val="21"/>
                <w:highlight w:val="none"/>
              </w:rPr>
            </w:pPr>
          </w:p>
        </w:tc>
        <w:tc>
          <w:tcPr>
            <w:tcW w:w="1134" w:type="dxa"/>
            <w:vAlign w:val="center"/>
          </w:tcPr>
          <w:p w14:paraId="741321E6">
            <w:pPr>
              <w:snapToGrid w:val="0"/>
              <w:rPr>
                <w:rFonts w:ascii="Arial" w:hAnsi="Arial" w:eastAsia="宋体" w:cs="Arial"/>
                <w:color w:val="auto"/>
                <w:szCs w:val="21"/>
                <w:highlight w:val="none"/>
              </w:rPr>
            </w:pPr>
          </w:p>
        </w:tc>
        <w:tc>
          <w:tcPr>
            <w:tcW w:w="851" w:type="dxa"/>
            <w:vAlign w:val="center"/>
          </w:tcPr>
          <w:p w14:paraId="30201871">
            <w:pPr>
              <w:snapToGrid w:val="0"/>
              <w:rPr>
                <w:rFonts w:ascii="Arial" w:hAnsi="Arial" w:eastAsia="宋体" w:cs="Arial"/>
                <w:color w:val="auto"/>
                <w:szCs w:val="21"/>
                <w:highlight w:val="none"/>
              </w:rPr>
            </w:pPr>
          </w:p>
        </w:tc>
        <w:tc>
          <w:tcPr>
            <w:tcW w:w="708" w:type="dxa"/>
            <w:vAlign w:val="center"/>
          </w:tcPr>
          <w:p w14:paraId="2CFC62E5">
            <w:pPr>
              <w:jc w:val="center"/>
              <w:rPr>
                <w:rFonts w:ascii="Arial" w:hAnsi="Arial" w:eastAsia="宋体" w:cs="Arial"/>
                <w:color w:val="auto"/>
                <w:szCs w:val="21"/>
                <w:highlight w:val="none"/>
              </w:rPr>
            </w:pPr>
          </w:p>
        </w:tc>
        <w:tc>
          <w:tcPr>
            <w:tcW w:w="709" w:type="dxa"/>
            <w:vAlign w:val="center"/>
          </w:tcPr>
          <w:p w14:paraId="2BE60AB8">
            <w:pPr>
              <w:jc w:val="center"/>
              <w:rPr>
                <w:rFonts w:ascii="Arial" w:hAnsi="Arial" w:eastAsia="宋体" w:cs="Arial"/>
                <w:color w:val="auto"/>
                <w:szCs w:val="21"/>
                <w:highlight w:val="none"/>
              </w:rPr>
            </w:pPr>
          </w:p>
        </w:tc>
        <w:tc>
          <w:tcPr>
            <w:tcW w:w="1016" w:type="dxa"/>
            <w:vAlign w:val="center"/>
          </w:tcPr>
          <w:p w14:paraId="2FE3ED01">
            <w:pPr>
              <w:snapToGrid w:val="0"/>
              <w:rPr>
                <w:rFonts w:ascii="Arial" w:hAnsi="Arial" w:eastAsia="宋体" w:cs="Arial"/>
                <w:color w:val="auto"/>
                <w:szCs w:val="21"/>
                <w:highlight w:val="none"/>
              </w:rPr>
            </w:pPr>
          </w:p>
        </w:tc>
        <w:tc>
          <w:tcPr>
            <w:tcW w:w="1564" w:type="dxa"/>
            <w:vAlign w:val="center"/>
          </w:tcPr>
          <w:p w14:paraId="3D1B210A">
            <w:pPr>
              <w:snapToGrid w:val="0"/>
              <w:rPr>
                <w:rFonts w:ascii="Arial" w:hAnsi="Arial" w:eastAsia="宋体" w:cs="Arial"/>
                <w:color w:val="auto"/>
                <w:szCs w:val="21"/>
                <w:highlight w:val="none"/>
              </w:rPr>
            </w:pPr>
          </w:p>
        </w:tc>
      </w:tr>
      <w:tr w14:paraId="6DF3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031" w:type="dxa"/>
            <w:vAlign w:val="center"/>
          </w:tcPr>
          <w:p w14:paraId="0FB5B7E7">
            <w:pPr>
              <w:jc w:val="center"/>
              <w:rPr>
                <w:rFonts w:ascii="Arial" w:hAnsi="Arial" w:eastAsia="宋体" w:cs="Arial"/>
                <w:color w:val="auto"/>
                <w:szCs w:val="21"/>
                <w:highlight w:val="none"/>
              </w:rPr>
            </w:pPr>
            <w:r>
              <w:rPr>
                <w:rFonts w:ascii="Arial" w:hAnsi="Arial" w:eastAsia="宋体" w:cs="Arial"/>
                <w:color w:val="auto"/>
                <w:szCs w:val="21"/>
                <w:highlight w:val="none"/>
              </w:rPr>
              <w:t>2</w:t>
            </w:r>
          </w:p>
        </w:tc>
        <w:tc>
          <w:tcPr>
            <w:tcW w:w="1701" w:type="dxa"/>
            <w:vAlign w:val="center"/>
          </w:tcPr>
          <w:p w14:paraId="066F623B">
            <w:pPr>
              <w:jc w:val="center"/>
              <w:rPr>
                <w:rFonts w:ascii="Arial" w:hAnsi="Arial" w:eastAsia="宋体" w:cs="Arial"/>
                <w:color w:val="auto"/>
                <w:szCs w:val="21"/>
                <w:highlight w:val="none"/>
              </w:rPr>
            </w:pPr>
          </w:p>
        </w:tc>
        <w:tc>
          <w:tcPr>
            <w:tcW w:w="992" w:type="dxa"/>
            <w:vAlign w:val="center"/>
          </w:tcPr>
          <w:p w14:paraId="7EDB4F8A">
            <w:pPr>
              <w:snapToGrid w:val="0"/>
              <w:rPr>
                <w:rFonts w:ascii="Arial" w:hAnsi="Arial" w:eastAsia="宋体" w:cs="Arial"/>
                <w:color w:val="auto"/>
                <w:szCs w:val="21"/>
                <w:highlight w:val="none"/>
              </w:rPr>
            </w:pPr>
          </w:p>
        </w:tc>
        <w:tc>
          <w:tcPr>
            <w:tcW w:w="1134" w:type="dxa"/>
            <w:vAlign w:val="center"/>
          </w:tcPr>
          <w:p w14:paraId="728BB211">
            <w:pPr>
              <w:snapToGrid w:val="0"/>
              <w:rPr>
                <w:rFonts w:ascii="Arial" w:hAnsi="Arial" w:eastAsia="宋体" w:cs="Arial"/>
                <w:color w:val="auto"/>
                <w:szCs w:val="21"/>
                <w:highlight w:val="none"/>
              </w:rPr>
            </w:pPr>
          </w:p>
        </w:tc>
        <w:tc>
          <w:tcPr>
            <w:tcW w:w="851" w:type="dxa"/>
            <w:vAlign w:val="center"/>
          </w:tcPr>
          <w:p w14:paraId="2C2552C3">
            <w:pPr>
              <w:snapToGrid w:val="0"/>
              <w:rPr>
                <w:rFonts w:ascii="Arial" w:hAnsi="Arial" w:eastAsia="宋体" w:cs="Arial"/>
                <w:color w:val="auto"/>
                <w:szCs w:val="21"/>
                <w:highlight w:val="none"/>
              </w:rPr>
            </w:pPr>
          </w:p>
        </w:tc>
        <w:tc>
          <w:tcPr>
            <w:tcW w:w="708" w:type="dxa"/>
            <w:vAlign w:val="center"/>
          </w:tcPr>
          <w:p w14:paraId="74C3AAF0">
            <w:pPr>
              <w:jc w:val="center"/>
              <w:rPr>
                <w:rFonts w:ascii="Arial" w:hAnsi="Arial" w:eastAsia="宋体" w:cs="Arial"/>
                <w:color w:val="auto"/>
                <w:szCs w:val="21"/>
                <w:highlight w:val="none"/>
              </w:rPr>
            </w:pPr>
          </w:p>
        </w:tc>
        <w:tc>
          <w:tcPr>
            <w:tcW w:w="709" w:type="dxa"/>
            <w:vAlign w:val="center"/>
          </w:tcPr>
          <w:p w14:paraId="2D319303">
            <w:pPr>
              <w:jc w:val="center"/>
              <w:rPr>
                <w:rFonts w:ascii="Arial" w:hAnsi="Arial" w:eastAsia="宋体" w:cs="Arial"/>
                <w:color w:val="auto"/>
                <w:szCs w:val="21"/>
                <w:highlight w:val="none"/>
              </w:rPr>
            </w:pPr>
          </w:p>
        </w:tc>
        <w:tc>
          <w:tcPr>
            <w:tcW w:w="1016" w:type="dxa"/>
            <w:vAlign w:val="center"/>
          </w:tcPr>
          <w:p w14:paraId="708423AF">
            <w:pPr>
              <w:snapToGrid w:val="0"/>
              <w:rPr>
                <w:rFonts w:ascii="Arial" w:hAnsi="Arial" w:eastAsia="宋体" w:cs="Arial"/>
                <w:color w:val="auto"/>
                <w:szCs w:val="21"/>
                <w:highlight w:val="none"/>
              </w:rPr>
            </w:pPr>
          </w:p>
        </w:tc>
        <w:tc>
          <w:tcPr>
            <w:tcW w:w="1564" w:type="dxa"/>
            <w:vAlign w:val="center"/>
          </w:tcPr>
          <w:p w14:paraId="1CD169AA">
            <w:pPr>
              <w:snapToGrid w:val="0"/>
              <w:rPr>
                <w:rFonts w:ascii="Arial" w:hAnsi="Arial" w:eastAsia="宋体" w:cs="Arial"/>
                <w:color w:val="auto"/>
                <w:szCs w:val="21"/>
                <w:highlight w:val="none"/>
              </w:rPr>
            </w:pPr>
          </w:p>
        </w:tc>
      </w:tr>
      <w:tr w14:paraId="4E73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031" w:type="dxa"/>
            <w:vAlign w:val="center"/>
          </w:tcPr>
          <w:p w14:paraId="334EA9F1">
            <w:pPr>
              <w:widowControl/>
              <w:jc w:val="center"/>
              <w:rPr>
                <w:rFonts w:ascii="Arial" w:hAnsi="Arial" w:eastAsia="宋体" w:cs="Arial"/>
                <w:color w:val="auto"/>
                <w:szCs w:val="21"/>
                <w:highlight w:val="none"/>
              </w:rPr>
            </w:pPr>
            <w:r>
              <w:rPr>
                <w:rFonts w:ascii="Arial" w:hAnsi="Arial" w:eastAsia="宋体" w:cs="Arial"/>
                <w:color w:val="auto"/>
                <w:szCs w:val="21"/>
                <w:highlight w:val="none"/>
              </w:rPr>
              <w:t>……</w:t>
            </w:r>
          </w:p>
        </w:tc>
        <w:tc>
          <w:tcPr>
            <w:tcW w:w="1701" w:type="dxa"/>
            <w:vAlign w:val="center"/>
          </w:tcPr>
          <w:p w14:paraId="55726FDE">
            <w:pPr>
              <w:widowControl/>
              <w:jc w:val="center"/>
              <w:textAlignment w:val="center"/>
              <w:rPr>
                <w:rFonts w:ascii="Arial" w:hAnsi="Arial" w:eastAsia="宋体" w:cs="Arial"/>
                <w:color w:val="auto"/>
                <w:szCs w:val="21"/>
                <w:highlight w:val="none"/>
              </w:rPr>
            </w:pPr>
          </w:p>
        </w:tc>
        <w:tc>
          <w:tcPr>
            <w:tcW w:w="992" w:type="dxa"/>
            <w:vAlign w:val="center"/>
          </w:tcPr>
          <w:p w14:paraId="6704E1CE">
            <w:pPr>
              <w:snapToGrid w:val="0"/>
              <w:rPr>
                <w:rFonts w:ascii="Arial" w:hAnsi="Arial" w:eastAsia="宋体" w:cs="Arial"/>
                <w:color w:val="auto"/>
                <w:szCs w:val="21"/>
                <w:highlight w:val="none"/>
              </w:rPr>
            </w:pPr>
          </w:p>
        </w:tc>
        <w:tc>
          <w:tcPr>
            <w:tcW w:w="1134" w:type="dxa"/>
            <w:vAlign w:val="center"/>
          </w:tcPr>
          <w:p w14:paraId="34920373">
            <w:pPr>
              <w:snapToGrid w:val="0"/>
              <w:rPr>
                <w:rFonts w:ascii="Arial" w:hAnsi="Arial" w:eastAsia="宋体" w:cs="Arial"/>
                <w:color w:val="auto"/>
                <w:szCs w:val="21"/>
                <w:highlight w:val="none"/>
              </w:rPr>
            </w:pPr>
          </w:p>
        </w:tc>
        <w:tc>
          <w:tcPr>
            <w:tcW w:w="851" w:type="dxa"/>
            <w:vAlign w:val="center"/>
          </w:tcPr>
          <w:p w14:paraId="53191CE8">
            <w:pPr>
              <w:snapToGrid w:val="0"/>
              <w:rPr>
                <w:rFonts w:ascii="Arial" w:hAnsi="Arial" w:eastAsia="宋体" w:cs="Arial"/>
                <w:color w:val="auto"/>
                <w:szCs w:val="21"/>
                <w:highlight w:val="none"/>
              </w:rPr>
            </w:pPr>
          </w:p>
        </w:tc>
        <w:tc>
          <w:tcPr>
            <w:tcW w:w="708" w:type="dxa"/>
            <w:vAlign w:val="center"/>
          </w:tcPr>
          <w:p w14:paraId="09E484BF">
            <w:pPr>
              <w:jc w:val="center"/>
              <w:rPr>
                <w:rFonts w:ascii="Arial" w:hAnsi="Arial" w:eastAsia="宋体" w:cs="Arial"/>
                <w:color w:val="auto"/>
                <w:szCs w:val="21"/>
                <w:highlight w:val="none"/>
              </w:rPr>
            </w:pPr>
          </w:p>
        </w:tc>
        <w:tc>
          <w:tcPr>
            <w:tcW w:w="709" w:type="dxa"/>
            <w:vAlign w:val="center"/>
          </w:tcPr>
          <w:p w14:paraId="10253106">
            <w:pPr>
              <w:jc w:val="center"/>
              <w:rPr>
                <w:rFonts w:ascii="Arial" w:hAnsi="Arial" w:eastAsia="宋体" w:cs="Arial"/>
                <w:color w:val="auto"/>
                <w:szCs w:val="21"/>
                <w:highlight w:val="none"/>
              </w:rPr>
            </w:pPr>
          </w:p>
        </w:tc>
        <w:tc>
          <w:tcPr>
            <w:tcW w:w="1016" w:type="dxa"/>
            <w:vAlign w:val="center"/>
          </w:tcPr>
          <w:p w14:paraId="22789684">
            <w:pPr>
              <w:snapToGrid w:val="0"/>
              <w:rPr>
                <w:rFonts w:ascii="Arial" w:hAnsi="Arial" w:eastAsia="宋体" w:cs="Arial"/>
                <w:color w:val="auto"/>
                <w:szCs w:val="21"/>
                <w:highlight w:val="none"/>
              </w:rPr>
            </w:pPr>
          </w:p>
        </w:tc>
        <w:tc>
          <w:tcPr>
            <w:tcW w:w="1564" w:type="dxa"/>
            <w:vAlign w:val="center"/>
          </w:tcPr>
          <w:p w14:paraId="11045676">
            <w:pPr>
              <w:snapToGrid w:val="0"/>
              <w:rPr>
                <w:rFonts w:ascii="Arial" w:hAnsi="Arial" w:eastAsia="宋体" w:cs="Arial"/>
                <w:color w:val="auto"/>
                <w:szCs w:val="21"/>
                <w:highlight w:val="none"/>
              </w:rPr>
            </w:pPr>
          </w:p>
        </w:tc>
      </w:tr>
      <w:tr w14:paraId="70DC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706" w:type="dxa"/>
            <w:gridSpan w:val="9"/>
            <w:vAlign w:val="center"/>
          </w:tcPr>
          <w:p w14:paraId="6646A3C8">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 xml:space="preserve">（合计金额）大写：                  </w:t>
            </w:r>
            <w:r>
              <w:rPr>
                <w:rFonts w:ascii="Arial" w:hAnsi="Arial" w:eastAsia="宋体" w:cs="Arial"/>
                <w:color w:val="auto"/>
                <w:spacing w:val="20"/>
                <w:szCs w:val="21"/>
                <w:highlight w:val="none"/>
              </w:rPr>
              <w:t>人民币（¥               ）</w:t>
            </w:r>
          </w:p>
        </w:tc>
      </w:tr>
    </w:tbl>
    <w:p w14:paraId="13802AD6">
      <w:pPr>
        <w:snapToGrid w:val="0"/>
        <w:spacing w:line="340" w:lineRule="exact"/>
        <w:rPr>
          <w:rFonts w:ascii="Arial" w:hAnsi="Arial" w:eastAsia="宋体" w:cs="Arial"/>
          <w:color w:val="auto"/>
          <w:highlight w:val="none"/>
        </w:rPr>
      </w:pPr>
      <w:r>
        <w:rPr>
          <w:rFonts w:ascii="Arial" w:hAnsi="Arial" w:eastAsia="宋体" w:cs="Arial"/>
          <w:color w:val="auto"/>
          <w:szCs w:val="21"/>
          <w:highlight w:val="none"/>
        </w:rPr>
        <w:t>2.</w:t>
      </w:r>
      <w:r>
        <w:rPr>
          <w:rFonts w:ascii="Arial" w:hAnsi="Arial" w:eastAsia="宋体" w:cs="Arial"/>
          <w:color w:val="auto"/>
          <w:highlight w:val="none"/>
        </w:rPr>
        <w:t>合同合计金额包括：本次采购范围内货物货款、货物标准附件、备品备件、专用工具、包装、运输、装卸、保险、税金、货到就位以及安装、安装所需辅材、调试、培训、保修和采购文件要求提供的所有伴随服务、工程等费用和税费。</w:t>
      </w:r>
    </w:p>
    <w:p w14:paraId="106927D7">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第二条　质量保证</w:t>
      </w:r>
    </w:p>
    <w:p w14:paraId="1CE591C3">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1.乙方所提供的产品名称、商标品牌、生产厂家、规格型号、技术参数等内容必须与</w:t>
      </w:r>
      <w:r>
        <w:rPr>
          <w:rFonts w:ascii="Arial" w:hAnsi="Arial" w:eastAsia="宋体" w:cs="Arial"/>
          <w:color w:val="auto"/>
          <w:highlight w:val="none"/>
        </w:rPr>
        <w:t>采购文件</w:t>
      </w:r>
      <w:r>
        <w:rPr>
          <w:rFonts w:ascii="Arial" w:hAnsi="Arial" w:eastAsia="宋体" w:cs="Arial"/>
          <w:color w:val="auto"/>
          <w:szCs w:val="21"/>
          <w:highlight w:val="none"/>
        </w:rPr>
        <w:t>规定及投标（响应）文件承诺相一致。乙方提供的节能和环保产品必须是列入政府采购</w:t>
      </w:r>
      <w:r>
        <w:rPr>
          <w:rFonts w:ascii="Arial" w:hAnsi="Arial" w:eastAsia="宋体" w:cs="Arial"/>
          <w:color w:val="auto"/>
          <w:highlight w:val="none"/>
        </w:rPr>
        <w:t>品目</w:t>
      </w:r>
      <w:r>
        <w:rPr>
          <w:rFonts w:ascii="Arial" w:hAnsi="Arial" w:eastAsia="宋体" w:cs="Arial"/>
          <w:color w:val="auto"/>
          <w:szCs w:val="21"/>
          <w:highlight w:val="none"/>
        </w:rPr>
        <w:t>清单的产品。</w:t>
      </w:r>
    </w:p>
    <w:p w14:paraId="7E019D62">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2.乙方所提供的货物必须是全新、未使用的原装产品，且在正常安装、使用和保养条件下，其使用寿命期内各项指标均达到</w:t>
      </w:r>
      <w:r>
        <w:rPr>
          <w:rFonts w:ascii="Arial" w:hAnsi="Arial" w:eastAsia="宋体" w:cs="Arial"/>
          <w:color w:val="auto"/>
          <w:highlight w:val="none"/>
        </w:rPr>
        <w:t>采购文件</w:t>
      </w:r>
      <w:r>
        <w:rPr>
          <w:rFonts w:ascii="Arial" w:hAnsi="Arial" w:eastAsia="宋体" w:cs="Arial"/>
          <w:color w:val="auto"/>
          <w:szCs w:val="21"/>
          <w:highlight w:val="none"/>
        </w:rPr>
        <w:t>规定或投标（响应）文件承诺的质量要求。</w:t>
      </w:r>
    </w:p>
    <w:p w14:paraId="285E8723">
      <w:pPr>
        <w:tabs>
          <w:tab w:val="left" w:pos="900"/>
        </w:tabs>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第三条　权利保证</w:t>
      </w:r>
    </w:p>
    <w:p w14:paraId="6C88D60C">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1.甲方在履行合同过程中提供给乙方的全部图纸、文件和其他含有数据和信息的资料，其知识产权属于甲方。</w:t>
      </w:r>
    </w:p>
    <w:p w14:paraId="300C5C02">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616A3992">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3.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3198344">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4.乙方应按</w:t>
      </w:r>
      <w:r>
        <w:rPr>
          <w:rFonts w:ascii="Arial" w:hAnsi="Arial" w:eastAsia="宋体" w:cs="Arial"/>
          <w:color w:val="auto"/>
          <w:highlight w:val="none"/>
        </w:rPr>
        <w:t>采购文件</w:t>
      </w:r>
      <w:r>
        <w:rPr>
          <w:rFonts w:ascii="Arial" w:hAnsi="Arial" w:eastAsia="宋体" w:cs="Arial"/>
          <w:color w:val="auto"/>
          <w:szCs w:val="21"/>
          <w:highlight w:val="none"/>
        </w:rPr>
        <w:t>规定或投标（响应）文件承诺的时间向甲方提供使用货物的有关技术资料。</w:t>
      </w:r>
    </w:p>
    <w:p w14:paraId="7CA6529A">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5.未经甲方书面同意，乙方不得将由甲方提供的有关合同或任何合同条款、规格、计划、图纸、样品或资料提供给与履行本合同无关的任何其他人。即使向履行本合同有关的人员提供，也应注意保密并限于履行合同的必需范围。</w:t>
      </w:r>
    </w:p>
    <w:p w14:paraId="7F6EC27E">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6.乙方保证将要交付的货物的所有权完全属于乙方且无任何抵押、质押、查封等产权瑕疵。</w:t>
      </w:r>
    </w:p>
    <w:p w14:paraId="5266A247">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第四条　货物包装、发运及运输</w:t>
      </w:r>
    </w:p>
    <w:p w14:paraId="5C40433E">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1.乙方提供的货物均应按</w:t>
      </w:r>
      <w:r>
        <w:rPr>
          <w:rFonts w:ascii="Arial" w:hAnsi="Arial" w:eastAsia="宋体" w:cs="Arial"/>
          <w:color w:val="auto"/>
          <w:highlight w:val="none"/>
        </w:rPr>
        <w:t>采购文件</w:t>
      </w:r>
      <w:r>
        <w:rPr>
          <w:rFonts w:ascii="Arial" w:hAnsi="Arial" w:eastAsia="宋体" w:cs="Arial"/>
          <w:color w:val="auto"/>
          <w:szCs w:val="21"/>
          <w:highlight w:val="none"/>
        </w:rPr>
        <w:t>规定或投标（响应）文件承诺的要求的包装材料、包装标准、包装方式进行包装，每一包装单元内应附详细的装箱单和质量合格证。</w:t>
      </w:r>
    </w:p>
    <w:p w14:paraId="627E090D">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2.乙方应在货物发运前对其进行满足运输距离、防水、防潮、防震、防锈和防破损装卸等要求包装，以保证货物安全运达甲方指定地点。</w:t>
      </w:r>
    </w:p>
    <w:p w14:paraId="1052D2C7">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3.货物在交付甲方前发生的风险均由乙方负责。</w:t>
      </w:r>
    </w:p>
    <w:p w14:paraId="4C491EDD">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4.使用说明书、质量检验证明书、随配附件和工具以及清单一并附于货物内，进口设备必须提供报关单。</w:t>
      </w:r>
    </w:p>
    <w:p w14:paraId="17E36E1A">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第五条　交付</w:t>
      </w:r>
    </w:p>
    <w:p w14:paraId="5F8FEF43">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1.交货时间：</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【按乙方投标（响应）文件中承诺的不超过</w:t>
      </w:r>
      <w:r>
        <w:rPr>
          <w:rFonts w:ascii="Arial" w:hAnsi="Arial" w:eastAsia="宋体" w:cs="Arial"/>
          <w:color w:val="auto"/>
          <w:highlight w:val="none"/>
        </w:rPr>
        <w:t>采购文件</w:t>
      </w:r>
      <w:r>
        <w:rPr>
          <w:rFonts w:ascii="Arial" w:hAnsi="Arial" w:eastAsia="宋体" w:cs="Arial"/>
          <w:color w:val="auto"/>
          <w:szCs w:val="21"/>
          <w:highlight w:val="none"/>
        </w:rPr>
        <w:t>要求的时间】；交付地点：</w:t>
      </w:r>
      <w:r>
        <w:rPr>
          <w:rFonts w:ascii="Arial" w:hAnsi="Arial" w:eastAsia="宋体" w:cs="Arial"/>
          <w:color w:val="auto"/>
          <w:szCs w:val="21"/>
          <w:highlight w:val="none"/>
          <w:u w:val="single"/>
        </w:rPr>
        <w:t>广西桂林市甲方指定地点</w:t>
      </w:r>
      <w:r>
        <w:rPr>
          <w:rFonts w:ascii="Arial" w:hAnsi="Arial" w:eastAsia="宋体" w:cs="Arial"/>
          <w:color w:val="auto"/>
          <w:szCs w:val="21"/>
          <w:highlight w:val="none"/>
        </w:rPr>
        <w:t>。乙方需在规定的交付期限内将货物送达甲方指定的地点，同时通知甲方货物已送达。</w:t>
      </w:r>
    </w:p>
    <w:p w14:paraId="5709EFAD">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2.乙方提供不符合</w:t>
      </w:r>
      <w:r>
        <w:rPr>
          <w:rFonts w:ascii="Arial" w:hAnsi="Arial" w:eastAsia="宋体" w:cs="Arial"/>
          <w:color w:val="auto"/>
          <w:highlight w:val="none"/>
        </w:rPr>
        <w:t>采购文件</w:t>
      </w:r>
      <w:r>
        <w:rPr>
          <w:rFonts w:ascii="Arial" w:hAnsi="Arial" w:eastAsia="宋体" w:cs="Arial"/>
          <w:color w:val="auto"/>
          <w:szCs w:val="21"/>
          <w:highlight w:val="none"/>
        </w:rPr>
        <w:t>规定或投标（响应）文件承诺的和本合同规定的货物，甲方有权拒绝接受。</w:t>
      </w:r>
    </w:p>
    <w:p w14:paraId="06BA1D99">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3.乙方应将所提供货物的装箱清单、</w:t>
      </w:r>
      <w:r>
        <w:rPr>
          <w:rFonts w:hint="eastAsia" w:ascii="Arial" w:hAnsi="Arial" w:eastAsia="宋体" w:cs="Arial"/>
          <w:color w:val="auto"/>
          <w:szCs w:val="21"/>
          <w:highlight w:val="none"/>
        </w:rPr>
        <w:t>采购人</w:t>
      </w:r>
      <w:r>
        <w:rPr>
          <w:rFonts w:ascii="Arial" w:hAnsi="Arial" w:eastAsia="宋体" w:cs="Arial"/>
          <w:color w:val="auto"/>
          <w:szCs w:val="21"/>
          <w:highlight w:val="none"/>
        </w:rPr>
        <w:t>手册、原厂保修卡、随机资料、工具和备品、备件等交付给甲方，货物属于进口产品的，供货时应同时附上中文使用说明书，如有缺失应在合理的规定时间内补齐，否则视为逾期交货。</w:t>
      </w:r>
    </w:p>
    <w:p w14:paraId="02CAA629">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4.乙方交货前应对产品作出全面检查和对验收文件进行整理，并列出清单，作为甲方收货验收和使用的技术条件依据，检验的结果应随货物交甲方。</w:t>
      </w:r>
    </w:p>
    <w:p w14:paraId="70FDB39B">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第六条　安装和培训</w:t>
      </w:r>
    </w:p>
    <w:p w14:paraId="3B0113BC">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1.甲方应提供必要安装条件（如场地、电源、水源等）。</w:t>
      </w:r>
    </w:p>
    <w:p w14:paraId="15FDDC0C">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2.乙方应当按照投标（响应）文件的承诺对甲方有关人员进行培训。培训时间、地点：</w:t>
      </w:r>
      <w:r>
        <w:rPr>
          <w:rFonts w:ascii="Arial" w:hAnsi="Arial" w:eastAsia="宋体" w:cs="Arial"/>
          <w:color w:val="auto"/>
          <w:szCs w:val="21"/>
          <w:highlight w:val="none"/>
          <w:u w:val="single"/>
        </w:rPr>
        <w:t>由甲方指定。</w:t>
      </w:r>
    </w:p>
    <w:p w14:paraId="613F965A">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第七条  调试和验收</w:t>
      </w:r>
    </w:p>
    <w:p w14:paraId="651363D4">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1.甲方对乙方提交的货物依据</w:t>
      </w:r>
      <w:r>
        <w:rPr>
          <w:rFonts w:ascii="Arial" w:hAnsi="Arial" w:eastAsia="宋体" w:cs="Arial"/>
          <w:color w:val="auto"/>
          <w:highlight w:val="none"/>
        </w:rPr>
        <w:t>采购文件</w:t>
      </w:r>
      <w:r>
        <w:rPr>
          <w:rFonts w:ascii="Arial" w:hAnsi="Arial" w:eastAsia="宋体" w:cs="Arial"/>
          <w:color w:val="auto"/>
          <w:szCs w:val="21"/>
          <w:highlight w:val="none"/>
        </w:rPr>
        <w:t>上的技术规格要求和国家有关质量标准进行现场初步验收，外观、说明书符合</w:t>
      </w:r>
      <w:r>
        <w:rPr>
          <w:rFonts w:ascii="Arial" w:hAnsi="Arial" w:eastAsia="宋体" w:cs="Arial"/>
          <w:color w:val="auto"/>
          <w:highlight w:val="none"/>
        </w:rPr>
        <w:t>采购文件</w:t>
      </w:r>
      <w:r>
        <w:rPr>
          <w:rFonts w:ascii="Arial" w:hAnsi="Arial" w:eastAsia="宋体" w:cs="Arial"/>
          <w:color w:val="auto"/>
          <w:szCs w:val="21"/>
          <w:highlight w:val="none"/>
        </w:rPr>
        <w:t>技术要求的，给予签收，初步验收不合格的不予签收。</w:t>
      </w:r>
    </w:p>
    <w:p w14:paraId="369FB9DF">
      <w:pPr>
        <w:snapToGrid w:val="0"/>
        <w:spacing w:line="340" w:lineRule="exact"/>
        <w:rPr>
          <w:rFonts w:ascii="Arial" w:hAnsi="Arial" w:eastAsia="宋体" w:cs="Arial"/>
          <w:color w:val="auto"/>
          <w:szCs w:val="21"/>
          <w:highlight w:val="none"/>
        </w:rPr>
      </w:pPr>
      <w:r>
        <w:rPr>
          <w:rFonts w:ascii="Arial" w:hAnsi="Arial" w:eastAsia="宋体" w:cs="Arial"/>
          <w:color w:val="auto"/>
          <w:highlight w:val="none"/>
        </w:rPr>
        <w:t>2.乙方交货前应对产品作出全面检查和对验收文件进行整理，并列出清单，作为甲方收货验收和使用的技术条件依据，检验的结果应随货物交甲方。</w:t>
      </w:r>
    </w:p>
    <w:p w14:paraId="4E6C2C7F">
      <w:pPr>
        <w:snapToGrid w:val="0"/>
        <w:spacing w:line="340" w:lineRule="exact"/>
        <w:rPr>
          <w:rFonts w:ascii="Arial" w:hAnsi="Arial" w:eastAsia="宋体" w:cs="Arial"/>
          <w:color w:val="auto"/>
          <w:highlight w:val="none"/>
        </w:rPr>
      </w:pPr>
      <w:r>
        <w:rPr>
          <w:rFonts w:ascii="Arial" w:hAnsi="Arial" w:eastAsia="宋体" w:cs="Arial"/>
          <w:color w:val="auto"/>
          <w:szCs w:val="21"/>
          <w:highlight w:val="none"/>
        </w:rPr>
        <w:t>3.甲方对乙方提供的货物在使用前进行调试时，乙方需负责安装并培训甲方的使用操作人员，并协助甲方一起调试，直到货物安装调试后符合技术要求</w:t>
      </w:r>
      <w:r>
        <w:rPr>
          <w:rFonts w:ascii="Arial" w:hAnsi="Arial" w:eastAsia="宋体" w:cs="Arial"/>
          <w:color w:val="auto"/>
          <w:highlight w:val="none"/>
        </w:rPr>
        <w:t>，甲方才做最终验收。</w:t>
      </w:r>
    </w:p>
    <w:p w14:paraId="1B11BB87">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4.甲方应当在到货（安装、调试完）后，由甲方确认货物满足验收条件后</w:t>
      </w:r>
      <w:r>
        <w:rPr>
          <w:rFonts w:ascii="Arial" w:hAnsi="Arial" w:eastAsia="宋体" w:cs="Arial"/>
          <w:color w:val="auto"/>
          <w:szCs w:val="21"/>
          <w:highlight w:val="none"/>
          <w:u w:val="single"/>
        </w:rPr>
        <w:t>7个工作日</w:t>
      </w:r>
      <w:r>
        <w:rPr>
          <w:rFonts w:ascii="Arial" w:hAnsi="Arial" w:eastAsia="宋体" w:cs="Arial"/>
          <w:color w:val="auto"/>
          <w:szCs w:val="21"/>
          <w:highlight w:val="none"/>
        </w:rPr>
        <w:t>内进行验收，逾期不验收的，乙方可视同验收合格。验收时乙方必须在现场，验收完毕后作出验收结果报告，验收合格后由甲乙双方签署验收报告单，甲乙双方各执一份，验收费用由乙方负责。</w:t>
      </w:r>
    </w:p>
    <w:p w14:paraId="381C0E67">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5.采购人委托采购代理机构组织的验收项目，其验收时间以该项目验收方案确定的验收时间为准，验收结果以该项目验收报告结论为准。</w:t>
      </w:r>
    </w:p>
    <w:p w14:paraId="754FCDD3">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6.在验收过程中发现乙方有违约问题，可暂缓资金结算，待违约问题解决后，方可办理资金结算事宜。</w:t>
      </w:r>
    </w:p>
    <w:p w14:paraId="31DEA3E2">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7.甲方对验收有异议的，在验收后5个工作日内以书面形式向乙方提出，乙方应自收到甲方书面异议后</w:t>
      </w:r>
      <w:r>
        <w:rPr>
          <w:rFonts w:ascii="Arial" w:hAnsi="Arial" w:eastAsia="宋体" w:cs="Arial"/>
          <w:color w:val="auto"/>
          <w:szCs w:val="21"/>
          <w:highlight w:val="none"/>
          <w:u w:val="single"/>
        </w:rPr>
        <w:t xml:space="preserve"> 10 </w:t>
      </w:r>
      <w:r>
        <w:rPr>
          <w:rFonts w:ascii="Arial" w:hAnsi="Arial" w:eastAsia="宋体" w:cs="Arial"/>
          <w:color w:val="auto"/>
          <w:szCs w:val="21"/>
          <w:highlight w:val="none"/>
        </w:rPr>
        <w:t>日内及时予以解决。</w:t>
      </w:r>
    </w:p>
    <w:p w14:paraId="7FD9BC3B">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8.对技术复杂的货物，甲方应请国家认可的专业检测机构参与初步验收及最终验收，并由其出具质量检测报告。</w:t>
      </w:r>
    </w:p>
    <w:p w14:paraId="01E84E25">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第八条　付款方式</w:t>
      </w:r>
    </w:p>
    <w:p w14:paraId="2F7B3DF5">
      <w:pPr>
        <w:snapToGrid w:val="0"/>
        <w:spacing w:line="340" w:lineRule="exact"/>
        <w:rPr>
          <w:rFonts w:ascii="Arial" w:hAnsi="Arial" w:eastAsia="宋体" w:cs="Arial"/>
          <w:color w:val="auto"/>
          <w:highlight w:val="none"/>
        </w:rPr>
      </w:pPr>
      <w:r>
        <w:rPr>
          <w:rFonts w:ascii="Arial" w:hAnsi="Arial" w:eastAsia="宋体" w:cs="Arial"/>
          <w:color w:val="auto"/>
          <w:highlight w:val="none"/>
        </w:rPr>
        <w:t>本项目通过最终验收后，</w:t>
      </w:r>
      <w:r>
        <w:rPr>
          <w:rFonts w:hint="eastAsia" w:ascii="Arial" w:hAnsi="Arial" w:eastAsia="宋体" w:cs="Arial"/>
          <w:color w:val="auto"/>
          <w:highlight w:val="none"/>
        </w:rPr>
        <w:t>乙方</w:t>
      </w:r>
      <w:r>
        <w:rPr>
          <w:rFonts w:ascii="Arial" w:hAnsi="Arial" w:eastAsia="宋体" w:cs="Arial"/>
          <w:color w:val="auto"/>
          <w:highlight w:val="none"/>
        </w:rPr>
        <w:t>开具全额发票（国产设备必须开具增值税专用发票）给</w:t>
      </w:r>
      <w:r>
        <w:rPr>
          <w:rFonts w:hint="eastAsia" w:ascii="Arial" w:hAnsi="Arial" w:eastAsia="宋体" w:cs="Arial"/>
          <w:color w:val="auto"/>
          <w:highlight w:val="none"/>
        </w:rPr>
        <w:t>甲方</w:t>
      </w:r>
      <w:r>
        <w:rPr>
          <w:rFonts w:ascii="Arial" w:hAnsi="Arial" w:eastAsia="宋体" w:cs="Arial"/>
          <w:color w:val="auto"/>
          <w:highlight w:val="none"/>
        </w:rPr>
        <w:t>，</w:t>
      </w:r>
      <w:r>
        <w:rPr>
          <w:rFonts w:hint="eastAsia" w:ascii="Arial" w:hAnsi="Arial" w:eastAsia="宋体" w:cs="Arial"/>
          <w:color w:val="auto"/>
          <w:highlight w:val="none"/>
        </w:rPr>
        <w:t>甲方</w:t>
      </w:r>
      <w:r>
        <w:rPr>
          <w:rFonts w:ascii="Arial" w:hAnsi="Arial" w:eastAsia="宋体" w:cs="Arial"/>
          <w:color w:val="auto"/>
          <w:highlight w:val="none"/>
        </w:rPr>
        <w:t>收到发票后10个工作日内一次性付清100%的合同价款（无息）。</w:t>
      </w:r>
    </w:p>
    <w:p w14:paraId="3E9D345B">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第九条　履约保证金</w:t>
      </w:r>
    </w:p>
    <w:p w14:paraId="2D1456EF">
      <w:pPr>
        <w:snapToGrid w:val="0"/>
        <w:spacing w:line="340" w:lineRule="exact"/>
        <w:rPr>
          <w:rFonts w:ascii="Arial" w:hAnsi="Arial" w:eastAsia="宋体" w:cs="Arial"/>
          <w:color w:val="auto"/>
          <w:highlight w:val="none"/>
        </w:rPr>
      </w:pPr>
      <w:r>
        <w:rPr>
          <w:rFonts w:ascii="Arial" w:hAnsi="Arial" w:eastAsia="宋体" w:cs="Arial"/>
          <w:color w:val="auto"/>
          <w:szCs w:val="21"/>
          <w:highlight w:val="none"/>
        </w:rPr>
        <w:t>1.履约保证金金额</w:t>
      </w:r>
      <w:r>
        <w:rPr>
          <w:rFonts w:ascii="Arial" w:hAnsi="Arial" w:eastAsia="宋体" w:cs="Arial"/>
          <w:color w:val="auto"/>
          <w:highlight w:val="none"/>
        </w:rPr>
        <w:t>：在合同签订之前，</w:t>
      </w:r>
      <w:r>
        <w:rPr>
          <w:rFonts w:hint="eastAsia" w:ascii="Arial" w:hAnsi="Arial" w:eastAsia="宋体" w:cs="Arial"/>
          <w:color w:val="auto"/>
          <w:highlight w:val="none"/>
        </w:rPr>
        <w:t>乙方</w:t>
      </w:r>
      <w:r>
        <w:rPr>
          <w:rFonts w:ascii="Arial" w:hAnsi="Arial" w:eastAsia="宋体" w:cs="Arial"/>
          <w:color w:val="auto"/>
          <w:highlight w:val="none"/>
        </w:rPr>
        <w:t>按成交金额的5%（如</w:t>
      </w:r>
      <w:r>
        <w:rPr>
          <w:rFonts w:hint="eastAsia" w:ascii="Arial" w:hAnsi="Arial" w:eastAsia="宋体" w:cs="Arial"/>
          <w:color w:val="auto"/>
          <w:highlight w:val="none"/>
        </w:rPr>
        <w:t>乙方</w:t>
      </w:r>
      <w:r>
        <w:rPr>
          <w:rFonts w:ascii="Arial" w:hAnsi="Arial" w:eastAsia="宋体" w:cs="Arial"/>
          <w:color w:val="auto"/>
          <w:highlight w:val="none"/>
        </w:rPr>
        <w:t>为中小微企业的，按成交金额的2%）向</w:t>
      </w:r>
      <w:r>
        <w:rPr>
          <w:rFonts w:hint="eastAsia" w:ascii="Arial" w:hAnsi="Arial" w:eastAsia="宋体" w:cs="Arial"/>
          <w:color w:val="auto"/>
          <w:highlight w:val="none"/>
        </w:rPr>
        <w:t>甲方</w:t>
      </w:r>
      <w:r>
        <w:rPr>
          <w:rFonts w:ascii="Arial" w:hAnsi="Arial" w:eastAsia="宋体" w:cs="Arial"/>
          <w:color w:val="auto"/>
          <w:highlight w:val="none"/>
        </w:rPr>
        <w:t>交纳履约保证金。</w:t>
      </w:r>
    </w:p>
    <w:p w14:paraId="23212F10">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2.履约保证金递交方式</w:t>
      </w:r>
      <w:r>
        <w:rPr>
          <w:rFonts w:ascii="Arial" w:hAnsi="Arial" w:eastAsia="宋体" w:cs="Arial"/>
          <w:color w:val="auto"/>
          <w:highlight w:val="none"/>
        </w:rPr>
        <w:t>：</w:t>
      </w:r>
      <w:r>
        <w:rPr>
          <w:rFonts w:ascii="Arial" w:hAnsi="Arial" w:eastAsia="宋体" w:cs="Arial"/>
          <w:color w:val="auto"/>
          <w:kern w:val="0"/>
          <w:szCs w:val="21"/>
          <w:highlight w:val="none"/>
        </w:rPr>
        <w:t>转账或电汇等非现金形式</w:t>
      </w:r>
      <w:r>
        <w:rPr>
          <w:rFonts w:ascii="Arial" w:hAnsi="Arial" w:eastAsia="宋体" w:cs="Arial"/>
          <w:color w:val="auto"/>
          <w:szCs w:val="21"/>
          <w:highlight w:val="none"/>
        </w:rPr>
        <w:t>。</w:t>
      </w:r>
    </w:p>
    <w:p w14:paraId="6D3690FE">
      <w:pPr>
        <w:snapToGrid w:val="0"/>
        <w:spacing w:line="340" w:lineRule="exact"/>
        <w:rPr>
          <w:rFonts w:ascii="Arial" w:hAnsi="Arial" w:eastAsia="宋体" w:cs="Arial"/>
          <w:color w:val="auto"/>
          <w:highlight w:val="none"/>
        </w:rPr>
      </w:pPr>
      <w:r>
        <w:rPr>
          <w:rFonts w:ascii="Arial" w:hAnsi="Arial" w:eastAsia="宋体" w:cs="Arial"/>
          <w:color w:val="auto"/>
          <w:szCs w:val="21"/>
          <w:highlight w:val="none"/>
        </w:rPr>
        <w:t>3.履约保证金指定账户</w:t>
      </w:r>
    </w:p>
    <w:p w14:paraId="4D034E95">
      <w:pPr>
        <w:snapToGrid w:val="0"/>
        <w:spacing w:line="340" w:lineRule="exact"/>
        <w:rPr>
          <w:rFonts w:ascii="Arial" w:hAnsi="Arial" w:eastAsia="宋体" w:cs="Arial"/>
          <w:color w:val="auto"/>
          <w:highlight w:val="none"/>
        </w:rPr>
      </w:pPr>
      <w:r>
        <w:rPr>
          <w:rFonts w:ascii="Arial" w:hAnsi="Arial" w:eastAsia="宋体" w:cs="Arial"/>
          <w:color w:val="auto"/>
          <w:szCs w:val="21"/>
          <w:highlight w:val="none"/>
        </w:rPr>
        <w:t>开户名称</w:t>
      </w:r>
      <w:r>
        <w:rPr>
          <w:rFonts w:ascii="Arial" w:hAnsi="Arial" w:eastAsia="宋体" w:cs="Arial"/>
          <w:color w:val="auto"/>
          <w:highlight w:val="none"/>
        </w:rPr>
        <w:t>：</w:t>
      </w:r>
      <w:r>
        <w:rPr>
          <w:rFonts w:ascii="Arial" w:hAnsi="Arial" w:eastAsia="宋体" w:cs="Arial"/>
          <w:color w:val="auto"/>
          <w:kern w:val="0"/>
          <w:szCs w:val="21"/>
          <w:highlight w:val="none"/>
          <w:u w:val="single"/>
        </w:rPr>
        <w:t>桂林理工大学</w:t>
      </w:r>
      <w:r>
        <w:rPr>
          <w:rFonts w:ascii="Arial" w:hAnsi="Arial" w:eastAsia="宋体" w:cs="Arial"/>
          <w:color w:val="auto"/>
          <w:szCs w:val="21"/>
          <w:highlight w:val="none"/>
        </w:rPr>
        <w:t>；</w:t>
      </w:r>
    </w:p>
    <w:p w14:paraId="237A82E0">
      <w:pPr>
        <w:snapToGrid w:val="0"/>
        <w:spacing w:line="340" w:lineRule="exact"/>
        <w:rPr>
          <w:rFonts w:ascii="Arial" w:hAnsi="Arial" w:eastAsia="宋体" w:cs="Arial"/>
          <w:color w:val="auto"/>
          <w:highlight w:val="none"/>
        </w:rPr>
      </w:pPr>
      <w:r>
        <w:rPr>
          <w:rFonts w:ascii="Arial" w:hAnsi="Arial" w:eastAsia="宋体" w:cs="Arial"/>
          <w:color w:val="auto"/>
          <w:szCs w:val="21"/>
          <w:highlight w:val="none"/>
        </w:rPr>
        <w:t>开户银行</w:t>
      </w:r>
      <w:r>
        <w:rPr>
          <w:rFonts w:ascii="Arial" w:hAnsi="Arial" w:eastAsia="宋体" w:cs="Arial"/>
          <w:color w:val="auto"/>
          <w:highlight w:val="none"/>
        </w:rPr>
        <w:t>：</w:t>
      </w:r>
      <w:r>
        <w:rPr>
          <w:rFonts w:ascii="Arial" w:hAnsi="Arial" w:eastAsia="宋体" w:cs="Arial"/>
          <w:color w:val="auto"/>
          <w:kern w:val="0"/>
          <w:szCs w:val="21"/>
          <w:highlight w:val="none"/>
          <w:u w:val="single"/>
        </w:rPr>
        <w:t>中国银行桂林分行</w:t>
      </w:r>
      <w:r>
        <w:rPr>
          <w:rFonts w:ascii="Arial" w:hAnsi="Arial" w:eastAsia="宋体" w:cs="Arial"/>
          <w:color w:val="auto"/>
          <w:szCs w:val="21"/>
          <w:highlight w:val="none"/>
        </w:rPr>
        <w:t>；</w:t>
      </w:r>
    </w:p>
    <w:p w14:paraId="405679F0">
      <w:pPr>
        <w:snapToGrid w:val="0"/>
        <w:spacing w:line="340" w:lineRule="exact"/>
        <w:rPr>
          <w:rFonts w:ascii="Arial" w:hAnsi="Arial" w:eastAsia="宋体" w:cs="Arial"/>
          <w:color w:val="auto"/>
          <w:highlight w:val="none"/>
        </w:rPr>
      </w:pPr>
      <w:r>
        <w:rPr>
          <w:rFonts w:ascii="Arial" w:hAnsi="Arial" w:eastAsia="宋体" w:cs="Arial"/>
          <w:color w:val="auto"/>
          <w:szCs w:val="21"/>
          <w:highlight w:val="none"/>
        </w:rPr>
        <w:t>银行账号</w:t>
      </w:r>
      <w:r>
        <w:rPr>
          <w:rFonts w:ascii="Arial" w:hAnsi="Arial" w:eastAsia="宋体" w:cs="Arial"/>
          <w:color w:val="auto"/>
          <w:highlight w:val="none"/>
        </w:rPr>
        <w:t>：</w:t>
      </w:r>
      <w:r>
        <w:rPr>
          <w:rFonts w:ascii="Arial" w:hAnsi="Arial" w:eastAsia="宋体" w:cs="Arial"/>
          <w:color w:val="auto"/>
          <w:kern w:val="0"/>
          <w:szCs w:val="21"/>
          <w:highlight w:val="none"/>
          <w:u w:val="single"/>
        </w:rPr>
        <w:t>613257488744</w:t>
      </w:r>
      <w:r>
        <w:rPr>
          <w:rFonts w:ascii="Arial" w:hAnsi="Arial" w:eastAsia="宋体" w:cs="Arial"/>
          <w:color w:val="auto"/>
          <w:szCs w:val="21"/>
          <w:highlight w:val="none"/>
        </w:rPr>
        <w:t>。</w:t>
      </w:r>
    </w:p>
    <w:p w14:paraId="72FB4321">
      <w:pPr>
        <w:snapToGrid w:val="0"/>
        <w:spacing w:line="340" w:lineRule="exact"/>
        <w:rPr>
          <w:rFonts w:ascii="Arial" w:hAnsi="Arial" w:eastAsia="宋体" w:cs="Arial"/>
          <w:color w:val="auto"/>
          <w:kern w:val="0"/>
          <w:highlight w:val="none"/>
        </w:rPr>
      </w:pPr>
      <w:r>
        <w:rPr>
          <w:rFonts w:ascii="Arial" w:hAnsi="Arial" w:eastAsia="宋体" w:cs="Arial"/>
          <w:color w:val="auto"/>
          <w:szCs w:val="21"/>
          <w:highlight w:val="none"/>
        </w:rPr>
        <w:t>4.履约保证金退付方式</w:t>
      </w:r>
      <w:r>
        <w:rPr>
          <w:rFonts w:ascii="Arial" w:hAnsi="Arial" w:eastAsia="宋体" w:cs="Arial"/>
          <w:color w:val="auto"/>
          <w:highlight w:val="none"/>
        </w:rPr>
        <w:t>、时间及条件</w:t>
      </w:r>
      <w:r>
        <w:rPr>
          <w:rFonts w:ascii="Arial" w:hAnsi="Arial" w:eastAsia="宋体" w:cs="Arial"/>
          <w:color w:val="auto"/>
          <w:kern w:val="0"/>
          <w:highlight w:val="none"/>
        </w:rPr>
        <w:t>：</w:t>
      </w:r>
    </w:p>
    <w:p w14:paraId="65C8BF66">
      <w:pPr>
        <w:snapToGrid w:val="0"/>
        <w:spacing w:line="340" w:lineRule="exact"/>
        <w:rPr>
          <w:rFonts w:ascii="Arial" w:hAnsi="Arial" w:eastAsia="宋体" w:cs="Arial"/>
          <w:color w:val="auto"/>
          <w:highlight w:val="none"/>
        </w:rPr>
      </w:pPr>
      <w:r>
        <w:rPr>
          <w:rFonts w:ascii="Arial" w:hAnsi="Arial" w:eastAsia="宋体" w:cs="Arial"/>
          <w:color w:val="auto"/>
          <w:highlight w:val="none"/>
        </w:rPr>
        <w:t>（1）</w:t>
      </w:r>
      <w:r>
        <w:rPr>
          <w:rFonts w:hint="eastAsia" w:ascii="Arial" w:hAnsi="Arial" w:eastAsia="宋体" w:cs="Arial"/>
          <w:color w:val="auto"/>
          <w:highlight w:val="none"/>
        </w:rPr>
        <w:t>乙方</w:t>
      </w:r>
      <w:r>
        <w:rPr>
          <w:rFonts w:ascii="Arial" w:hAnsi="Arial" w:eastAsia="宋体" w:cs="Arial"/>
          <w:color w:val="auto"/>
          <w:highlight w:val="none"/>
        </w:rPr>
        <w:t>须按上述规定的金额、方式将履约保证金转入桂林理工大学账户。否则，不予签订合同。</w:t>
      </w:r>
    </w:p>
    <w:p w14:paraId="1AE59409">
      <w:pPr>
        <w:snapToGrid w:val="0"/>
        <w:spacing w:line="340" w:lineRule="exact"/>
        <w:rPr>
          <w:rFonts w:ascii="Arial" w:hAnsi="Arial" w:eastAsia="宋体" w:cs="Arial"/>
          <w:color w:val="auto"/>
          <w:highlight w:val="none"/>
        </w:rPr>
      </w:pPr>
      <w:r>
        <w:rPr>
          <w:rFonts w:ascii="Arial" w:hAnsi="Arial" w:eastAsia="宋体" w:cs="Arial"/>
          <w:color w:val="auto"/>
          <w:highlight w:val="none"/>
        </w:rPr>
        <w:t>（2）履约保证金在</w:t>
      </w:r>
      <w:r>
        <w:rPr>
          <w:rFonts w:hint="eastAsia" w:ascii="Arial" w:hAnsi="Arial" w:eastAsia="宋体" w:cs="Arial"/>
          <w:color w:val="auto"/>
          <w:highlight w:val="none"/>
        </w:rPr>
        <w:t>乙方</w:t>
      </w:r>
      <w:r>
        <w:rPr>
          <w:rFonts w:ascii="Arial" w:hAnsi="Arial" w:eastAsia="宋体" w:cs="Arial"/>
          <w:color w:val="auto"/>
          <w:highlight w:val="none"/>
        </w:rPr>
        <w:t>履行完合同约定的权利义务（包括免费保修服务等）事项后7个工作日内，由</w:t>
      </w:r>
      <w:r>
        <w:rPr>
          <w:rFonts w:hint="eastAsia" w:ascii="Arial" w:hAnsi="Arial" w:eastAsia="宋体" w:cs="Arial"/>
          <w:color w:val="auto"/>
          <w:highlight w:val="none"/>
        </w:rPr>
        <w:t>乙方</w:t>
      </w:r>
      <w:r>
        <w:rPr>
          <w:rFonts w:ascii="Arial" w:hAnsi="Arial" w:eastAsia="宋体" w:cs="Arial"/>
          <w:color w:val="auto"/>
          <w:highlight w:val="none"/>
        </w:rPr>
        <w:t>凭履约保证金的申请表及合同向</w:t>
      </w:r>
      <w:r>
        <w:rPr>
          <w:rFonts w:hint="eastAsia" w:ascii="Arial" w:hAnsi="Arial" w:eastAsia="宋体" w:cs="Arial"/>
          <w:color w:val="auto"/>
          <w:highlight w:val="none"/>
        </w:rPr>
        <w:t>甲方</w:t>
      </w:r>
      <w:r>
        <w:rPr>
          <w:rFonts w:ascii="Arial" w:hAnsi="Arial" w:eastAsia="宋体" w:cs="Arial"/>
          <w:color w:val="auto"/>
          <w:highlight w:val="none"/>
        </w:rPr>
        <w:t>申请办理履约保证金退还手续，</w:t>
      </w:r>
      <w:r>
        <w:rPr>
          <w:rFonts w:hint="eastAsia" w:ascii="Arial" w:hAnsi="Arial" w:eastAsia="宋体" w:cs="Arial"/>
          <w:color w:val="auto"/>
          <w:highlight w:val="none"/>
        </w:rPr>
        <w:t>甲方</w:t>
      </w:r>
      <w:r>
        <w:rPr>
          <w:rFonts w:ascii="Arial" w:hAnsi="Arial" w:eastAsia="宋体" w:cs="Arial"/>
          <w:color w:val="auto"/>
          <w:highlight w:val="none"/>
        </w:rPr>
        <w:t>在收到合格材料后5个工作日内以银行转账方式如数退还（不计利息）。</w:t>
      </w:r>
    </w:p>
    <w:p w14:paraId="554F64C7">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第十条  税费</w:t>
      </w:r>
    </w:p>
    <w:p w14:paraId="1D36DE4E">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本合同执行中相关的一切税费均由乙方负担。</w:t>
      </w:r>
    </w:p>
    <w:p w14:paraId="54DD5A3F">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第十一条  售后服务及质保期</w:t>
      </w:r>
    </w:p>
    <w:p w14:paraId="675C2E9F">
      <w:pPr>
        <w:snapToGrid w:val="0"/>
        <w:spacing w:line="340" w:lineRule="exact"/>
        <w:rPr>
          <w:rFonts w:ascii="Arial" w:hAnsi="Arial" w:eastAsia="宋体" w:cs="Arial"/>
          <w:color w:val="auto"/>
          <w:szCs w:val="21"/>
          <w:highlight w:val="none"/>
        </w:rPr>
      </w:pPr>
      <w:r>
        <w:rPr>
          <w:rFonts w:ascii="Arial" w:hAnsi="Arial" w:eastAsia="宋体" w:cs="Arial"/>
          <w:bCs/>
          <w:color w:val="auto"/>
          <w:highlight w:val="none"/>
        </w:rPr>
        <w:t>1.</w:t>
      </w:r>
      <w:r>
        <w:rPr>
          <w:rFonts w:ascii="Arial" w:hAnsi="Arial" w:eastAsia="宋体" w:cs="Arial"/>
          <w:color w:val="auto"/>
          <w:highlight w:val="none"/>
        </w:rPr>
        <w:t>乙方应按采购文件规定的产品名称、生产厂家、品牌、规格型号、技术参数、质量标准向甲方提供未经使用的全新产品。不符合要求的，根据实际情况，经双方协商，可按以下办法处理</w:t>
      </w:r>
      <w:r>
        <w:rPr>
          <w:rFonts w:ascii="Arial" w:hAnsi="Arial" w:eastAsia="宋体" w:cs="Arial"/>
          <w:color w:val="auto"/>
          <w:szCs w:val="21"/>
          <w:highlight w:val="none"/>
        </w:rPr>
        <w:t>：</w:t>
      </w:r>
    </w:p>
    <w:p w14:paraId="1A4637F5">
      <w:pPr>
        <w:snapToGrid w:val="0"/>
        <w:spacing w:line="340" w:lineRule="exact"/>
        <w:rPr>
          <w:rFonts w:ascii="Arial" w:hAnsi="Arial" w:eastAsia="宋体" w:cs="Arial"/>
          <w:color w:val="auto"/>
          <w:highlight w:val="none"/>
        </w:rPr>
      </w:pPr>
      <w:r>
        <w:rPr>
          <w:rFonts w:ascii="Arial" w:hAnsi="Arial" w:eastAsia="宋体" w:cs="Arial"/>
          <w:color w:val="auto"/>
          <w:highlight w:val="none"/>
        </w:rPr>
        <w:t>⑴更换：由乙方承担所发生的全部费用。</w:t>
      </w:r>
    </w:p>
    <w:p w14:paraId="6185D106">
      <w:pPr>
        <w:snapToGrid w:val="0"/>
        <w:spacing w:line="340" w:lineRule="exact"/>
        <w:rPr>
          <w:rFonts w:ascii="Arial" w:hAnsi="Arial" w:eastAsia="宋体" w:cs="Arial"/>
          <w:color w:val="auto"/>
          <w:highlight w:val="none"/>
        </w:rPr>
      </w:pPr>
      <w:r>
        <w:rPr>
          <w:rFonts w:ascii="Arial" w:hAnsi="Arial" w:eastAsia="宋体" w:cs="Arial"/>
          <w:color w:val="auto"/>
          <w:highlight w:val="none"/>
        </w:rPr>
        <w:t>⑵贬值处理：由甲乙双方合议定价。</w:t>
      </w:r>
    </w:p>
    <w:p w14:paraId="46E6FBD3">
      <w:pPr>
        <w:snapToGrid w:val="0"/>
        <w:spacing w:line="340" w:lineRule="exact"/>
        <w:rPr>
          <w:rFonts w:ascii="Arial" w:hAnsi="Arial" w:eastAsia="宋体" w:cs="Arial"/>
          <w:color w:val="auto"/>
          <w:highlight w:val="none"/>
        </w:rPr>
      </w:pPr>
      <w:r>
        <w:rPr>
          <w:rFonts w:ascii="Arial" w:hAnsi="Arial" w:eastAsia="宋体" w:cs="Arial"/>
          <w:color w:val="auto"/>
          <w:highlight w:val="none"/>
        </w:rPr>
        <w:t>⑶退货处理：乙方应退还甲方支付的合同款，同时应承担该货物的直接费用（运输、保险、检验、货款利息及银行手续费等）。</w:t>
      </w:r>
    </w:p>
    <w:p w14:paraId="058E35A4">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w:t>
      </w:r>
      <w:r>
        <w:rPr>
          <w:rFonts w:ascii="Arial" w:hAnsi="Arial" w:eastAsia="宋体" w:cs="Arial"/>
          <w:color w:val="auto"/>
          <w:highlight w:val="none"/>
        </w:rPr>
        <w:t>如在使用过程中发生质量问题</w:t>
      </w:r>
      <w:r>
        <w:rPr>
          <w:rFonts w:ascii="Arial" w:hAnsi="Arial" w:eastAsia="宋体" w:cs="Arial"/>
          <w:color w:val="auto"/>
          <w:szCs w:val="21"/>
          <w:highlight w:val="none"/>
        </w:rPr>
        <w:t>，乙方在接到甲方通知后在按</w:t>
      </w:r>
      <w:r>
        <w:rPr>
          <w:rFonts w:ascii="Arial" w:hAnsi="Arial" w:eastAsia="宋体" w:cs="Arial"/>
          <w:color w:val="auto"/>
          <w:szCs w:val="21"/>
          <w:highlight w:val="none"/>
          <w:u w:val="single"/>
        </w:rPr>
        <w:t>乙方投标（响应）文件中承诺的不超过采购文件要求的响应时间小时内</w:t>
      </w:r>
      <w:r>
        <w:rPr>
          <w:rFonts w:ascii="Arial" w:hAnsi="Arial" w:eastAsia="宋体" w:cs="Arial"/>
          <w:color w:val="auto"/>
          <w:szCs w:val="21"/>
          <w:highlight w:val="none"/>
        </w:rPr>
        <w:t>到达甲方现场处理。</w:t>
      </w:r>
    </w:p>
    <w:p w14:paraId="01D1CDE1">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3.在质保期内，乙方应对货物出现的质量及安全问题负责处理解决并承担一切费用。</w:t>
      </w:r>
    </w:p>
    <w:p w14:paraId="12A6C49E">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4.乙方应按照国家有关法律法规和“三包”规定以及</w:t>
      </w:r>
      <w:r>
        <w:rPr>
          <w:rFonts w:ascii="Arial" w:hAnsi="Arial" w:eastAsia="宋体" w:cs="Arial"/>
          <w:color w:val="auto"/>
          <w:highlight w:val="none"/>
        </w:rPr>
        <w:t>采购文件要求、</w:t>
      </w:r>
      <w:r>
        <w:rPr>
          <w:rFonts w:ascii="Arial" w:hAnsi="Arial" w:eastAsia="宋体" w:cs="Arial"/>
          <w:color w:val="auto"/>
          <w:szCs w:val="21"/>
          <w:highlight w:val="none"/>
        </w:rPr>
        <w:t>投标（响应）文件承诺和本合同所附的《售后服务承诺书》，为甲方提供售后服务。</w:t>
      </w:r>
    </w:p>
    <w:p w14:paraId="626FF97A">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5.货物质保期：按乙方投标（响应）文件中承诺的不少于</w:t>
      </w:r>
      <w:r>
        <w:rPr>
          <w:rFonts w:ascii="Arial" w:hAnsi="Arial" w:eastAsia="宋体" w:cs="Arial"/>
          <w:color w:val="auto"/>
          <w:highlight w:val="none"/>
        </w:rPr>
        <w:t>采购文件要求</w:t>
      </w:r>
      <w:r>
        <w:rPr>
          <w:rFonts w:ascii="Arial" w:hAnsi="Arial" w:eastAsia="宋体" w:cs="Arial"/>
          <w:color w:val="auto"/>
          <w:szCs w:val="21"/>
          <w:highlight w:val="none"/>
        </w:rPr>
        <w:t>的免费保修期限。</w:t>
      </w:r>
    </w:p>
    <w:p w14:paraId="22AA411A">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6.乙方提供的服务承诺和售后服务及保修期责任等其它具体约定事项（见合同附件）。</w:t>
      </w:r>
    </w:p>
    <w:p w14:paraId="6B0156AA">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7.上述的货物免费保修期为</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年（</w:t>
      </w:r>
      <w:r>
        <w:rPr>
          <w:rFonts w:ascii="Arial" w:hAnsi="Arial" w:eastAsia="宋体" w:cs="Arial"/>
          <w:color w:val="auto"/>
          <w:highlight w:val="none"/>
        </w:rPr>
        <w:t>免费保修期自设备验收合格之日起计算，</w:t>
      </w:r>
      <w:r>
        <w:rPr>
          <w:rFonts w:ascii="Arial" w:hAnsi="Arial" w:eastAsia="宋体" w:cs="Arial"/>
          <w:color w:val="auto"/>
          <w:szCs w:val="21"/>
          <w:highlight w:val="none"/>
        </w:rPr>
        <w:t>若乙方投标（响应）承诺免费保修期超过</w:t>
      </w:r>
      <w:r>
        <w:rPr>
          <w:rFonts w:ascii="Arial" w:hAnsi="Arial" w:eastAsia="宋体" w:cs="Arial"/>
          <w:color w:val="auto"/>
          <w:highlight w:val="none"/>
        </w:rPr>
        <w:t>采购文件</w:t>
      </w:r>
      <w:r>
        <w:rPr>
          <w:rFonts w:ascii="Arial" w:hAnsi="Arial" w:eastAsia="宋体" w:cs="Arial"/>
          <w:color w:val="auto"/>
          <w:szCs w:val="21"/>
          <w:highlight w:val="none"/>
        </w:rPr>
        <w:t>要求年限的，按其承诺执行），因人为因素出现的故障不在免费保修范围内。超过保修期的机器设备，终生维修，维修时只收部件成本费。</w:t>
      </w:r>
    </w:p>
    <w:p w14:paraId="6A03DA68">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第十二条　违约责任</w:t>
      </w:r>
    </w:p>
    <w:p w14:paraId="515964ED">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1.乙方所提供的产品名称、生产厂家、品牌、规格型号、技术参数等不符合投标（响应）文件承诺或质量不合格的，应在</w:t>
      </w:r>
      <w:r>
        <w:rPr>
          <w:rFonts w:ascii="Arial" w:hAnsi="Arial" w:eastAsia="宋体" w:cs="Arial"/>
          <w:color w:val="auto"/>
          <w:highlight w:val="none"/>
          <w:u w:val="single"/>
        </w:rPr>
        <w:t>2</w:t>
      </w:r>
      <w:r>
        <w:rPr>
          <w:rFonts w:ascii="Arial" w:hAnsi="Arial" w:eastAsia="宋体" w:cs="Arial"/>
          <w:color w:val="auto"/>
          <w:szCs w:val="21"/>
          <w:highlight w:val="none"/>
        </w:rPr>
        <w:t xml:space="preserve">日内及时更换，更换不及时的按逾期交货处罚；因质量问题甲方不同意接收的或特殊情况甲方同意接收的，乙方应向甲方支付违约货款额 </w:t>
      </w:r>
      <w:r>
        <w:rPr>
          <w:rFonts w:ascii="Arial" w:hAnsi="Arial" w:eastAsia="宋体" w:cs="Arial"/>
          <w:color w:val="auto"/>
          <w:szCs w:val="21"/>
          <w:highlight w:val="none"/>
          <w:u w:val="single"/>
        </w:rPr>
        <w:t>5%</w:t>
      </w:r>
      <w:r>
        <w:rPr>
          <w:rFonts w:ascii="Arial" w:hAnsi="Arial" w:eastAsia="宋体" w:cs="Arial"/>
          <w:color w:val="auto"/>
          <w:szCs w:val="21"/>
          <w:highlight w:val="none"/>
        </w:rPr>
        <w:t>违约金并赔偿甲方经济损失。</w:t>
      </w:r>
    </w:p>
    <w:p w14:paraId="2AB6FCB5">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2.乙方提供的货物如侵犯了第三方合法权益而引发的任何纠纷或诉讼，均由乙方负责交涉并承担全部责任。</w:t>
      </w:r>
    </w:p>
    <w:p w14:paraId="2954D3AF">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3.因包装、运输引起的货物损坏，按质量不合格处罚。</w:t>
      </w:r>
    </w:p>
    <w:p w14:paraId="674831E6">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4.甲方无故延期接收货物、乙方逾期交货的，每天向对方偿付违约货款额3‰违约金，但违约金累计不得超过违约货款额</w:t>
      </w:r>
      <w:r>
        <w:rPr>
          <w:rFonts w:ascii="Arial" w:hAnsi="Arial" w:eastAsia="宋体" w:cs="Arial"/>
          <w:color w:val="auto"/>
          <w:szCs w:val="21"/>
          <w:highlight w:val="none"/>
          <w:u w:val="single"/>
        </w:rPr>
        <w:t>5%</w:t>
      </w:r>
      <w:r>
        <w:rPr>
          <w:rFonts w:ascii="Arial" w:hAnsi="Arial" w:eastAsia="宋体" w:cs="Arial"/>
          <w:color w:val="auto"/>
          <w:szCs w:val="21"/>
          <w:highlight w:val="none"/>
        </w:rPr>
        <w:t>，超过</w:t>
      </w:r>
      <w:r>
        <w:rPr>
          <w:rFonts w:ascii="Arial" w:hAnsi="Arial" w:eastAsia="宋体" w:cs="Arial"/>
          <w:color w:val="auto"/>
          <w:highlight w:val="none"/>
          <w:u w:val="single"/>
        </w:rPr>
        <w:t>7天</w:t>
      </w:r>
      <w:r>
        <w:rPr>
          <w:rFonts w:ascii="Arial" w:hAnsi="Arial" w:eastAsia="宋体" w:cs="Arial"/>
          <w:color w:val="auto"/>
          <w:szCs w:val="21"/>
          <w:highlight w:val="none"/>
        </w:rPr>
        <w:t>对方有权解除合同，违约方承担因此给对方造成经济损失；甲方延期付货款的，每天向乙方偿付延期货款额3‰滞纳金，但滞纳金累计不得超过延期货款额5%。</w:t>
      </w:r>
    </w:p>
    <w:p w14:paraId="627305FB">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5.乙方未按本合同和投标（响应）文件中规定的服务承诺提供售后服务的，乙方应按本合同合计金额 5%向甲方支付违约金。</w:t>
      </w:r>
    </w:p>
    <w:p w14:paraId="7CE8D7E1">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6.乙方提供的货物在质量保证期内，因设计、工艺或材料的缺陷和其它质量原因造成的问题，由乙方负责，费用从履约保证金中扣除，不足另补。</w:t>
      </w:r>
    </w:p>
    <w:p w14:paraId="30CF513E">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7.其它违约行为按违约货款额5%收取违约金并赔偿经济损失。</w:t>
      </w:r>
    </w:p>
    <w:p w14:paraId="68BAAEFF">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8.乙方于响应文件中必须对所有产品的技术参数要求作出真实、有效的响应和承诺。所提供的产品必须为原装正品的、全新的、符合国家有关质量标准的产品。验收前，甲方现场根据采购文件要求及响应文件承诺对各项参数逐条对应进行核验，核验或检测数据不符合甲方要求及响应文件承诺的指标的，甲方有权终止合同执行并全部退货，由此造成甲方经济损失的由成交供应商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成交供应商承担，并承担政府采购虚假竞标的相关法律责任。</w:t>
      </w:r>
    </w:p>
    <w:p w14:paraId="5648DEA2">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第十三条  不可抗力事件处理</w:t>
      </w:r>
    </w:p>
    <w:p w14:paraId="26855510">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1.在合同有效期内，任何一方因不可抗力事件导致不能履行合同，则合同履行期可延长，其延长期与不可抗力影响期相同。</w:t>
      </w:r>
    </w:p>
    <w:p w14:paraId="04674213">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2.不可抗力事件发生后，应立即通知对方，并寄送有关权威机构出具的证明。</w:t>
      </w:r>
    </w:p>
    <w:p w14:paraId="4F092FE8">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3.不可抗力事件延续120天以上，双方应通过友好协商，确定是否继续履行合同。</w:t>
      </w:r>
    </w:p>
    <w:p w14:paraId="07919B7C">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第十四条  合同争议解决</w:t>
      </w:r>
    </w:p>
    <w:p w14:paraId="09373823">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1.因货物质量问题发生争议的，应邀请国家认可的质量检测机构对货物质量进行鉴定。货物符合标准的，鉴定费由甲方承担；货物不符合标准的，鉴定费由乙方承担。</w:t>
      </w:r>
    </w:p>
    <w:p w14:paraId="7C985F9B">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2.因履行本合同引起的或与本合同有关的争议，甲乙双方应首先通过友好协商解决，如果协商不能解决，可向甲方所在地的人民法院提起诉讼。</w:t>
      </w:r>
    </w:p>
    <w:p w14:paraId="756E0789">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第十五条  合同生效及其它</w:t>
      </w:r>
    </w:p>
    <w:p w14:paraId="49DF8322">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1.合同经双方法定代表人（负责人/自然人）或委托代理人签字并加盖单位公章后生效（委托代理人签字的需后附法定代表人授权委托书，格式自拟）。</w:t>
      </w:r>
    </w:p>
    <w:p w14:paraId="698E0711">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2.合同执行中涉及采购资金和采购内容修改或补充的，须经财政部门审批，并签书面补充协议报财政部门备案，方可作为主合同不可分割的一部分。</w:t>
      </w:r>
    </w:p>
    <w:p w14:paraId="6AF7A278">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3.本合同未尽事宜，遵照《</w:t>
      </w:r>
      <w:r>
        <w:rPr>
          <w:rFonts w:ascii="Arial" w:hAnsi="Arial" w:eastAsia="宋体" w:cs="Arial"/>
          <w:color w:val="auto"/>
          <w:szCs w:val="21"/>
          <w:highlight w:val="none"/>
          <w:shd w:val="clear" w:color="auto" w:fill="FFFFFF"/>
        </w:rPr>
        <w:t>中华人民共和国民法典</w:t>
      </w:r>
      <w:r>
        <w:rPr>
          <w:rFonts w:ascii="Arial" w:hAnsi="Arial" w:eastAsia="宋体" w:cs="Arial"/>
          <w:color w:val="auto"/>
          <w:szCs w:val="21"/>
          <w:highlight w:val="none"/>
        </w:rPr>
        <w:t>》有关条文执行。</w:t>
      </w:r>
    </w:p>
    <w:p w14:paraId="1CE55439">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第十六条　合同的变更、终止与转让</w:t>
      </w:r>
    </w:p>
    <w:p w14:paraId="05D1C7CA">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1.除《中华人民共和国政府采购法》第五十条规定的情形外，本合同一经签订，甲乙双方不得擅自变更、中止或终止合同。</w:t>
      </w:r>
    </w:p>
    <w:p w14:paraId="7CB6C72D">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2.乙方不得擅自转让其应履行的合同义务。</w:t>
      </w:r>
    </w:p>
    <w:p w14:paraId="41DDB55C">
      <w:pPr>
        <w:snapToGrid w:val="0"/>
        <w:spacing w:line="340" w:lineRule="exact"/>
        <w:rPr>
          <w:rFonts w:ascii="Arial" w:hAnsi="Arial" w:eastAsia="宋体" w:cs="Arial"/>
          <w:b/>
          <w:color w:val="auto"/>
          <w:szCs w:val="21"/>
          <w:highlight w:val="none"/>
        </w:rPr>
      </w:pPr>
      <w:r>
        <w:rPr>
          <w:rFonts w:ascii="Arial" w:hAnsi="Arial" w:eastAsia="宋体" w:cs="Arial"/>
          <w:b/>
          <w:color w:val="auto"/>
          <w:szCs w:val="21"/>
          <w:highlight w:val="none"/>
        </w:rPr>
        <w:t>第十七条　签订本合同依据</w:t>
      </w:r>
    </w:p>
    <w:p w14:paraId="41827E6B">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1.中标（成交）通知书；</w:t>
      </w:r>
    </w:p>
    <w:p w14:paraId="2DBEE014">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2.乙方提供的投标(响应)文件、应答文件；</w:t>
      </w:r>
    </w:p>
    <w:p w14:paraId="1385BD6B">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3.采购文件及更正公告（澄清或补充通知）；</w:t>
      </w:r>
    </w:p>
    <w:p w14:paraId="54654785">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4.标准、规范及有关技术文件；</w:t>
      </w:r>
    </w:p>
    <w:p w14:paraId="25706144">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5.双方约定的其他合同文件。</w:t>
      </w:r>
    </w:p>
    <w:p w14:paraId="1B0898EF">
      <w:pPr>
        <w:snapToGrid w:val="0"/>
        <w:spacing w:line="340" w:lineRule="exact"/>
        <w:rPr>
          <w:rFonts w:ascii="Arial" w:hAnsi="Arial" w:eastAsia="宋体" w:cs="Arial"/>
          <w:color w:val="auto"/>
          <w:szCs w:val="21"/>
          <w:highlight w:val="none"/>
        </w:rPr>
      </w:pPr>
      <w:r>
        <w:rPr>
          <w:rFonts w:ascii="Arial" w:hAnsi="Arial" w:eastAsia="宋体" w:cs="Arial"/>
          <w:b/>
          <w:color w:val="auto"/>
          <w:szCs w:val="21"/>
          <w:highlight w:val="none"/>
        </w:rPr>
        <w:t>第十八条　本合同一式四份，具有同等法律效力，甲方两份、乙方一份、采购代理机构一份（可根据需要另增加）</w:t>
      </w:r>
      <w:r>
        <w:rPr>
          <w:rFonts w:ascii="Arial" w:hAnsi="Arial" w:eastAsia="宋体" w:cs="Arial"/>
          <w:color w:val="auto"/>
          <w:szCs w:val="21"/>
          <w:highlight w:val="none"/>
        </w:rPr>
        <w:t>。</w:t>
      </w:r>
    </w:p>
    <w:p w14:paraId="443555EB">
      <w:pPr>
        <w:snapToGrid w:val="0"/>
        <w:spacing w:line="340" w:lineRule="exact"/>
        <w:rPr>
          <w:rFonts w:ascii="Arial" w:hAnsi="Arial" w:eastAsia="宋体" w:cs="Arial"/>
          <w:color w:val="auto"/>
          <w:szCs w:val="21"/>
          <w:highlight w:val="none"/>
        </w:rPr>
      </w:pPr>
      <w:r>
        <w:rPr>
          <w:rFonts w:ascii="Arial" w:hAnsi="Arial" w:eastAsia="宋体" w:cs="Arial"/>
          <w:color w:val="auto"/>
          <w:szCs w:val="21"/>
          <w:highlight w:val="none"/>
        </w:rPr>
        <w:t>本合同甲乙双方签字并盖章后生效。</w:t>
      </w:r>
    </w:p>
    <w:p w14:paraId="095B004C">
      <w:pPr>
        <w:snapToGrid w:val="0"/>
        <w:spacing w:line="340" w:lineRule="exact"/>
        <w:rPr>
          <w:rFonts w:ascii="Arial" w:hAnsi="Arial" w:eastAsia="宋体" w:cs="Arial"/>
          <w:color w:val="auto"/>
          <w:szCs w:val="21"/>
          <w:highlight w:val="none"/>
        </w:rPr>
      </w:pPr>
    </w:p>
    <w:tbl>
      <w:tblPr>
        <w:tblStyle w:val="24"/>
        <w:tblW w:w="903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2E9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342F9571">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 xml:space="preserve">甲方（章）           </w:t>
            </w:r>
          </w:p>
          <w:p w14:paraId="782C4764">
            <w:pPr>
              <w:snapToGrid w:val="0"/>
              <w:spacing w:line="360" w:lineRule="exact"/>
              <w:rPr>
                <w:rFonts w:ascii="Arial" w:hAnsi="Arial" w:eastAsia="宋体" w:cs="Arial"/>
                <w:color w:val="auto"/>
                <w:szCs w:val="21"/>
                <w:highlight w:val="none"/>
              </w:rPr>
            </w:pPr>
          </w:p>
          <w:p w14:paraId="2809AB27">
            <w:pPr>
              <w:snapToGrid w:val="0"/>
              <w:spacing w:line="36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年   月   日</w:t>
            </w:r>
          </w:p>
        </w:tc>
        <w:tc>
          <w:tcPr>
            <w:tcW w:w="4517" w:type="dxa"/>
            <w:vAlign w:val="center"/>
          </w:tcPr>
          <w:p w14:paraId="16859474">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 xml:space="preserve">乙方（章）              </w:t>
            </w:r>
          </w:p>
          <w:p w14:paraId="5DD6A8C1">
            <w:pPr>
              <w:snapToGrid w:val="0"/>
              <w:spacing w:line="360" w:lineRule="exact"/>
              <w:rPr>
                <w:rFonts w:ascii="Arial" w:hAnsi="Arial" w:eastAsia="宋体" w:cs="Arial"/>
                <w:color w:val="auto"/>
                <w:szCs w:val="21"/>
                <w:highlight w:val="none"/>
              </w:rPr>
            </w:pPr>
          </w:p>
          <w:p w14:paraId="7966DB35">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 xml:space="preserve">       年   月   日</w:t>
            </w:r>
          </w:p>
        </w:tc>
      </w:tr>
      <w:tr w14:paraId="1A53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14BE7555">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单位地址：桂林市七星区建干路12号</w:t>
            </w:r>
          </w:p>
        </w:tc>
        <w:tc>
          <w:tcPr>
            <w:tcW w:w="4517" w:type="dxa"/>
            <w:vAlign w:val="center"/>
          </w:tcPr>
          <w:p w14:paraId="179960FE">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单位地址：</w:t>
            </w:r>
          </w:p>
        </w:tc>
      </w:tr>
      <w:tr w14:paraId="55C8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vAlign w:val="center"/>
          </w:tcPr>
          <w:p w14:paraId="682BFE07">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法定代表人：</w:t>
            </w:r>
          </w:p>
        </w:tc>
        <w:tc>
          <w:tcPr>
            <w:tcW w:w="4517" w:type="dxa"/>
            <w:vAlign w:val="center"/>
          </w:tcPr>
          <w:p w14:paraId="33CF0577">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法定代表人：</w:t>
            </w:r>
          </w:p>
        </w:tc>
      </w:tr>
      <w:tr w14:paraId="3A5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vAlign w:val="center"/>
          </w:tcPr>
          <w:p w14:paraId="267934BF">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委托代理人：</w:t>
            </w:r>
          </w:p>
        </w:tc>
        <w:tc>
          <w:tcPr>
            <w:tcW w:w="4517" w:type="dxa"/>
            <w:vAlign w:val="center"/>
          </w:tcPr>
          <w:p w14:paraId="7475556E">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委托代理人：</w:t>
            </w:r>
          </w:p>
        </w:tc>
      </w:tr>
      <w:tr w14:paraId="22CD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0887B09E">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电话：0773-5895090</w:t>
            </w:r>
          </w:p>
        </w:tc>
        <w:tc>
          <w:tcPr>
            <w:tcW w:w="4517" w:type="dxa"/>
            <w:vAlign w:val="center"/>
          </w:tcPr>
          <w:p w14:paraId="2BDCBBB8">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电话：</w:t>
            </w:r>
          </w:p>
        </w:tc>
      </w:tr>
      <w:tr w14:paraId="2CBA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55D5696C">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电子邮箱：zbk@glut.edu.cn</w:t>
            </w:r>
          </w:p>
        </w:tc>
        <w:tc>
          <w:tcPr>
            <w:tcW w:w="4517" w:type="dxa"/>
            <w:vAlign w:val="center"/>
          </w:tcPr>
          <w:p w14:paraId="16E1334E">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电子邮箱：</w:t>
            </w:r>
          </w:p>
        </w:tc>
      </w:tr>
      <w:tr w14:paraId="0F78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7BC3407E">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开户银行：中国银行桂林分行</w:t>
            </w:r>
          </w:p>
        </w:tc>
        <w:tc>
          <w:tcPr>
            <w:tcW w:w="4517" w:type="dxa"/>
            <w:vAlign w:val="center"/>
          </w:tcPr>
          <w:p w14:paraId="040F6DA5">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开户银行：</w:t>
            </w:r>
          </w:p>
        </w:tc>
      </w:tr>
      <w:tr w14:paraId="6B55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4FC98ACC">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账号：6132 5748 8744</w:t>
            </w:r>
          </w:p>
        </w:tc>
        <w:tc>
          <w:tcPr>
            <w:tcW w:w="4517" w:type="dxa"/>
            <w:vAlign w:val="center"/>
          </w:tcPr>
          <w:p w14:paraId="5EBB4DC8">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账号：</w:t>
            </w:r>
          </w:p>
        </w:tc>
      </w:tr>
      <w:tr w14:paraId="0C07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3DCC4881">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邮政编码：541004</w:t>
            </w:r>
          </w:p>
        </w:tc>
        <w:tc>
          <w:tcPr>
            <w:tcW w:w="4517" w:type="dxa"/>
            <w:vAlign w:val="center"/>
          </w:tcPr>
          <w:p w14:paraId="08E9C2FA">
            <w:pPr>
              <w:snapToGrid w:val="0"/>
              <w:spacing w:line="360" w:lineRule="exact"/>
              <w:rPr>
                <w:rFonts w:ascii="Arial" w:hAnsi="Arial" w:eastAsia="宋体" w:cs="Arial"/>
                <w:color w:val="auto"/>
                <w:szCs w:val="21"/>
                <w:highlight w:val="none"/>
              </w:rPr>
            </w:pPr>
            <w:r>
              <w:rPr>
                <w:rFonts w:ascii="Arial" w:hAnsi="Arial" w:eastAsia="宋体" w:cs="Arial"/>
                <w:color w:val="auto"/>
                <w:szCs w:val="21"/>
                <w:highlight w:val="none"/>
              </w:rPr>
              <w:t>邮政编码：</w:t>
            </w:r>
          </w:p>
        </w:tc>
      </w:tr>
    </w:tbl>
    <w:p w14:paraId="597A6124">
      <w:pPr>
        <w:snapToGrid w:val="0"/>
        <w:spacing w:line="360" w:lineRule="exact"/>
        <w:jc w:val="center"/>
        <w:rPr>
          <w:rFonts w:ascii="Arial" w:hAnsi="Arial" w:eastAsia="宋体" w:cs="Arial"/>
          <w:b/>
          <w:color w:val="auto"/>
          <w:sz w:val="28"/>
          <w:szCs w:val="28"/>
          <w:highlight w:val="none"/>
        </w:rPr>
      </w:pPr>
    </w:p>
    <w:p w14:paraId="34690836">
      <w:pPr>
        <w:snapToGrid w:val="0"/>
        <w:spacing w:line="360" w:lineRule="exact"/>
        <w:jc w:val="center"/>
        <w:rPr>
          <w:rFonts w:ascii="Arial" w:hAnsi="Arial" w:eastAsia="宋体" w:cs="Arial"/>
          <w:b/>
          <w:color w:val="auto"/>
          <w:sz w:val="28"/>
          <w:szCs w:val="28"/>
          <w:highlight w:val="none"/>
        </w:rPr>
      </w:pPr>
    </w:p>
    <w:p w14:paraId="3A77E843">
      <w:pPr>
        <w:snapToGrid w:val="0"/>
        <w:spacing w:line="360" w:lineRule="exact"/>
        <w:jc w:val="center"/>
        <w:rPr>
          <w:rFonts w:ascii="Arial" w:hAnsi="Arial" w:eastAsia="宋体" w:cs="Arial"/>
          <w:b/>
          <w:color w:val="auto"/>
          <w:sz w:val="28"/>
          <w:szCs w:val="28"/>
          <w:highlight w:val="none"/>
        </w:rPr>
      </w:pPr>
    </w:p>
    <w:p w14:paraId="622B8671">
      <w:pPr>
        <w:snapToGrid w:val="0"/>
        <w:spacing w:line="360" w:lineRule="exact"/>
        <w:jc w:val="center"/>
        <w:rPr>
          <w:rFonts w:ascii="Arial" w:hAnsi="Arial" w:eastAsia="宋体" w:cs="Arial"/>
          <w:b/>
          <w:color w:val="auto"/>
          <w:sz w:val="28"/>
          <w:szCs w:val="28"/>
          <w:highlight w:val="none"/>
        </w:rPr>
      </w:pPr>
    </w:p>
    <w:p w14:paraId="7361CA8C">
      <w:pPr>
        <w:snapToGrid w:val="0"/>
        <w:spacing w:line="360" w:lineRule="exact"/>
        <w:jc w:val="center"/>
        <w:rPr>
          <w:rFonts w:ascii="Arial" w:hAnsi="Arial" w:eastAsia="宋体" w:cs="Arial"/>
          <w:b/>
          <w:color w:val="auto"/>
          <w:sz w:val="28"/>
          <w:szCs w:val="28"/>
          <w:highlight w:val="none"/>
        </w:rPr>
      </w:pPr>
    </w:p>
    <w:p w14:paraId="5988B0B9">
      <w:pPr>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p>
    <w:p w14:paraId="4A2FD73E">
      <w:pPr>
        <w:snapToGrid w:val="0"/>
        <w:spacing w:line="360" w:lineRule="exact"/>
        <w:jc w:val="center"/>
        <w:rPr>
          <w:rFonts w:ascii="Arial" w:hAnsi="Arial" w:eastAsia="宋体" w:cs="Arial"/>
          <w:b/>
          <w:color w:val="auto"/>
          <w:sz w:val="28"/>
          <w:szCs w:val="28"/>
          <w:highlight w:val="none"/>
        </w:rPr>
      </w:pPr>
      <w:r>
        <w:rPr>
          <w:rFonts w:ascii="Arial" w:hAnsi="Arial" w:eastAsia="宋体" w:cs="Arial"/>
          <w:b/>
          <w:color w:val="auto"/>
          <w:sz w:val="28"/>
          <w:szCs w:val="28"/>
          <w:highlight w:val="none"/>
        </w:rPr>
        <w:t>合 同 附 件</w:t>
      </w:r>
    </w:p>
    <w:p w14:paraId="7062C249">
      <w:pPr>
        <w:snapToGrid w:val="0"/>
        <w:spacing w:line="360" w:lineRule="exact"/>
        <w:ind w:firstLine="105" w:firstLineChars="50"/>
        <w:rPr>
          <w:rFonts w:ascii="Arial" w:hAnsi="Arial" w:eastAsia="宋体" w:cs="Arial"/>
          <w:color w:val="auto"/>
          <w:szCs w:val="21"/>
          <w:highlight w:val="none"/>
        </w:rPr>
      </w:pPr>
      <w:r>
        <w:rPr>
          <w:rFonts w:ascii="Arial" w:hAnsi="Arial" w:eastAsia="宋体" w:cs="Arial"/>
          <w:color w:val="auto"/>
          <w:szCs w:val="21"/>
          <w:highlight w:val="none"/>
        </w:rPr>
        <w:t>一般货物类</w:t>
      </w:r>
    </w:p>
    <w:tbl>
      <w:tblPr>
        <w:tblStyle w:val="24"/>
        <w:tblW w:w="0" w:type="auto"/>
        <w:tblInd w:w="213" w:type="dxa"/>
        <w:tblLayout w:type="fixed"/>
        <w:tblCellMar>
          <w:top w:w="0" w:type="dxa"/>
          <w:left w:w="108" w:type="dxa"/>
          <w:bottom w:w="0" w:type="dxa"/>
          <w:right w:w="108" w:type="dxa"/>
        </w:tblCellMar>
      </w:tblPr>
      <w:tblGrid>
        <w:gridCol w:w="8522"/>
      </w:tblGrid>
      <w:tr w14:paraId="7277BE38">
        <w:tblPrEx>
          <w:tblCellMar>
            <w:top w:w="0" w:type="dxa"/>
            <w:left w:w="108" w:type="dxa"/>
            <w:bottom w:w="0" w:type="dxa"/>
            <w:right w:w="108" w:type="dxa"/>
          </w:tblCellMar>
        </w:tblPrEx>
        <w:trPr>
          <w:trHeight w:val="1226" w:hRule="atLeast"/>
        </w:trPr>
        <w:tc>
          <w:tcPr>
            <w:tcW w:w="8522" w:type="dxa"/>
            <w:tcBorders>
              <w:top w:val="single" w:color="auto" w:sz="4" w:space="0"/>
              <w:left w:val="single" w:color="auto" w:sz="4" w:space="0"/>
              <w:right w:val="single" w:color="auto" w:sz="4" w:space="0"/>
            </w:tcBorders>
          </w:tcPr>
          <w:p w14:paraId="46EBB9E1">
            <w:pPr>
              <w:snapToGrid w:val="0"/>
              <w:spacing w:line="360" w:lineRule="exact"/>
              <w:ind w:firstLine="480" w:firstLineChars="200"/>
              <w:rPr>
                <w:rFonts w:ascii="Arial" w:hAnsi="Arial" w:eastAsia="宋体" w:cs="Arial"/>
                <w:b/>
                <w:color w:val="auto"/>
                <w:sz w:val="24"/>
                <w:highlight w:val="none"/>
              </w:rPr>
            </w:pPr>
            <w:r>
              <w:rPr>
                <w:rFonts w:ascii="Arial" w:hAnsi="Arial" w:eastAsia="宋体" w:cs="Arial"/>
                <w:b/>
                <w:color w:val="auto"/>
                <w:sz w:val="24"/>
                <w:highlight w:val="none"/>
              </w:rPr>
              <w:t>1．供应商承诺具体事项：</w:t>
            </w:r>
          </w:p>
        </w:tc>
      </w:tr>
      <w:tr w14:paraId="01A48553">
        <w:tblPrEx>
          <w:tblCellMar>
            <w:top w:w="0" w:type="dxa"/>
            <w:left w:w="108" w:type="dxa"/>
            <w:bottom w:w="0" w:type="dxa"/>
            <w:right w:w="108" w:type="dxa"/>
          </w:tblCellMar>
        </w:tblPrEx>
        <w:trPr>
          <w:trHeight w:val="1228" w:hRule="atLeast"/>
        </w:trPr>
        <w:tc>
          <w:tcPr>
            <w:tcW w:w="8522" w:type="dxa"/>
            <w:tcBorders>
              <w:top w:val="single" w:color="auto" w:sz="4" w:space="0"/>
              <w:left w:val="single" w:color="auto" w:sz="4" w:space="0"/>
              <w:right w:val="single" w:color="auto" w:sz="4" w:space="0"/>
            </w:tcBorders>
          </w:tcPr>
          <w:p w14:paraId="5FED20AE">
            <w:pPr>
              <w:snapToGrid w:val="0"/>
              <w:spacing w:line="360" w:lineRule="exact"/>
              <w:ind w:firstLine="480" w:firstLineChars="200"/>
              <w:rPr>
                <w:rFonts w:ascii="Arial" w:hAnsi="Arial" w:eastAsia="宋体" w:cs="Arial"/>
                <w:b/>
                <w:color w:val="auto"/>
                <w:sz w:val="24"/>
                <w:highlight w:val="none"/>
              </w:rPr>
            </w:pPr>
            <w:r>
              <w:rPr>
                <w:rFonts w:ascii="Arial" w:hAnsi="Arial" w:eastAsia="宋体" w:cs="Arial"/>
                <w:b/>
                <w:color w:val="auto"/>
                <w:sz w:val="24"/>
                <w:highlight w:val="none"/>
              </w:rPr>
              <w:t>2．售后服务具体事项：</w:t>
            </w:r>
          </w:p>
        </w:tc>
      </w:tr>
      <w:tr w14:paraId="3AFFD977">
        <w:tblPrEx>
          <w:tblCellMar>
            <w:top w:w="0" w:type="dxa"/>
            <w:left w:w="108" w:type="dxa"/>
            <w:bottom w:w="0" w:type="dxa"/>
            <w:right w:w="108" w:type="dxa"/>
          </w:tblCellMar>
        </w:tblPrEx>
        <w:trPr>
          <w:trHeight w:val="1088" w:hRule="atLeast"/>
        </w:trPr>
        <w:tc>
          <w:tcPr>
            <w:tcW w:w="8522" w:type="dxa"/>
            <w:tcBorders>
              <w:top w:val="single" w:color="auto" w:sz="4" w:space="0"/>
              <w:left w:val="single" w:color="auto" w:sz="4" w:space="0"/>
              <w:right w:val="single" w:color="auto" w:sz="4" w:space="0"/>
            </w:tcBorders>
          </w:tcPr>
          <w:p w14:paraId="04569215">
            <w:pPr>
              <w:snapToGrid w:val="0"/>
              <w:spacing w:line="360" w:lineRule="exact"/>
              <w:ind w:firstLine="480" w:firstLineChars="200"/>
              <w:rPr>
                <w:rFonts w:ascii="Arial" w:hAnsi="Arial" w:eastAsia="宋体" w:cs="Arial"/>
                <w:b/>
                <w:color w:val="auto"/>
                <w:sz w:val="24"/>
                <w:highlight w:val="none"/>
              </w:rPr>
            </w:pPr>
            <w:r>
              <w:rPr>
                <w:rFonts w:ascii="Arial" w:hAnsi="Arial" w:eastAsia="宋体" w:cs="Arial"/>
                <w:b/>
                <w:color w:val="auto"/>
                <w:sz w:val="24"/>
                <w:highlight w:val="none"/>
              </w:rPr>
              <w:t>3．保修期责任：</w:t>
            </w:r>
          </w:p>
        </w:tc>
      </w:tr>
      <w:tr w14:paraId="3759FBCD">
        <w:tblPrEx>
          <w:tblCellMar>
            <w:top w:w="0" w:type="dxa"/>
            <w:left w:w="108" w:type="dxa"/>
            <w:bottom w:w="0" w:type="dxa"/>
            <w:right w:w="108" w:type="dxa"/>
          </w:tblCellMar>
        </w:tblPrEx>
        <w:trPr>
          <w:trHeight w:val="1360" w:hRule="atLeast"/>
        </w:trPr>
        <w:tc>
          <w:tcPr>
            <w:tcW w:w="8522" w:type="dxa"/>
            <w:tcBorders>
              <w:top w:val="single" w:color="auto" w:sz="4" w:space="0"/>
              <w:left w:val="single" w:color="auto" w:sz="4" w:space="0"/>
              <w:bottom w:val="single" w:color="auto" w:sz="4" w:space="0"/>
              <w:right w:val="single" w:color="auto" w:sz="4" w:space="0"/>
            </w:tcBorders>
          </w:tcPr>
          <w:p w14:paraId="55FC7A0B">
            <w:pPr>
              <w:snapToGrid w:val="0"/>
              <w:spacing w:line="360" w:lineRule="exact"/>
              <w:ind w:firstLine="480" w:firstLineChars="200"/>
              <w:rPr>
                <w:rFonts w:ascii="Arial" w:hAnsi="Arial" w:eastAsia="宋体" w:cs="Arial"/>
                <w:b/>
                <w:color w:val="auto"/>
                <w:sz w:val="24"/>
                <w:highlight w:val="none"/>
              </w:rPr>
            </w:pPr>
            <w:r>
              <w:rPr>
                <w:rFonts w:ascii="Arial" w:hAnsi="Arial" w:eastAsia="宋体" w:cs="Arial"/>
                <w:b/>
                <w:color w:val="auto"/>
                <w:sz w:val="24"/>
                <w:highlight w:val="none"/>
              </w:rPr>
              <w:t>4．其他具体事项：</w:t>
            </w:r>
          </w:p>
        </w:tc>
      </w:tr>
    </w:tbl>
    <w:p w14:paraId="02759C9B">
      <w:pPr>
        <w:tabs>
          <w:tab w:val="left" w:pos="900"/>
        </w:tabs>
        <w:snapToGrid w:val="0"/>
        <w:spacing w:line="340" w:lineRule="exact"/>
        <w:rPr>
          <w:rFonts w:ascii="Arial" w:hAnsi="Arial" w:eastAsia="宋体" w:cs="Arial"/>
          <w:b/>
          <w:color w:val="auto"/>
          <w:szCs w:val="21"/>
          <w:highlight w:val="none"/>
        </w:rPr>
      </w:pPr>
      <w:r>
        <w:rPr>
          <w:rFonts w:ascii="Arial" w:hAnsi="Arial" w:eastAsia="宋体" w:cs="Arial"/>
          <w:color w:val="auto"/>
          <w:szCs w:val="21"/>
          <w:highlight w:val="none"/>
        </w:rPr>
        <w:t>注：售后服务事项填不下时可另加附页</w:t>
      </w:r>
      <w:r>
        <w:rPr>
          <w:rFonts w:ascii="Arial" w:hAnsi="Arial" w:eastAsia="宋体" w:cs="Arial"/>
          <w:bCs/>
          <w:color w:val="auto"/>
          <w:szCs w:val="21"/>
          <w:highlight w:val="none"/>
        </w:rPr>
        <w:br w:type="page"/>
      </w:r>
    </w:p>
    <w:p w14:paraId="03631C6B">
      <w:pPr>
        <w:pStyle w:val="2"/>
        <w:jc w:val="center"/>
        <w:rPr>
          <w:rFonts w:hint="eastAsia"/>
          <w:color w:val="auto"/>
          <w:highlight w:val="none"/>
        </w:rPr>
      </w:pPr>
      <w:bookmarkStart w:id="32" w:name="_Toc25244"/>
      <w:bookmarkStart w:id="33" w:name="_Toc15843"/>
      <w:r>
        <w:rPr>
          <w:color w:val="auto"/>
          <w:highlight w:val="none"/>
        </w:rPr>
        <w:t>第六章 响应文件（格式）</w:t>
      </w:r>
      <w:bookmarkEnd w:id="32"/>
      <w:bookmarkEnd w:id="33"/>
    </w:p>
    <w:p w14:paraId="194B090B">
      <w:pPr>
        <w:spacing w:line="400" w:lineRule="exact"/>
        <w:rPr>
          <w:rFonts w:ascii="Arial" w:hAnsi="Arial" w:eastAsia="宋体" w:cs="Arial"/>
          <w:b/>
          <w:color w:val="auto"/>
          <w:sz w:val="32"/>
          <w:szCs w:val="32"/>
          <w:highlight w:val="none"/>
        </w:rPr>
      </w:pPr>
      <w:r>
        <w:rPr>
          <w:rFonts w:ascii="Arial" w:hAnsi="Arial" w:eastAsia="宋体" w:cs="Arial"/>
          <w:b/>
          <w:color w:val="auto"/>
          <w:sz w:val="32"/>
          <w:szCs w:val="32"/>
          <w:highlight w:val="none"/>
        </w:rPr>
        <w:br w:type="page"/>
      </w:r>
      <w:r>
        <w:rPr>
          <w:rFonts w:ascii="Arial" w:hAnsi="Arial" w:eastAsia="宋体" w:cs="Arial"/>
          <w:b/>
          <w:color w:val="auto"/>
          <w:sz w:val="32"/>
          <w:szCs w:val="32"/>
          <w:highlight w:val="none"/>
        </w:rPr>
        <w:t>一、响应文件袋（盒、箱）标记</w:t>
      </w:r>
    </w:p>
    <w:p w14:paraId="15ECC6FC">
      <w:pPr>
        <w:snapToGrid w:val="0"/>
        <w:spacing w:before="165" w:beforeLines="50" w:after="50"/>
        <w:jc w:val="center"/>
        <w:rPr>
          <w:rFonts w:ascii="Arial" w:hAnsi="Arial" w:eastAsia="宋体" w:cs="Arial"/>
          <w:bCs/>
          <w:color w:val="auto"/>
          <w:sz w:val="32"/>
          <w:szCs w:val="32"/>
          <w:highlight w:val="none"/>
        </w:rPr>
      </w:pPr>
    </w:p>
    <w:p w14:paraId="6DD35C50">
      <w:pPr>
        <w:snapToGrid w:val="0"/>
        <w:spacing w:before="165" w:beforeLines="50" w:after="50"/>
        <w:jc w:val="center"/>
        <w:rPr>
          <w:rFonts w:ascii="Arial" w:hAnsi="Arial" w:eastAsia="宋体" w:cs="Arial"/>
          <w:bCs/>
          <w:color w:val="auto"/>
          <w:sz w:val="32"/>
          <w:szCs w:val="32"/>
          <w:highlight w:val="none"/>
        </w:rPr>
      </w:pPr>
      <w:r>
        <w:rPr>
          <w:rFonts w:ascii="Arial" w:hAnsi="Arial" w:eastAsia="宋体" w:cs="Arial"/>
          <w:bCs/>
          <w:color w:val="auto"/>
          <w:sz w:val="32"/>
          <w:szCs w:val="32"/>
          <w:highlight w:val="none"/>
        </w:rPr>
        <w:t>响 应 文 件</w:t>
      </w:r>
    </w:p>
    <w:p w14:paraId="2E9345DF">
      <w:pPr>
        <w:snapToGrid w:val="0"/>
        <w:spacing w:before="165" w:beforeLines="50" w:after="50"/>
        <w:rPr>
          <w:rFonts w:ascii="Arial" w:hAnsi="Arial" w:eastAsia="宋体" w:cs="Arial"/>
          <w:bCs/>
          <w:color w:val="auto"/>
          <w:sz w:val="24"/>
          <w:szCs w:val="20"/>
          <w:highlight w:val="none"/>
        </w:rPr>
      </w:pPr>
    </w:p>
    <w:p w14:paraId="777E658E">
      <w:pPr>
        <w:snapToGrid w:val="0"/>
        <w:spacing w:before="165" w:beforeLines="50" w:after="50"/>
        <w:ind w:firstLine="360" w:firstLineChars="150"/>
        <w:rPr>
          <w:rFonts w:ascii="Arial" w:hAnsi="Arial" w:eastAsia="宋体" w:cs="Arial"/>
          <w:bCs/>
          <w:color w:val="auto"/>
          <w:sz w:val="24"/>
          <w:highlight w:val="none"/>
        </w:rPr>
      </w:pPr>
      <w:r>
        <w:rPr>
          <w:rFonts w:ascii="Arial" w:hAnsi="Arial" w:eastAsia="宋体" w:cs="Arial"/>
          <w:bCs/>
          <w:color w:val="auto"/>
          <w:sz w:val="24"/>
          <w:highlight w:val="none"/>
        </w:rPr>
        <w:t>项目名称：</w:t>
      </w:r>
    </w:p>
    <w:p w14:paraId="76EAB238">
      <w:pPr>
        <w:snapToGrid w:val="0"/>
        <w:spacing w:before="165" w:beforeLines="50" w:after="50"/>
        <w:ind w:firstLine="360" w:firstLineChars="150"/>
        <w:rPr>
          <w:rFonts w:ascii="Arial" w:hAnsi="Arial" w:eastAsia="宋体" w:cs="Arial"/>
          <w:bCs/>
          <w:color w:val="auto"/>
          <w:sz w:val="24"/>
          <w:szCs w:val="20"/>
          <w:highlight w:val="none"/>
        </w:rPr>
      </w:pPr>
    </w:p>
    <w:p w14:paraId="2A65601F">
      <w:pPr>
        <w:snapToGrid w:val="0"/>
        <w:spacing w:before="165" w:beforeLines="50" w:after="50"/>
        <w:ind w:firstLine="360" w:firstLineChars="150"/>
        <w:rPr>
          <w:rFonts w:ascii="Arial" w:hAnsi="Arial" w:eastAsia="宋体" w:cs="Arial"/>
          <w:bCs/>
          <w:color w:val="auto"/>
          <w:sz w:val="24"/>
          <w:szCs w:val="20"/>
          <w:highlight w:val="none"/>
        </w:rPr>
      </w:pPr>
    </w:p>
    <w:p w14:paraId="212A6F58">
      <w:pPr>
        <w:snapToGrid w:val="0"/>
        <w:spacing w:before="165" w:beforeLines="50" w:after="50"/>
        <w:ind w:firstLine="360" w:firstLineChars="150"/>
        <w:rPr>
          <w:rFonts w:ascii="Arial" w:hAnsi="Arial" w:eastAsia="宋体" w:cs="Arial"/>
          <w:bCs/>
          <w:color w:val="auto"/>
          <w:sz w:val="24"/>
          <w:highlight w:val="none"/>
        </w:rPr>
      </w:pPr>
      <w:r>
        <w:rPr>
          <w:rFonts w:ascii="Arial" w:hAnsi="Arial" w:eastAsia="宋体" w:cs="Arial"/>
          <w:bCs/>
          <w:color w:val="auto"/>
          <w:sz w:val="24"/>
          <w:highlight w:val="none"/>
        </w:rPr>
        <w:t>项目编号：</w:t>
      </w:r>
    </w:p>
    <w:p w14:paraId="2A5BD751">
      <w:pPr>
        <w:snapToGrid w:val="0"/>
        <w:spacing w:before="165" w:beforeLines="50" w:after="50"/>
        <w:rPr>
          <w:rFonts w:ascii="Arial" w:hAnsi="Arial" w:eastAsia="宋体" w:cs="Arial"/>
          <w:bCs/>
          <w:color w:val="auto"/>
          <w:sz w:val="24"/>
          <w:highlight w:val="none"/>
        </w:rPr>
      </w:pPr>
    </w:p>
    <w:p w14:paraId="59BF5458">
      <w:pPr>
        <w:snapToGrid w:val="0"/>
        <w:spacing w:before="165" w:beforeLines="50" w:after="50"/>
        <w:ind w:firstLine="360" w:firstLineChars="150"/>
        <w:rPr>
          <w:rFonts w:ascii="Arial" w:hAnsi="Arial" w:eastAsia="宋体" w:cs="Arial"/>
          <w:bCs/>
          <w:color w:val="auto"/>
          <w:sz w:val="24"/>
          <w:highlight w:val="none"/>
        </w:rPr>
      </w:pPr>
    </w:p>
    <w:p w14:paraId="7C653D2D">
      <w:pPr>
        <w:snapToGrid w:val="0"/>
        <w:spacing w:before="165" w:beforeLines="50" w:after="50"/>
        <w:ind w:firstLine="360" w:firstLineChars="150"/>
        <w:rPr>
          <w:rFonts w:hint="eastAsia" w:ascii="Arial" w:hAnsi="Arial" w:eastAsia="宋体" w:cs="Arial"/>
          <w:bCs/>
          <w:color w:val="auto"/>
          <w:sz w:val="24"/>
          <w:highlight w:val="none"/>
          <w:lang w:eastAsia="zh-CN"/>
        </w:rPr>
      </w:pPr>
      <w:r>
        <w:rPr>
          <w:rFonts w:ascii="Arial" w:hAnsi="Arial" w:eastAsia="宋体" w:cs="Arial"/>
          <w:bCs/>
          <w:color w:val="auto"/>
          <w:sz w:val="24"/>
          <w:highlight w:val="none"/>
        </w:rPr>
        <w:t>采购代理机构：</w:t>
      </w:r>
      <w:r>
        <w:rPr>
          <w:rFonts w:hint="eastAsia" w:ascii="Arial" w:hAnsi="Arial" w:eastAsia="宋体" w:cs="Arial"/>
          <w:bCs/>
          <w:color w:val="auto"/>
          <w:sz w:val="24"/>
          <w:highlight w:val="none"/>
          <w:lang w:eastAsia="zh-CN"/>
        </w:rPr>
        <w:t>广西机电设备招标有限公司</w:t>
      </w:r>
    </w:p>
    <w:p w14:paraId="61B7374C">
      <w:pPr>
        <w:snapToGrid w:val="0"/>
        <w:spacing w:before="165" w:beforeLines="50" w:after="50"/>
        <w:ind w:firstLine="360" w:firstLineChars="150"/>
        <w:rPr>
          <w:rFonts w:ascii="Arial" w:hAnsi="Arial" w:eastAsia="宋体" w:cs="Arial"/>
          <w:bCs/>
          <w:color w:val="auto"/>
          <w:sz w:val="24"/>
          <w:highlight w:val="none"/>
        </w:rPr>
      </w:pPr>
    </w:p>
    <w:p w14:paraId="35E5E51B">
      <w:pPr>
        <w:snapToGrid w:val="0"/>
        <w:spacing w:before="165" w:beforeLines="50" w:after="50"/>
        <w:ind w:firstLine="360" w:firstLineChars="150"/>
        <w:rPr>
          <w:rFonts w:ascii="Arial" w:hAnsi="Arial" w:eastAsia="宋体" w:cs="Arial"/>
          <w:bCs/>
          <w:color w:val="auto"/>
          <w:sz w:val="24"/>
          <w:highlight w:val="none"/>
        </w:rPr>
      </w:pPr>
    </w:p>
    <w:p w14:paraId="5685BE82">
      <w:pPr>
        <w:snapToGrid w:val="0"/>
        <w:spacing w:before="165" w:beforeLines="50" w:after="50"/>
        <w:ind w:firstLine="360" w:firstLineChars="150"/>
        <w:rPr>
          <w:rFonts w:ascii="Arial" w:hAnsi="Arial" w:eastAsia="宋体" w:cs="Arial"/>
          <w:bCs/>
          <w:color w:val="auto"/>
          <w:sz w:val="24"/>
          <w:highlight w:val="none"/>
        </w:rPr>
      </w:pPr>
      <w:r>
        <w:rPr>
          <w:rFonts w:ascii="Arial" w:hAnsi="Arial" w:eastAsia="宋体" w:cs="Arial"/>
          <w:bCs/>
          <w:color w:val="auto"/>
          <w:sz w:val="24"/>
          <w:highlight w:val="none"/>
        </w:rPr>
        <w:t>供应商名称：</w:t>
      </w:r>
    </w:p>
    <w:p w14:paraId="2CBDC68C">
      <w:pPr>
        <w:snapToGrid w:val="0"/>
        <w:spacing w:before="165" w:beforeLines="50" w:after="50"/>
        <w:ind w:firstLine="360" w:firstLineChars="150"/>
        <w:rPr>
          <w:rFonts w:ascii="Arial" w:hAnsi="Arial" w:eastAsia="宋体" w:cs="Arial"/>
          <w:bCs/>
          <w:color w:val="auto"/>
          <w:sz w:val="24"/>
          <w:highlight w:val="none"/>
        </w:rPr>
      </w:pPr>
    </w:p>
    <w:p w14:paraId="58C60934">
      <w:pPr>
        <w:snapToGrid w:val="0"/>
        <w:spacing w:before="165" w:beforeLines="50" w:after="50"/>
        <w:ind w:firstLine="360" w:firstLineChars="150"/>
        <w:rPr>
          <w:rFonts w:ascii="Arial" w:hAnsi="Arial" w:eastAsia="宋体" w:cs="Arial"/>
          <w:bCs/>
          <w:color w:val="auto"/>
          <w:sz w:val="24"/>
          <w:highlight w:val="none"/>
        </w:rPr>
      </w:pPr>
    </w:p>
    <w:p w14:paraId="614A220F">
      <w:pPr>
        <w:spacing w:line="440" w:lineRule="atLeast"/>
        <w:rPr>
          <w:rFonts w:ascii="Arial" w:hAnsi="Arial" w:eastAsia="宋体" w:cs="Arial"/>
          <w:b/>
          <w:color w:val="auto"/>
          <w:sz w:val="32"/>
          <w:szCs w:val="32"/>
          <w:highlight w:val="none"/>
        </w:rPr>
      </w:pPr>
      <w:r>
        <w:rPr>
          <w:rFonts w:ascii="Arial" w:hAnsi="Arial" w:eastAsia="宋体" w:cs="Arial"/>
          <w:b/>
          <w:color w:val="auto"/>
          <w:sz w:val="32"/>
          <w:szCs w:val="32"/>
          <w:highlight w:val="none"/>
        </w:rPr>
        <w:br w:type="page"/>
      </w:r>
    </w:p>
    <w:p w14:paraId="6523A3B4">
      <w:pPr>
        <w:spacing w:line="400" w:lineRule="exact"/>
        <w:rPr>
          <w:rFonts w:ascii="Arial" w:hAnsi="Arial" w:eastAsia="宋体" w:cs="Arial"/>
          <w:b/>
          <w:color w:val="auto"/>
          <w:sz w:val="32"/>
          <w:szCs w:val="32"/>
          <w:highlight w:val="none"/>
        </w:rPr>
      </w:pPr>
    </w:p>
    <w:p w14:paraId="0EDFC84C">
      <w:pPr>
        <w:snapToGrid w:val="0"/>
        <w:spacing w:before="165" w:beforeLines="50" w:after="50"/>
        <w:jc w:val="right"/>
        <w:rPr>
          <w:rFonts w:ascii="Arial" w:hAnsi="Arial" w:eastAsia="宋体" w:cs="Arial"/>
          <w:bCs/>
          <w:color w:val="auto"/>
          <w:sz w:val="32"/>
          <w:szCs w:val="32"/>
          <w:highlight w:val="none"/>
        </w:rPr>
      </w:pPr>
      <w:r>
        <w:rPr>
          <w:rFonts w:ascii="Arial" w:hAnsi="Arial" w:eastAsia="宋体" w:cs="Arial"/>
          <w:bCs/>
          <w:color w:val="auto"/>
          <w:sz w:val="32"/>
          <w:szCs w:val="32"/>
          <w:highlight w:val="none"/>
        </w:rPr>
        <w:t>正本/副本</w:t>
      </w:r>
    </w:p>
    <w:p w14:paraId="4916F34F">
      <w:pPr>
        <w:snapToGrid w:val="0"/>
        <w:spacing w:before="165" w:beforeLines="50" w:after="50"/>
        <w:jc w:val="center"/>
        <w:rPr>
          <w:rFonts w:ascii="Arial" w:hAnsi="Arial" w:eastAsia="宋体" w:cs="Arial"/>
          <w:bCs/>
          <w:color w:val="auto"/>
          <w:sz w:val="32"/>
          <w:szCs w:val="32"/>
          <w:highlight w:val="none"/>
        </w:rPr>
      </w:pPr>
    </w:p>
    <w:p w14:paraId="2F98B232">
      <w:pPr>
        <w:snapToGrid w:val="0"/>
        <w:spacing w:before="165" w:beforeLines="50" w:after="50"/>
        <w:jc w:val="center"/>
        <w:rPr>
          <w:rFonts w:ascii="Arial" w:hAnsi="Arial" w:eastAsia="宋体" w:cs="Arial"/>
          <w:bCs/>
          <w:color w:val="auto"/>
          <w:sz w:val="32"/>
          <w:szCs w:val="32"/>
          <w:highlight w:val="none"/>
        </w:rPr>
      </w:pPr>
      <w:r>
        <w:rPr>
          <w:rFonts w:ascii="Arial" w:hAnsi="Arial" w:eastAsia="宋体" w:cs="Arial"/>
          <w:bCs/>
          <w:color w:val="auto"/>
          <w:sz w:val="32"/>
          <w:szCs w:val="32"/>
          <w:highlight w:val="none"/>
        </w:rPr>
        <w:t>响 应 文 件</w:t>
      </w:r>
    </w:p>
    <w:p w14:paraId="2DBC7A9B">
      <w:pPr>
        <w:snapToGrid w:val="0"/>
        <w:spacing w:before="165" w:beforeLines="50" w:after="50"/>
        <w:rPr>
          <w:rFonts w:ascii="Arial" w:hAnsi="Arial" w:eastAsia="宋体" w:cs="Arial"/>
          <w:bCs/>
          <w:color w:val="auto"/>
          <w:sz w:val="24"/>
          <w:szCs w:val="20"/>
          <w:highlight w:val="none"/>
        </w:rPr>
      </w:pPr>
    </w:p>
    <w:p w14:paraId="222FDA0C">
      <w:pPr>
        <w:snapToGrid w:val="0"/>
        <w:spacing w:before="165" w:beforeLines="50" w:after="50"/>
        <w:ind w:firstLine="360" w:firstLineChars="150"/>
        <w:rPr>
          <w:rFonts w:ascii="Arial" w:hAnsi="Arial" w:eastAsia="宋体" w:cs="Arial"/>
          <w:bCs/>
          <w:color w:val="auto"/>
          <w:sz w:val="24"/>
          <w:highlight w:val="none"/>
        </w:rPr>
      </w:pPr>
      <w:r>
        <w:rPr>
          <w:rFonts w:ascii="Arial" w:hAnsi="Arial" w:eastAsia="宋体" w:cs="Arial"/>
          <w:bCs/>
          <w:color w:val="auto"/>
          <w:sz w:val="24"/>
          <w:highlight w:val="none"/>
        </w:rPr>
        <w:t>项目名称：</w:t>
      </w:r>
    </w:p>
    <w:p w14:paraId="003553FC">
      <w:pPr>
        <w:snapToGrid w:val="0"/>
        <w:spacing w:before="165" w:beforeLines="50" w:after="50"/>
        <w:ind w:firstLine="360" w:firstLineChars="150"/>
        <w:rPr>
          <w:rFonts w:ascii="Arial" w:hAnsi="Arial" w:eastAsia="宋体" w:cs="Arial"/>
          <w:bCs/>
          <w:color w:val="auto"/>
          <w:sz w:val="24"/>
          <w:szCs w:val="20"/>
          <w:highlight w:val="none"/>
        </w:rPr>
      </w:pPr>
    </w:p>
    <w:p w14:paraId="4E41D3F5">
      <w:pPr>
        <w:snapToGrid w:val="0"/>
        <w:spacing w:before="165" w:beforeLines="50" w:after="50"/>
        <w:ind w:firstLine="360" w:firstLineChars="150"/>
        <w:rPr>
          <w:rFonts w:ascii="Arial" w:hAnsi="Arial" w:eastAsia="宋体" w:cs="Arial"/>
          <w:bCs/>
          <w:color w:val="auto"/>
          <w:sz w:val="24"/>
          <w:szCs w:val="20"/>
          <w:highlight w:val="none"/>
        </w:rPr>
      </w:pPr>
    </w:p>
    <w:p w14:paraId="0DD80B91">
      <w:pPr>
        <w:snapToGrid w:val="0"/>
        <w:spacing w:before="165" w:beforeLines="50" w:after="50"/>
        <w:ind w:firstLine="360" w:firstLineChars="150"/>
        <w:rPr>
          <w:rFonts w:ascii="Arial" w:hAnsi="Arial" w:eastAsia="宋体" w:cs="Arial"/>
          <w:bCs/>
          <w:color w:val="auto"/>
          <w:sz w:val="24"/>
          <w:highlight w:val="none"/>
        </w:rPr>
      </w:pPr>
      <w:r>
        <w:rPr>
          <w:rFonts w:ascii="Arial" w:hAnsi="Arial" w:eastAsia="宋体" w:cs="Arial"/>
          <w:bCs/>
          <w:color w:val="auto"/>
          <w:sz w:val="24"/>
          <w:highlight w:val="none"/>
        </w:rPr>
        <w:t>项目编号：</w:t>
      </w:r>
    </w:p>
    <w:p w14:paraId="30F33F86">
      <w:pPr>
        <w:snapToGrid w:val="0"/>
        <w:spacing w:before="165" w:beforeLines="50" w:after="50"/>
        <w:ind w:firstLine="360" w:firstLineChars="150"/>
        <w:rPr>
          <w:rFonts w:ascii="Arial" w:hAnsi="Arial" w:eastAsia="宋体" w:cs="Arial"/>
          <w:bCs/>
          <w:color w:val="auto"/>
          <w:sz w:val="24"/>
          <w:szCs w:val="20"/>
          <w:highlight w:val="none"/>
        </w:rPr>
      </w:pPr>
    </w:p>
    <w:p w14:paraId="1EC84E95">
      <w:pPr>
        <w:spacing w:line="400" w:lineRule="exact"/>
        <w:rPr>
          <w:rFonts w:ascii="Arial" w:hAnsi="Arial" w:eastAsia="宋体" w:cs="Arial"/>
          <w:color w:val="auto"/>
          <w:szCs w:val="21"/>
          <w:highlight w:val="none"/>
        </w:rPr>
      </w:pPr>
    </w:p>
    <w:p w14:paraId="3D9A8FB9">
      <w:pPr>
        <w:snapToGrid w:val="0"/>
        <w:spacing w:before="165" w:beforeLines="50" w:after="50"/>
        <w:ind w:firstLine="360" w:firstLineChars="150"/>
        <w:rPr>
          <w:rFonts w:hint="eastAsia" w:ascii="Arial" w:hAnsi="Arial" w:eastAsia="宋体" w:cs="Arial"/>
          <w:bCs/>
          <w:color w:val="auto"/>
          <w:sz w:val="24"/>
          <w:highlight w:val="none"/>
          <w:lang w:eastAsia="zh-CN"/>
        </w:rPr>
      </w:pPr>
      <w:r>
        <w:rPr>
          <w:rFonts w:ascii="Arial" w:hAnsi="Arial" w:eastAsia="宋体" w:cs="Arial"/>
          <w:bCs/>
          <w:color w:val="auto"/>
          <w:sz w:val="24"/>
          <w:highlight w:val="none"/>
        </w:rPr>
        <w:t>采购代理机构：</w:t>
      </w:r>
      <w:r>
        <w:rPr>
          <w:rFonts w:hint="eastAsia" w:ascii="Arial" w:hAnsi="Arial" w:eastAsia="宋体" w:cs="Arial"/>
          <w:bCs/>
          <w:color w:val="auto"/>
          <w:sz w:val="24"/>
          <w:highlight w:val="none"/>
          <w:lang w:eastAsia="zh-CN"/>
        </w:rPr>
        <w:t>广西机电设备招标有限公司</w:t>
      </w:r>
    </w:p>
    <w:p w14:paraId="1A234F71">
      <w:pPr>
        <w:snapToGrid w:val="0"/>
        <w:spacing w:before="165" w:beforeLines="50" w:after="50"/>
        <w:ind w:firstLine="360" w:firstLineChars="150"/>
        <w:rPr>
          <w:rFonts w:ascii="Arial" w:hAnsi="Arial" w:eastAsia="宋体" w:cs="Arial"/>
          <w:bCs/>
          <w:color w:val="auto"/>
          <w:sz w:val="24"/>
          <w:highlight w:val="none"/>
        </w:rPr>
      </w:pPr>
    </w:p>
    <w:p w14:paraId="04091AE1">
      <w:pPr>
        <w:snapToGrid w:val="0"/>
        <w:spacing w:before="165" w:beforeLines="50" w:after="50"/>
        <w:ind w:firstLine="360" w:firstLineChars="150"/>
        <w:rPr>
          <w:rFonts w:ascii="Arial" w:hAnsi="Arial" w:eastAsia="宋体" w:cs="Arial"/>
          <w:bCs/>
          <w:color w:val="auto"/>
          <w:sz w:val="24"/>
          <w:highlight w:val="none"/>
        </w:rPr>
      </w:pPr>
    </w:p>
    <w:p w14:paraId="71C97772">
      <w:pPr>
        <w:snapToGrid w:val="0"/>
        <w:spacing w:before="165" w:beforeLines="50" w:after="50"/>
        <w:ind w:firstLine="360" w:firstLineChars="150"/>
        <w:rPr>
          <w:rFonts w:ascii="Arial" w:hAnsi="Arial" w:eastAsia="宋体" w:cs="Arial"/>
          <w:bCs/>
          <w:color w:val="auto"/>
          <w:sz w:val="24"/>
          <w:highlight w:val="none"/>
        </w:rPr>
      </w:pPr>
      <w:r>
        <w:rPr>
          <w:rFonts w:ascii="Arial" w:hAnsi="Arial" w:eastAsia="宋体" w:cs="Arial"/>
          <w:bCs/>
          <w:color w:val="auto"/>
          <w:sz w:val="24"/>
          <w:highlight w:val="none"/>
        </w:rPr>
        <w:t>供应商名称：</w:t>
      </w:r>
    </w:p>
    <w:p w14:paraId="2C13763A">
      <w:pPr>
        <w:spacing w:line="400" w:lineRule="exact"/>
        <w:rPr>
          <w:rFonts w:ascii="Arial" w:hAnsi="Arial" w:eastAsia="宋体" w:cs="Arial"/>
          <w:b/>
          <w:color w:val="auto"/>
          <w:sz w:val="32"/>
          <w:szCs w:val="32"/>
          <w:highlight w:val="none"/>
        </w:rPr>
      </w:pPr>
    </w:p>
    <w:p w14:paraId="50CD7367">
      <w:pPr>
        <w:spacing w:line="400" w:lineRule="exact"/>
        <w:rPr>
          <w:rFonts w:ascii="Arial" w:hAnsi="Arial" w:eastAsia="宋体" w:cs="Arial"/>
          <w:b/>
          <w:color w:val="auto"/>
          <w:sz w:val="32"/>
          <w:szCs w:val="32"/>
          <w:highlight w:val="none"/>
        </w:rPr>
      </w:pPr>
      <w:r>
        <w:rPr>
          <w:rFonts w:ascii="Arial" w:hAnsi="Arial" w:eastAsia="宋体" w:cs="Arial"/>
          <w:b/>
          <w:color w:val="auto"/>
          <w:sz w:val="32"/>
          <w:szCs w:val="32"/>
          <w:highlight w:val="none"/>
        </w:rPr>
        <w:br w:type="page"/>
      </w:r>
      <w:r>
        <w:rPr>
          <w:rFonts w:ascii="Arial" w:hAnsi="Arial" w:eastAsia="宋体" w:cs="Arial"/>
          <w:b/>
          <w:color w:val="auto"/>
          <w:sz w:val="32"/>
          <w:szCs w:val="32"/>
          <w:highlight w:val="none"/>
        </w:rPr>
        <w:t>二、响应文件组成</w:t>
      </w:r>
    </w:p>
    <w:p w14:paraId="7C44B243">
      <w:pPr>
        <w:spacing w:line="400" w:lineRule="exact"/>
        <w:rPr>
          <w:rFonts w:ascii="Arial" w:hAnsi="Arial" w:eastAsia="宋体" w:cs="Arial"/>
          <w:b/>
          <w:bCs/>
          <w:color w:val="auto"/>
          <w:sz w:val="24"/>
          <w:highlight w:val="none"/>
        </w:rPr>
      </w:pPr>
    </w:p>
    <w:p w14:paraId="6AA2047D">
      <w:pPr>
        <w:spacing w:line="400" w:lineRule="exact"/>
        <w:rPr>
          <w:rFonts w:ascii="Arial" w:hAnsi="Arial" w:eastAsia="宋体" w:cs="Arial"/>
          <w:b/>
          <w:bCs/>
          <w:color w:val="auto"/>
          <w:sz w:val="24"/>
          <w:highlight w:val="none"/>
        </w:rPr>
      </w:pPr>
    </w:p>
    <w:p w14:paraId="1BCCFC36">
      <w:pPr>
        <w:spacing w:line="400" w:lineRule="exact"/>
        <w:rPr>
          <w:rFonts w:ascii="Arial" w:hAnsi="Arial" w:eastAsia="宋体" w:cs="Arial"/>
          <w:b/>
          <w:bCs/>
          <w:color w:val="auto"/>
          <w:sz w:val="24"/>
          <w:highlight w:val="none"/>
        </w:rPr>
      </w:pPr>
      <w:r>
        <w:rPr>
          <w:rFonts w:ascii="Arial" w:hAnsi="Arial" w:eastAsia="宋体" w:cs="Arial"/>
          <w:b/>
          <w:bCs/>
          <w:color w:val="auto"/>
          <w:sz w:val="24"/>
          <w:highlight w:val="none"/>
        </w:rPr>
        <w:t>（一）</w:t>
      </w:r>
      <w:r>
        <w:rPr>
          <w:rFonts w:ascii="Arial" w:hAnsi="Arial" w:eastAsia="宋体" w:cs="Arial"/>
          <w:b/>
          <w:color w:val="auto"/>
          <w:sz w:val="32"/>
          <w:szCs w:val="32"/>
          <w:highlight w:val="none"/>
        </w:rPr>
        <w:t>资格性响应证明材料</w:t>
      </w:r>
    </w:p>
    <w:p w14:paraId="69AAFD18">
      <w:pPr>
        <w:spacing w:line="400" w:lineRule="exact"/>
        <w:rPr>
          <w:rFonts w:ascii="Arial" w:hAnsi="Arial" w:eastAsia="宋体" w:cs="Arial"/>
          <w:b/>
          <w:bCs/>
          <w:color w:val="auto"/>
          <w:sz w:val="24"/>
          <w:highlight w:val="none"/>
        </w:rPr>
      </w:pPr>
    </w:p>
    <w:p w14:paraId="5AF84CEB">
      <w:pPr>
        <w:spacing w:line="400" w:lineRule="exact"/>
        <w:rPr>
          <w:rFonts w:ascii="Arial" w:hAnsi="Arial" w:eastAsia="宋体" w:cs="Arial"/>
          <w:b/>
          <w:bCs/>
          <w:color w:val="auto"/>
          <w:sz w:val="24"/>
          <w:highlight w:val="none"/>
        </w:rPr>
      </w:pPr>
    </w:p>
    <w:p w14:paraId="7639E647">
      <w:pPr>
        <w:spacing w:line="400" w:lineRule="exact"/>
        <w:rPr>
          <w:rFonts w:ascii="Arial" w:hAnsi="Arial" w:eastAsia="宋体" w:cs="Arial"/>
          <w:b/>
          <w:bCs/>
          <w:color w:val="auto"/>
          <w:sz w:val="24"/>
          <w:highlight w:val="none"/>
        </w:rPr>
      </w:pPr>
    </w:p>
    <w:p w14:paraId="4F5100B3">
      <w:pPr>
        <w:spacing w:line="400" w:lineRule="exact"/>
        <w:rPr>
          <w:rFonts w:ascii="Arial" w:hAnsi="Arial" w:eastAsia="宋体" w:cs="Arial"/>
          <w:b/>
          <w:bCs/>
          <w:color w:val="auto"/>
          <w:sz w:val="24"/>
          <w:highlight w:val="none"/>
        </w:rPr>
      </w:pPr>
      <w:r>
        <w:rPr>
          <w:rFonts w:ascii="Arial" w:hAnsi="Arial" w:eastAsia="宋体" w:cs="Arial"/>
          <w:b/>
          <w:bCs/>
          <w:color w:val="auto"/>
          <w:sz w:val="24"/>
          <w:highlight w:val="none"/>
        </w:rPr>
        <w:t>（二）</w:t>
      </w:r>
      <w:r>
        <w:rPr>
          <w:rFonts w:ascii="Arial" w:hAnsi="Arial" w:eastAsia="宋体" w:cs="Arial"/>
          <w:b/>
          <w:color w:val="auto"/>
          <w:sz w:val="32"/>
          <w:szCs w:val="32"/>
          <w:highlight w:val="none"/>
        </w:rPr>
        <w:t>符合性响应证明材料</w:t>
      </w:r>
    </w:p>
    <w:p w14:paraId="6626D1A6">
      <w:pPr>
        <w:spacing w:line="400" w:lineRule="exact"/>
        <w:rPr>
          <w:rFonts w:ascii="Arial" w:hAnsi="Arial" w:eastAsia="宋体" w:cs="Arial"/>
          <w:b/>
          <w:bCs/>
          <w:color w:val="auto"/>
          <w:sz w:val="24"/>
          <w:highlight w:val="none"/>
        </w:rPr>
      </w:pPr>
    </w:p>
    <w:p w14:paraId="0E25133D">
      <w:pPr>
        <w:spacing w:line="400" w:lineRule="exact"/>
        <w:rPr>
          <w:rFonts w:ascii="Arial" w:hAnsi="Arial" w:eastAsia="宋体" w:cs="Arial"/>
          <w:b/>
          <w:bCs/>
          <w:color w:val="auto"/>
          <w:sz w:val="24"/>
          <w:highlight w:val="none"/>
        </w:rPr>
      </w:pPr>
    </w:p>
    <w:p w14:paraId="08C6EF90">
      <w:pPr>
        <w:spacing w:line="400" w:lineRule="exact"/>
        <w:rPr>
          <w:rFonts w:ascii="Arial" w:hAnsi="Arial" w:eastAsia="宋体" w:cs="Arial"/>
          <w:b/>
          <w:bCs/>
          <w:color w:val="auto"/>
          <w:sz w:val="24"/>
          <w:highlight w:val="none"/>
        </w:rPr>
      </w:pPr>
    </w:p>
    <w:p w14:paraId="44DCA555">
      <w:pPr>
        <w:spacing w:line="400" w:lineRule="exact"/>
        <w:rPr>
          <w:rFonts w:ascii="Arial" w:hAnsi="Arial" w:eastAsia="宋体" w:cs="Arial"/>
          <w:b/>
          <w:bCs/>
          <w:color w:val="auto"/>
          <w:sz w:val="24"/>
          <w:highlight w:val="none"/>
        </w:rPr>
      </w:pPr>
      <w:r>
        <w:rPr>
          <w:rFonts w:ascii="Arial" w:hAnsi="Arial" w:eastAsia="宋体" w:cs="Arial"/>
          <w:b/>
          <w:bCs/>
          <w:color w:val="auto"/>
          <w:sz w:val="24"/>
          <w:highlight w:val="none"/>
        </w:rPr>
        <w:t>（三）</w:t>
      </w:r>
      <w:r>
        <w:rPr>
          <w:rFonts w:ascii="Arial" w:hAnsi="Arial" w:eastAsia="宋体" w:cs="Arial"/>
          <w:b/>
          <w:color w:val="auto"/>
          <w:sz w:val="32"/>
          <w:szCs w:val="32"/>
          <w:highlight w:val="none"/>
        </w:rPr>
        <w:t>其它有效证明材料</w:t>
      </w:r>
    </w:p>
    <w:p w14:paraId="549FC019">
      <w:pPr>
        <w:tabs>
          <w:tab w:val="left" w:pos="1305"/>
        </w:tabs>
        <w:spacing w:line="520" w:lineRule="exact"/>
        <w:jc w:val="center"/>
        <w:rPr>
          <w:rFonts w:ascii="Arial" w:hAnsi="Arial" w:eastAsia="宋体" w:cs="Arial"/>
          <w:color w:val="auto"/>
          <w:sz w:val="24"/>
          <w:highlight w:val="none"/>
        </w:rPr>
      </w:pPr>
      <w:r>
        <w:rPr>
          <w:rFonts w:ascii="Arial" w:hAnsi="Arial" w:eastAsia="宋体" w:cs="Arial"/>
          <w:b/>
          <w:color w:val="auto"/>
          <w:sz w:val="32"/>
          <w:szCs w:val="32"/>
          <w:highlight w:val="none"/>
        </w:rPr>
        <w:br w:type="page"/>
      </w:r>
      <w:r>
        <w:rPr>
          <w:rFonts w:ascii="Arial" w:hAnsi="Arial" w:eastAsia="宋体" w:cs="Arial"/>
          <w:b/>
          <w:color w:val="auto"/>
          <w:sz w:val="32"/>
          <w:szCs w:val="32"/>
          <w:highlight w:val="none"/>
        </w:rPr>
        <w:t>（一）资格性响应证明材料目录</w:t>
      </w:r>
    </w:p>
    <w:p w14:paraId="715F9B3C">
      <w:pPr>
        <w:tabs>
          <w:tab w:val="left" w:pos="1305"/>
        </w:tabs>
        <w:spacing w:line="520" w:lineRule="exact"/>
        <w:ind w:firstLine="600" w:firstLineChars="250"/>
        <w:rPr>
          <w:rFonts w:ascii="Arial" w:hAnsi="Arial" w:eastAsia="宋体" w:cs="Arial"/>
          <w:color w:val="auto"/>
          <w:sz w:val="24"/>
          <w:highlight w:val="none"/>
        </w:rPr>
      </w:pPr>
    </w:p>
    <w:p w14:paraId="3264A680">
      <w:pPr>
        <w:tabs>
          <w:tab w:val="left" w:pos="1305"/>
        </w:tabs>
        <w:spacing w:line="520" w:lineRule="exact"/>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1.响应函</w:t>
      </w:r>
      <w:r>
        <w:rPr>
          <w:rFonts w:ascii="Arial" w:hAnsi="Arial" w:eastAsia="宋体" w:cs="Arial"/>
          <w:b/>
          <w:color w:val="auto"/>
          <w:szCs w:val="21"/>
          <w:highlight w:val="none"/>
        </w:rPr>
        <w:t>（必须提供）</w:t>
      </w:r>
    </w:p>
    <w:p w14:paraId="176E07A1">
      <w:pPr>
        <w:tabs>
          <w:tab w:val="left" w:pos="1305"/>
        </w:tabs>
        <w:spacing w:line="520" w:lineRule="exact"/>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2.供应商相应的法定代表人（负责人）身份证正反两面复印件</w:t>
      </w:r>
      <w:r>
        <w:rPr>
          <w:rFonts w:ascii="Arial" w:hAnsi="Arial" w:eastAsia="宋体" w:cs="Arial"/>
          <w:b/>
          <w:color w:val="auto"/>
          <w:szCs w:val="21"/>
          <w:highlight w:val="none"/>
        </w:rPr>
        <w:t>（必须提供）</w:t>
      </w:r>
    </w:p>
    <w:p w14:paraId="48574619">
      <w:pPr>
        <w:tabs>
          <w:tab w:val="left" w:pos="1305"/>
        </w:tabs>
        <w:spacing w:line="520" w:lineRule="exact"/>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3.供应商的授权委托书原件、委托代理人身份证正反面复印件</w:t>
      </w:r>
      <w:r>
        <w:rPr>
          <w:rFonts w:ascii="Arial" w:hAnsi="Arial" w:eastAsia="宋体" w:cs="Arial"/>
          <w:b/>
          <w:color w:val="auto"/>
          <w:szCs w:val="21"/>
          <w:highlight w:val="none"/>
        </w:rPr>
        <w:t>（委托代理时必须提供）</w:t>
      </w:r>
    </w:p>
    <w:p w14:paraId="2203B76C">
      <w:pPr>
        <w:tabs>
          <w:tab w:val="left" w:pos="1305"/>
        </w:tabs>
        <w:spacing w:line="520" w:lineRule="exact"/>
        <w:ind w:firstLine="550" w:firstLineChars="262"/>
        <w:rPr>
          <w:rFonts w:ascii="Arial" w:hAnsi="Arial" w:eastAsia="宋体" w:cs="Arial"/>
          <w:b/>
          <w:color w:val="auto"/>
          <w:szCs w:val="21"/>
          <w:highlight w:val="none"/>
        </w:rPr>
      </w:pPr>
      <w:r>
        <w:rPr>
          <w:rFonts w:ascii="Arial" w:hAnsi="Arial" w:eastAsia="宋体" w:cs="Arial"/>
          <w:color w:val="auto"/>
          <w:szCs w:val="21"/>
          <w:highlight w:val="none"/>
        </w:rPr>
        <w:t>4.供应商的法人或者其他组织营业执照等证明文件复印件</w:t>
      </w:r>
      <w:r>
        <w:rPr>
          <w:rFonts w:ascii="Arial" w:hAnsi="Arial" w:eastAsia="宋体" w:cs="Arial"/>
          <w:b/>
          <w:color w:val="auto"/>
          <w:szCs w:val="21"/>
          <w:highlight w:val="none"/>
        </w:rPr>
        <w:t>（必须提供）</w:t>
      </w:r>
    </w:p>
    <w:p w14:paraId="070D97C4">
      <w:pPr>
        <w:tabs>
          <w:tab w:val="left" w:pos="1305"/>
        </w:tabs>
        <w:spacing w:line="390" w:lineRule="exact"/>
        <w:ind w:firstLine="420" w:firstLineChars="200"/>
        <w:rPr>
          <w:rFonts w:ascii="Arial" w:hAnsi="Arial" w:eastAsia="宋体" w:cs="Arial"/>
          <w:b/>
          <w:color w:val="auto"/>
          <w:szCs w:val="21"/>
          <w:highlight w:val="none"/>
        </w:rPr>
      </w:pPr>
      <w:r>
        <w:rPr>
          <w:rFonts w:ascii="Arial" w:hAnsi="Arial" w:eastAsia="宋体" w:cs="Arial"/>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96236EA">
      <w:pPr>
        <w:tabs>
          <w:tab w:val="left" w:pos="1305"/>
        </w:tabs>
        <w:spacing w:line="520" w:lineRule="exact"/>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5.供应商</w:t>
      </w:r>
      <w:r>
        <w:rPr>
          <w:rFonts w:hint="eastAsia" w:ascii="Arial" w:hAnsi="Arial" w:eastAsia="宋体" w:cs="Arial"/>
          <w:color w:val="auto"/>
          <w:szCs w:val="21"/>
          <w:highlight w:val="none"/>
        </w:rPr>
        <w:t>2023年</w:t>
      </w:r>
      <w:r>
        <w:rPr>
          <w:rFonts w:ascii="Arial" w:hAnsi="Arial" w:eastAsia="宋体" w:cs="Arial"/>
          <w:color w:val="auto"/>
          <w:szCs w:val="21"/>
          <w:highlight w:val="none"/>
        </w:rPr>
        <w:t>的审计报告或财务报表（至少包含资产负债表、利润表、现金流量表）（2024年新成立的公司提供公司成立日之后次月起到响应文件递交截止前一个月的财务报表）或供应商提交响应文件截止之日前三个月内其基本开户银行出具的银行资信证明（仅提供银行出具的存款证明不能作为其银行资信证明）（格式自拟，若为新成立的供应商单位请按实际月份提供）</w:t>
      </w:r>
      <w:r>
        <w:rPr>
          <w:rFonts w:ascii="Arial" w:hAnsi="Arial" w:eastAsia="宋体" w:cs="Arial"/>
          <w:b/>
          <w:bCs/>
          <w:color w:val="auto"/>
          <w:szCs w:val="21"/>
          <w:highlight w:val="none"/>
        </w:rPr>
        <w:t>（必须提供）</w:t>
      </w:r>
    </w:p>
    <w:p w14:paraId="3A711D15">
      <w:pPr>
        <w:tabs>
          <w:tab w:val="left" w:pos="1305"/>
        </w:tabs>
        <w:spacing w:line="520" w:lineRule="exact"/>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6.供应商至响应文件递交截止时间前6个月内，任意1个月的依法缴纳税费或依法免缴税费（包括无纳税记录或零报税）的证明（新成立的企业按实际提供），证明材料可以是：银行已缴纳税费凭证复印件或第三方有效的相关业务托缴凭证或其他有效证明，或供应商所在地税务部门出具的有效证明（复印件）（格式自拟，若为新成立的企业，请根据实际情况提供）</w:t>
      </w:r>
      <w:r>
        <w:rPr>
          <w:rFonts w:ascii="Arial" w:hAnsi="Arial" w:eastAsia="宋体" w:cs="Arial"/>
          <w:b/>
          <w:bCs/>
          <w:color w:val="auto"/>
          <w:szCs w:val="21"/>
          <w:highlight w:val="none"/>
        </w:rPr>
        <w:t>（必须提供）</w:t>
      </w:r>
    </w:p>
    <w:p w14:paraId="520A0626">
      <w:pPr>
        <w:tabs>
          <w:tab w:val="left" w:pos="1305"/>
        </w:tabs>
        <w:spacing w:line="520" w:lineRule="exact"/>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7.供应商至响应文件递交截止时间前6个月内，任意1个月依法缴纳社会保障资金的相关材料复印件</w:t>
      </w:r>
      <w:r>
        <w:rPr>
          <w:rFonts w:ascii="Arial" w:hAnsi="Arial" w:eastAsia="宋体" w:cs="Arial"/>
          <w:b/>
          <w:bCs/>
          <w:color w:val="auto"/>
          <w:szCs w:val="21"/>
          <w:highlight w:val="none"/>
        </w:rPr>
        <w:t>（必须提供）</w:t>
      </w:r>
    </w:p>
    <w:p w14:paraId="365741D9">
      <w:pPr>
        <w:tabs>
          <w:tab w:val="left" w:pos="1305"/>
        </w:tabs>
        <w:spacing w:line="520" w:lineRule="exact"/>
        <w:ind w:firstLine="525" w:firstLineChars="250"/>
        <w:rPr>
          <w:rFonts w:ascii="Arial" w:hAnsi="Arial" w:eastAsia="宋体" w:cs="Arial"/>
          <w:b/>
          <w:bCs/>
          <w:color w:val="auto"/>
          <w:szCs w:val="21"/>
          <w:highlight w:val="none"/>
        </w:rPr>
      </w:pPr>
      <w:r>
        <w:rPr>
          <w:rFonts w:ascii="Arial" w:hAnsi="Arial" w:eastAsia="宋体" w:cs="Arial"/>
          <w:color w:val="auto"/>
          <w:szCs w:val="21"/>
          <w:highlight w:val="none"/>
        </w:rPr>
        <w:t>8.供应商参加采购活动前3年内在经营活动中没有重大违法记录及有关信用信息的书面声明</w:t>
      </w:r>
      <w:r>
        <w:rPr>
          <w:rFonts w:ascii="Arial" w:hAnsi="Arial" w:eastAsia="宋体" w:cs="Arial"/>
          <w:b/>
          <w:bCs/>
          <w:color w:val="auto"/>
          <w:szCs w:val="21"/>
          <w:highlight w:val="none"/>
        </w:rPr>
        <w:t>（必须提供）</w:t>
      </w:r>
    </w:p>
    <w:p w14:paraId="26FB207E">
      <w:pPr>
        <w:tabs>
          <w:tab w:val="left" w:pos="1305"/>
        </w:tabs>
        <w:spacing w:line="520" w:lineRule="exact"/>
        <w:ind w:firstLine="525" w:firstLineChars="250"/>
        <w:rPr>
          <w:rFonts w:ascii="Arial" w:hAnsi="Arial" w:eastAsia="宋体" w:cs="Arial"/>
          <w:b/>
          <w:bCs/>
          <w:color w:val="auto"/>
          <w:szCs w:val="21"/>
          <w:highlight w:val="none"/>
        </w:rPr>
      </w:pPr>
      <w:r>
        <w:rPr>
          <w:rFonts w:ascii="Arial" w:hAnsi="Arial" w:eastAsia="宋体" w:cs="Arial"/>
          <w:color w:val="auto"/>
          <w:szCs w:val="21"/>
          <w:highlight w:val="none"/>
        </w:rPr>
        <w:t>9.供应商股东及出资信息表</w:t>
      </w:r>
      <w:r>
        <w:rPr>
          <w:rFonts w:ascii="Arial" w:hAnsi="Arial" w:eastAsia="宋体" w:cs="Arial"/>
          <w:b/>
          <w:bCs/>
          <w:color w:val="auto"/>
          <w:szCs w:val="21"/>
          <w:highlight w:val="none"/>
        </w:rPr>
        <w:t>（必须提供）</w:t>
      </w:r>
    </w:p>
    <w:p w14:paraId="3936A5E2">
      <w:pPr>
        <w:tabs>
          <w:tab w:val="left" w:pos="1305"/>
        </w:tabs>
        <w:spacing w:line="520" w:lineRule="exact"/>
        <w:ind w:firstLine="525" w:firstLineChars="250"/>
        <w:rPr>
          <w:rFonts w:ascii="Arial" w:hAnsi="Arial" w:eastAsia="宋体" w:cs="Arial"/>
          <w:color w:val="auto"/>
          <w:szCs w:val="21"/>
          <w:highlight w:val="none"/>
        </w:rPr>
      </w:pPr>
      <w:r>
        <w:rPr>
          <w:rFonts w:ascii="Arial" w:hAnsi="Arial" w:eastAsia="宋体" w:cs="Arial"/>
          <w:color w:val="auto"/>
          <w:szCs w:val="21"/>
          <w:highlight w:val="none"/>
        </w:rPr>
        <w:t>10.供应商参加本项目无围标串标行为的承诺函</w:t>
      </w:r>
      <w:r>
        <w:rPr>
          <w:rFonts w:ascii="Arial" w:hAnsi="Arial" w:eastAsia="宋体" w:cs="Arial"/>
          <w:b/>
          <w:bCs/>
          <w:color w:val="auto"/>
          <w:szCs w:val="21"/>
          <w:highlight w:val="none"/>
        </w:rPr>
        <w:t>（必须提供）</w:t>
      </w:r>
    </w:p>
    <w:p w14:paraId="69C8A081">
      <w:pPr>
        <w:spacing w:line="440" w:lineRule="atLeast"/>
        <w:ind w:firstLine="630" w:firstLineChars="300"/>
        <w:rPr>
          <w:rFonts w:ascii="Arial" w:hAnsi="Arial" w:eastAsia="宋体" w:cs="Arial"/>
          <w:b/>
          <w:color w:val="auto"/>
          <w:sz w:val="28"/>
          <w:szCs w:val="28"/>
          <w:highlight w:val="none"/>
        </w:rPr>
      </w:pPr>
      <w:r>
        <w:rPr>
          <w:rFonts w:ascii="Arial" w:hAnsi="Arial" w:eastAsia="宋体" w:cs="Arial"/>
          <w:bCs/>
          <w:color w:val="auto"/>
          <w:szCs w:val="21"/>
          <w:highlight w:val="none"/>
        </w:rPr>
        <w:t>11.谈判保证缴纳证明材料复印件</w:t>
      </w:r>
      <w:r>
        <w:rPr>
          <w:rFonts w:ascii="Arial" w:hAnsi="Arial" w:eastAsia="宋体" w:cs="Arial"/>
          <w:b/>
          <w:color w:val="auto"/>
          <w:szCs w:val="21"/>
          <w:highlight w:val="none"/>
        </w:rPr>
        <w:t>（必须提供）</w:t>
      </w:r>
    </w:p>
    <w:p w14:paraId="5B233D10">
      <w:pPr>
        <w:spacing w:line="440" w:lineRule="atLeast"/>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r>
        <w:rPr>
          <w:rFonts w:ascii="Arial" w:hAnsi="Arial" w:eastAsia="宋体" w:cs="Arial"/>
          <w:b/>
          <w:color w:val="auto"/>
          <w:sz w:val="28"/>
          <w:szCs w:val="28"/>
          <w:highlight w:val="none"/>
        </w:rPr>
        <w:t>1. 响应函（必须提供）</w:t>
      </w:r>
    </w:p>
    <w:p w14:paraId="1F1D9AFE">
      <w:pPr>
        <w:spacing w:line="440" w:lineRule="atLeast"/>
        <w:rPr>
          <w:rFonts w:ascii="Arial" w:hAnsi="Arial" w:eastAsia="宋体" w:cs="Arial"/>
          <w:b/>
          <w:color w:val="auto"/>
          <w:sz w:val="24"/>
          <w:highlight w:val="none"/>
        </w:rPr>
      </w:pPr>
      <w:r>
        <w:rPr>
          <w:rFonts w:ascii="Arial" w:hAnsi="Arial" w:eastAsia="宋体" w:cs="Arial"/>
          <w:b/>
          <w:color w:val="auto"/>
          <w:sz w:val="24"/>
          <w:highlight w:val="none"/>
        </w:rPr>
        <w:t>附件：</w:t>
      </w:r>
    </w:p>
    <w:p w14:paraId="24196304">
      <w:pPr>
        <w:pStyle w:val="14"/>
        <w:ind w:firstLine="800" w:firstLineChars="250"/>
        <w:jc w:val="center"/>
        <w:rPr>
          <w:rFonts w:ascii="Arial" w:hAnsi="Arial" w:eastAsia="宋体" w:cs="Arial"/>
          <w:b/>
          <w:color w:val="auto"/>
          <w:sz w:val="32"/>
          <w:highlight w:val="none"/>
        </w:rPr>
      </w:pPr>
      <w:r>
        <w:rPr>
          <w:rFonts w:ascii="Arial" w:hAnsi="Arial" w:eastAsia="宋体" w:cs="Arial"/>
          <w:b/>
          <w:color w:val="auto"/>
          <w:sz w:val="32"/>
          <w:highlight w:val="none"/>
        </w:rPr>
        <w:t>响 应 函 （格 式）</w:t>
      </w:r>
    </w:p>
    <w:p w14:paraId="641ADD09">
      <w:pPr>
        <w:spacing w:line="400" w:lineRule="exact"/>
        <w:rPr>
          <w:rFonts w:ascii="Arial" w:hAnsi="Arial" w:eastAsia="宋体" w:cs="Arial"/>
          <w:color w:val="auto"/>
          <w:highlight w:val="none"/>
        </w:rPr>
      </w:pPr>
      <w:r>
        <w:rPr>
          <w:rFonts w:ascii="Arial" w:hAnsi="Arial" w:eastAsia="宋体" w:cs="Arial"/>
          <w:color w:val="auto"/>
          <w:szCs w:val="21"/>
          <w:highlight w:val="none"/>
        </w:rPr>
        <w:t>致：</w:t>
      </w:r>
      <w:r>
        <w:rPr>
          <w:rFonts w:hint="eastAsia" w:ascii="Arial" w:hAnsi="Arial" w:eastAsia="宋体" w:cs="Arial"/>
          <w:color w:val="auto"/>
          <w:szCs w:val="21"/>
          <w:highlight w:val="none"/>
          <w:u w:val="single"/>
          <w:lang w:eastAsia="zh-CN"/>
        </w:rPr>
        <w:t>广西机电设备招标有限公司</w:t>
      </w:r>
      <w:r>
        <w:rPr>
          <w:rFonts w:ascii="Arial" w:hAnsi="Arial" w:eastAsia="宋体" w:cs="Arial"/>
          <w:color w:val="auto"/>
          <w:szCs w:val="21"/>
          <w:highlight w:val="none"/>
          <w:u w:val="single"/>
        </w:rPr>
        <w:t xml:space="preserve"> </w:t>
      </w:r>
    </w:p>
    <w:p w14:paraId="5344DF37">
      <w:pPr>
        <w:pStyle w:val="14"/>
        <w:spacing w:line="360" w:lineRule="exact"/>
        <w:ind w:firstLine="420"/>
        <w:rPr>
          <w:rFonts w:ascii="Arial" w:hAnsi="Arial" w:eastAsia="宋体" w:cs="Arial"/>
          <w:color w:val="auto"/>
          <w:highlight w:val="none"/>
        </w:rPr>
      </w:pPr>
      <w:r>
        <w:rPr>
          <w:rFonts w:ascii="Arial" w:hAnsi="Arial" w:eastAsia="宋体" w:cs="Arial"/>
          <w:color w:val="auto"/>
          <w:highlight w:val="none"/>
        </w:rPr>
        <w:t>根据贵方</w:t>
      </w:r>
      <w:r>
        <w:rPr>
          <w:rFonts w:ascii="Arial" w:hAnsi="Arial" w:eastAsia="宋体" w:cs="Arial"/>
          <w:color w:val="auto"/>
          <w:highlight w:val="none"/>
          <w:u w:val="single"/>
        </w:rPr>
        <w:t xml:space="preserve">         </w:t>
      </w:r>
      <w:r>
        <w:rPr>
          <w:rFonts w:ascii="Arial" w:hAnsi="Arial" w:eastAsia="宋体" w:cs="Arial"/>
          <w:color w:val="auto"/>
          <w:highlight w:val="none"/>
        </w:rPr>
        <w:t xml:space="preserve">项目谈判文件，项目编号 </w:t>
      </w:r>
      <w:r>
        <w:rPr>
          <w:rFonts w:ascii="Arial" w:hAnsi="Arial" w:eastAsia="宋体" w:cs="Arial"/>
          <w:color w:val="auto"/>
          <w:highlight w:val="none"/>
          <w:u w:val="single"/>
        </w:rPr>
        <w:t xml:space="preserve">               </w:t>
      </w:r>
      <w:r>
        <w:rPr>
          <w:rFonts w:ascii="Arial" w:hAnsi="Arial" w:eastAsia="宋体" w:cs="Arial"/>
          <w:color w:val="auto"/>
          <w:szCs w:val="21"/>
          <w:highlight w:val="none"/>
        </w:rPr>
        <w:t>，签字代表</w:t>
      </w:r>
      <w:r>
        <w:rPr>
          <w:rFonts w:ascii="Arial" w:hAnsi="Arial" w:eastAsia="宋体" w:cs="Arial"/>
          <w:color w:val="auto"/>
          <w:highlight w:val="none"/>
          <w:u w:val="single"/>
        </w:rPr>
        <w:t xml:space="preserve">         </w:t>
      </w:r>
      <w:r>
        <w:rPr>
          <w:rFonts w:ascii="Arial" w:hAnsi="Arial" w:eastAsia="宋体" w:cs="Arial"/>
          <w:color w:val="auto"/>
          <w:highlight w:val="none"/>
        </w:rPr>
        <w:t xml:space="preserve">（姓名）经正式授权并代表供应商 </w:t>
      </w:r>
      <w:r>
        <w:rPr>
          <w:rFonts w:ascii="Arial" w:hAnsi="Arial" w:eastAsia="宋体" w:cs="Arial"/>
          <w:color w:val="auto"/>
          <w:highlight w:val="none"/>
          <w:u w:val="single"/>
        </w:rPr>
        <w:t xml:space="preserve">                                   （</w:t>
      </w:r>
      <w:r>
        <w:rPr>
          <w:rFonts w:ascii="Arial" w:hAnsi="Arial" w:eastAsia="宋体" w:cs="Arial"/>
          <w:color w:val="auto"/>
          <w:highlight w:val="none"/>
        </w:rPr>
        <w:t>供应商单位名称），提交响应文件正本一份，副本二份。</w:t>
      </w:r>
    </w:p>
    <w:p w14:paraId="0A53F183">
      <w:pPr>
        <w:pStyle w:val="14"/>
        <w:spacing w:line="360" w:lineRule="exact"/>
        <w:ind w:firstLine="420"/>
        <w:rPr>
          <w:rFonts w:ascii="Arial" w:hAnsi="Arial" w:eastAsia="宋体" w:cs="Arial"/>
          <w:color w:val="auto"/>
          <w:highlight w:val="none"/>
        </w:rPr>
      </w:pPr>
      <w:r>
        <w:rPr>
          <w:rFonts w:ascii="Arial" w:hAnsi="Arial" w:eastAsia="宋体" w:cs="Arial"/>
          <w:color w:val="auto"/>
          <w:highlight w:val="none"/>
        </w:rPr>
        <w:t>据此函，签字代表宣布同意如下：</w:t>
      </w:r>
    </w:p>
    <w:p w14:paraId="1D6D2E47">
      <w:pPr>
        <w:pStyle w:val="14"/>
        <w:spacing w:line="360" w:lineRule="exact"/>
        <w:ind w:firstLine="420"/>
        <w:rPr>
          <w:rFonts w:ascii="Arial" w:hAnsi="Arial" w:eastAsia="宋体" w:cs="Arial"/>
          <w:b/>
          <w:bCs/>
          <w:color w:val="auto"/>
          <w:highlight w:val="none"/>
        </w:rPr>
      </w:pPr>
      <w:r>
        <w:rPr>
          <w:rFonts w:ascii="Arial" w:hAnsi="Arial" w:eastAsia="宋体" w:cs="Arial"/>
          <w:color w:val="auto"/>
          <w:highlight w:val="none"/>
        </w:rPr>
        <w:t>1.按谈判文件项目采购需求作出如下报价：谈判</w:t>
      </w:r>
      <w:r>
        <w:rPr>
          <w:rFonts w:hint="eastAsia" w:ascii="Arial" w:hAnsi="Arial" w:eastAsia="宋体" w:cs="Arial"/>
          <w:color w:val="auto"/>
          <w:highlight w:val="none"/>
        </w:rPr>
        <w:t>总</w:t>
      </w:r>
      <w:r>
        <w:rPr>
          <w:rFonts w:ascii="Arial" w:hAnsi="Arial" w:eastAsia="宋体" w:cs="Arial"/>
          <w:color w:val="auto"/>
          <w:highlight w:val="none"/>
        </w:rPr>
        <w:t>报价（大写）</w:t>
      </w:r>
      <w:r>
        <w:rPr>
          <w:rFonts w:ascii="Arial" w:hAnsi="Arial" w:eastAsia="宋体" w:cs="Arial"/>
          <w:color w:val="auto"/>
          <w:highlight w:val="none"/>
          <w:u w:val="single"/>
        </w:rPr>
        <w:t xml:space="preserve">       </w:t>
      </w:r>
      <w:r>
        <w:rPr>
          <w:rFonts w:ascii="Arial" w:hAnsi="Arial" w:eastAsia="宋体" w:cs="Arial"/>
          <w:color w:val="auto"/>
          <w:highlight w:val="none"/>
        </w:rPr>
        <w:t>元人民币(￥</w:t>
      </w:r>
      <w:r>
        <w:rPr>
          <w:rFonts w:ascii="Arial" w:hAnsi="Arial" w:eastAsia="宋体" w:cs="Arial"/>
          <w:color w:val="auto"/>
          <w:highlight w:val="none"/>
          <w:u w:val="single"/>
        </w:rPr>
        <w:t xml:space="preserve">    </w:t>
      </w:r>
      <w:r>
        <w:rPr>
          <w:rFonts w:ascii="Arial" w:hAnsi="Arial" w:eastAsia="宋体" w:cs="Arial"/>
          <w:color w:val="auto"/>
          <w:highlight w:val="none"/>
        </w:rPr>
        <w:t>)。</w:t>
      </w:r>
    </w:p>
    <w:p w14:paraId="5BB628ED">
      <w:pPr>
        <w:pStyle w:val="14"/>
        <w:spacing w:line="360" w:lineRule="exact"/>
        <w:ind w:firstLine="420"/>
        <w:rPr>
          <w:rFonts w:ascii="Arial" w:hAnsi="Arial" w:eastAsia="宋体" w:cs="Arial"/>
          <w:color w:val="auto"/>
          <w:highlight w:val="none"/>
        </w:rPr>
      </w:pPr>
      <w:r>
        <w:rPr>
          <w:rFonts w:ascii="Arial" w:hAnsi="Arial" w:eastAsia="宋体" w:cs="Arial"/>
          <w:color w:val="auto"/>
          <w:highlight w:val="none"/>
        </w:rPr>
        <w:t>2.我方承诺已具备谈判文件规定的供应商资格条件。</w:t>
      </w:r>
    </w:p>
    <w:p w14:paraId="22F0258D">
      <w:pPr>
        <w:pStyle w:val="14"/>
        <w:spacing w:line="360" w:lineRule="exact"/>
        <w:ind w:firstLine="420"/>
        <w:rPr>
          <w:rFonts w:ascii="Arial" w:hAnsi="Arial" w:eastAsia="宋体" w:cs="Arial"/>
          <w:color w:val="auto"/>
          <w:highlight w:val="none"/>
        </w:rPr>
      </w:pPr>
      <w:r>
        <w:rPr>
          <w:rFonts w:ascii="Arial" w:hAnsi="Arial" w:eastAsia="宋体" w:cs="Arial"/>
          <w:color w:val="auto"/>
          <w:highlight w:val="none"/>
        </w:rPr>
        <w:t>3.我方已详细审核谈判文件，包括修改文件（如有的话）和有关附件，将自行承担因对全部谈判文件理解不正确或误解而产生的相应后果。</w:t>
      </w:r>
    </w:p>
    <w:p w14:paraId="07642619">
      <w:pPr>
        <w:pStyle w:val="14"/>
        <w:spacing w:line="360" w:lineRule="exact"/>
        <w:ind w:firstLine="420"/>
        <w:rPr>
          <w:rFonts w:ascii="Arial" w:hAnsi="Arial" w:eastAsia="宋体" w:cs="Arial"/>
          <w:color w:val="auto"/>
          <w:highlight w:val="none"/>
        </w:rPr>
      </w:pPr>
      <w:r>
        <w:rPr>
          <w:rFonts w:ascii="Arial" w:hAnsi="Arial" w:eastAsia="宋体" w:cs="Arial"/>
          <w:color w:val="auto"/>
          <w:highlight w:val="none"/>
        </w:rPr>
        <w:t>4.响应文件有效期为</w:t>
      </w:r>
      <w:r>
        <w:rPr>
          <w:rFonts w:ascii="Arial" w:hAnsi="Arial" w:eastAsia="宋体" w:cs="Arial"/>
          <w:color w:val="auto"/>
          <w:szCs w:val="21"/>
          <w:highlight w:val="none"/>
        </w:rPr>
        <w:t>响应文件递交截止时间之日起90天。</w:t>
      </w:r>
    </w:p>
    <w:p w14:paraId="081BE6C9">
      <w:pPr>
        <w:pStyle w:val="14"/>
        <w:spacing w:line="360" w:lineRule="exact"/>
        <w:ind w:firstLine="420"/>
        <w:rPr>
          <w:rFonts w:ascii="Arial" w:hAnsi="Arial" w:eastAsia="宋体" w:cs="Arial"/>
          <w:color w:val="auto"/>
          <w:highlight w:val="none"/>
        </w:rPr>
      </w:pPr>
      <w:r>
        <w:rPr>
          <w:rFonts w:ascii="Arial" w:hAnsi="Arial" w:eastAsia="宋体" w:cs="Arial"/>
          <w:color w:val="auto"/>
          <w:highlight w:val="none"/>
        </w:rPr>
        <w:t>5.如我方成交：</w:t>
      </w:r>
    </w:p>
    <w:p w14:paraId="3A9763BC">
      <w:pPr>
        <w:pStyle w:val="14"/>
        <w:spacing w:line="360" w:lineRule="exact"/>
        <w:ind w:firstLine="420"/>
        <w:rPr>
          <w:rFonts w:ascii="Arial" w:hAnsi="Arial" w:eastAsia="宋体" w:cs="Arial"/>
          <w:color w:val="auto"/>
          <w:highlight w:val="none"/>
        </w:rPr>
      </w:pPr>
      <w:r>
        <w:rPr>
          <w:rFonts w:ascii="Arial" w:hAnsi="Arial" w:eastAsia="宋体" w:cs="Arial"/>
          <w:color w:val="auto"/>
          <w:highlight w:val="none"/>
        </w:rPr>
        <w:t>（1）我方承诺在收到成交通知书后，在成交通知书规定的期限内与采购人签订合同。</w:t>
      </w:r>
    </w:p>
    <w:p w14:paraId="1D995825">
      <w:pPr>
        <w:pStyle w:val="14"/>
        <w:spacing w:line="360" w:lineRule="exact"/>
        <w:ind w:firstLine="420"/>
        <w:rPr>
          <w:rFonts w:ascii="Arial" w:hAnsi="Arial" w:eastAsia="宋体" w:cs="Arial"/>
          <w:color w:val="auto"/>
          <w:highlight w:val="none"/>
        </w:rPr>
      </w:pPr>
      <w:r>
        <w:rPr>
          <w:rFonts w:ascii="Arial" w:hAnsi="Arial" w:eastAsia="宋体" w:cs="Arial"/>
          <w:color w:val="auto"/>
          <w:highlight w:val="none"/>
        </w:rPr>
        <w:t>（2）我方承诺按照谈判文件规定递交履约担保。</w:t>
      </w:r>
    </w:p>
    <w:p w14:paraId="677F5B72">
      <w:pPr>
        <w:pStyle w:val="14"/>
        <w:spacing w:line="360" w:lineRule="exact"/>
        <w:ind w:firstLine="420"/>
        <w:rPr>
          <w:rFonts w:ascii="Arial" w:hAnsi="Arial" w:eastAsia="宋体" w:cs="Arial"/>
          <w:color w:val="auto"/>
          <w:highlight w:val="none"/>
        </w:rPr>
      </w:pPr>
      <w:r>
        <w:rPr>
          <w:rFonts w:ascii="Arial" w:hAnsi="Arial" w:eastAsia="宋体" w:cs="Arial"/>
          <w:color w:val="auto"/>
          <w:highlight w:val="none"/>
        </w:rPr>
        <w:t>（3）我方承诺本响应文件至本项目合同履行完毕止均保持有效，按谈判文件及相关法律、法规的规定履行合同责任和义务。</w:t>
      </w:r>
    </w:p>
    <w:p w14:paraId="6DEFB661">
      <w:pPr>
        <w:pStyle w:val="14"/>
        <w:spacing w:line="360" w:lineRule="exact"/>
        <w:ind w:firstLine="420"/>
        <w:rPr>
          <w:rFonts w:ascii="Arial" w:hAnsi="Arial" w:eastAsia="宋体" w:cs="Arial"/>
          <w:color w:val="auto"/>
          <w:highlight w:val="none"/>
        </w:rPr>
      </w:pPr>
      <w:r>
        <w:rPr>
          <w:rFonts w:ascii="Arial" w:hAnsi="Arial" w:eastAsia="宋体" w:cs="Arial"/>
          <w:color w:val="auto"/>
          <w:highlight w:val="none"/>
        </w:rPr>
        <w:t>与本项目有关的正式通讯地址为：</w:t>
      </w:r>
    </w:p>
    <w:p w14:paraId="35F8DE34">
      <w:pPr>
        <w:pStyle w:val="14"/>
        <w:spacing w:line="400" w:lineRule="exact"/>
        <w:ind w:firstLine="420"/>
        <w:rPr>
          <w:rFonts w:ascii="Arial" w:hAnsi="Arial" w:eastAsia="宋体" w:cs="Arial"/>
          <w:color w:val="auto"/>
          <w:highlight w:val="none"/>
        </w:rPr>
      </w:pPr>
    </w:p>
    <w:p w14:paraId="00453ACB">
      <w:pPr>
        <w:pStyle w:val="14"/>
        <w:spacing w:line="360" w:lineRule="exact"/>
        <w:ind w:firstLine="420"/>
        <w:rPr>
          <w:rFonts w:ascii="Arial" w:hAnsi="Arial" w:eastAsia="宋体" w:cs="Arial"/>
          <w:color w:val="auto"/>
          <w:highlight w:val="none"/>
        </w:rPr>
      </w:pPr>
      <w:r>
        <w:rPr>
          <w:rFonts w:ascii="Arial" w:hAnsi="Arial" w:eastAsia="宋体" w:cs="Arial"/>
          <w:color w:val="auto"/>
          <w:highlight w:val="none"/>
        </w:rPr>
        <w:t>地址：</w:t>
      </w:r>
      <w:r>
        <w:rPr>
          <w:rFonts w:ascii="Arial" w:hAnsi="Arial" w:eastAsia="宋体" w:cs="Arial"/>
          <w:color w:val="auto"/>
          <w:highlight w:val="none"/>
          <w:u w:val="single"/>
        </w:rPr>
        <w:t xml:space="preserve">                                   </w:t>
      </w:r>
      <w:r>
        <w:rPr>
          <w:rFonts w:ascii="Arial" w:hAnsi="Arial" w:eastAsia="宋体" w:cs="Arial"/>
          <w:color w:val="auto"/>
          <w:highlight w:val="none"/>
        </w:rPr>
        <w:t xml:space="preserve"> 邮编：</w:t>
      </w:r>
      <w:r>
        <w:rPr>
          <w:rFonts w:ascii="Arial" w:hAnsi="Arial" w:eastAsia="宋体" w:cs="Arial"/>
          <w:color w:val="auto"/>
          <w:highlight w:val="none"/>
          <w:u w:val="single"/>
        </w:rPr>
        <w:t xml:space="preserve">          </w:t>
      </w:r>
      <w:r>
        <w:rPr>
          <w:rFonts w:ascii="Arial" w:hAnsi="Arial" w:eastAsia="宋体" w:cs="Arial"/>
          <w:color w:val="auto"/>
          <w:highlight w:val="none"/>
        </w:rPr>
        <w:t xml:space="preserve">  邮箱：</w:t>
      </w:r>
      <w:r>
        <w:rPr>
          <w:rFonts w:ascii="Arial" w:hAnsi="Arial" w:eastAsia="宋体" w:cs="Arial"/>
          <w:color w:val="auto"/>
          <w:highlight w:val="none"/>
          <w:u w:val="single"/>
        </w:rPr>
        <w:t xml:space="preserve">             </w:t>
      </w:r>
      <w:r>
        <w:rPr>
          <w:rFonts w:ascii="Arial" w:hAnsi="Arial" w:eastAsia="宋体" w:cs="Arial"/>
          <w:color w:val="auto"/>
          <w:highlight w:val="none"/>
        </w:rPr>
        <w:t xml:space="preserve"> </w:t>
      </w:r>
    </w:p>
    <w:p w14:paraId="7CB7F40F">
      <w:pPr>
        <w:pStyle w:val="14"/>
        <w:spacing w:line="360" w:lineRule="exact"/>
        <w:ind w:firstLine="420"/>
        <w:rPr>
          <w:rFonts w:ascii="Arial" w:hAnsi="Arial" w:eastAsia="宋体" w:cs="Arial"/>
          <w:color w:val="auto"/>
          <w:highlight w:val="none"/>
          <w:u w:val="single"/>
        </w:rPr>
      </w:pPr>
      <w:r>
        <w:rPr>
          <w:rFonts w:ascii="Arial" w:hAnsi="Arial" w:eastAsia="宋体" w:cs="Arial"/>
          <w:color w:val="auto"/>
          <w:highlight w:val="none"/>
        </w:rPr>
        <w:t>办公电话：</w:t>
      </w:r>
      <w:r>
        <w:rPr>
          <w:rFonts w:ascii="Arial" w:hAnsi="Arial" w:eastAsia="宋体" w:cs="Arial"/>
          <w:color w:val="auto"/>
          <w:highlight w:val="none"/>
          <w:u w:val="single"/>
        </w:rPr>
        <w:t xml:space="preserve">                </w:t>
      </w:r>
      <w:r>
        <w:rPr>
          <w:rFonts w:ascii="Arial" w:hAnsi="Arial" w:eastAsia="宋体" w:cs="Arial"/>
          <w:color w:val="auto"/>
          <w:highlight w:val="none"/>
        </w:rPr>
        <w:t xml:space="preserve">   传真：</w:t>
      </w:r>
      <w:r>
        <w:rPr>
          <w:rFonts w:ascii="Arial" w:hAnsi="Arial" w:eastAsia="宋体" w:cs="Arial"/>
          <w:color w:val="auto"/>
          <w:highlight w:val="none"/>
          <w:u w:val="single"/>
        </w:rPr>
        <w:t xml:space="preserve">            </w:t>
      </w:r>
    </w:p>
    <w:p w14:paraId="1FD33478">
      <w:pPr>
        <w:pStyle w:val="14"/>
        <w:spacing w:line="360" w:lineRule="exact"/>
        <w:ind w:firstLine="420"/>
        <w:rPr>
          <w:rFonts w:ascii="Arial" w:hAnsi="Arial" w:eastAsia="宋体" w:cs="Arial"/>
          <w:color w:val="auto"/>
          <w:highlight w:val="none"/>
          <w:u w:val="single"/>
        </w:rPr>
      </w:pPr>
      <w:r>
        <w:rPr>
          <w:rFonts w:ascii="Arial" w:hAnsi="Arial" w:eastAsia="宋体" w:cs="Arial"/>
          <w:color w:val="auto"/>
          <w:highlight w:val="none"/>
        </w:rPr>
        <w:t>委托代理人联系电话：</w:t>
      </w:r>
      <w:r>
        <w:rPr>
          <w:rFonts w:ascii="Arial" w:hAnsi="Arial" w:eastAsia="宋体" w:cs="Arial"/>
          <w:color w:val="auto"/>
          <w:highlight w:val="none"/>
          <w:u w:val="single"/>
        </w:rPr>
        <w:t xml:space="preserve">                </w:t>
      </w:r>
    </w:p>
    <w:p w14:paraId="2F5B87AA">
      <w:pPr>
        <w:pStyle w:val="14"/>
        <w:spacing w:line="320" w:lineRule="exact"/>
        <w:ind w:firstLine="420"/>
        <w:rPr>
          <w:rFonts w:ascii="Arial" w:hAnsi="Arial" w:eastAsia="宋体" w:cs="Arial"/>
          <w:color w:val="auto"/>
          <w:highlight w:val="none"/>
        </w:rPr>
      </w:pPr>
      <w:r>
        <w:rPr>
          <w:rFonts w:ascii="Arial" w:hAnsi="Arial" w:eastAsia="宋体" w:cs="Arial"/>
          <w:color w:val="auto"/>
          <w:highlight w:val="none"/>
        </w:rPr>
        <w:t>开户名称：</w:t>
      </w:r>
      <w:r>
        <w:rPr>
          <w:rFonts w:ascii="Arial" w:hAnsi="Arial" w:eastAsia="宋体" w:cs="Arial"/>
          <w:color w:val="auto"/>
          <w:highlight w:val="none"/>
          <w:u w:val="single"/>
        </w:rPr>
        <w:t xml:space="preserve">                                        </w:t>
      </w:r>
    </w:p>
    <w:p w14:paraId="1811250D">
      <w:pPr>
        <w:pStyle w:val="14"/>
        <w:spacing w:line="320" w:lineRule="exact"/>
        <w:ind w:firstLine="420"/>
        <w:rPr>
          <w:rFonts w:ascii="Arial" w:hAnsi="Arial" w:eastAsia="宋体" w:cs="Arial"/>
          <w:color w:val="auto"/>
          <w:highlight w:val="none"/>
        </w:rPr>
      </w:pPr>
      <w:r>
        <w:rPr>
          <w:rFonts w:ascii="Arial" w:hAnsi="Arial" w:eastAsia="宋体" w:cs="Arial"/>
          <w:color w:val="auto"/>
          <w:highlight w:val="none"/>
        </w:rPr>
        <w:t>开户银行：</w:t>
      </w:r>
      <w:r>
        <w:rPr>
          <w:rFonts w:ascii="Arial" w:hAnsi="Arial" w:eastAsia="宋体" w:cs="Arial"/>
          <w:color w:val="auto"/>
          <w:highlight w:val="none"/>
          <w:u w:val="single"/>
        </w:rPr>
        <w:t xml:space="preserve">                               　       </w:t>
      </w:r>
    </w:p>
    <w:p w14:paraId="7EF53053">
      <w:pPr>
        <w:pStyle w:val="14"/>
        <w:spacing w:line="320" w:lineRule="exact"/>
        <w:ind w:firstLine="420"/>
        <w:rPr>
          <w:rFonts w:ascii="Arial" w:hAnsi="Arial" w:eastAsia="宋体" w:cs="Arial"/>
          <w:color w:val="auto"/>
          <w:highlight w:val="none"/>
        </w:rPr>
      </w:pPr>
      <w:r>
        <w:rPr>
          <w:rFonts w:ascii="Arial" w:hAnsi="Arial" w:eastAsia="宋体" w:cs="Arial"/>
          <w:color w:val="auto"/>
          <w:highlight w:val="none"/>
        </w:rPr>
        <w:t>账号：</w:t>
      </w:r>
      <w:r>
        <w:rPr>
          <w:rFonts w:ascii="Arial" w:hAnsi="Arial" w:eastAsia="宋体" w:cs="Arial"/>
          <w:color w:val="auto"/>
          <w:highlight w:val="none"/>
          <w:u w:val="single"/>
        </w:rPr>
        <w:t xml:space="preserve">                                   　　　   </w:t>
      </w:r>
    </w:p>
    <w:p w14:paraId="17A2B146">
      <w:pPr>
        <w:pStyle w:val="14"/>
        <w:spacing w:line="320" w:lineRule="exact"/>
        <w:ind w:firstLine="420"/>
        <w:rPr>
          <w:rFonts w:ascii="Arial" w:hAnsi="Arial" w:eastAsia="宋体" w:cs="Arial"/>
          <w:color w:val="auto"/>
          <w:highlight w:val="none"/>
        </w:rPr>
      </w:pPr>
      <w:r>
        <w:rPr>
          <w:rFonts w:ascii="Arial" w:hAnsi="Arial" w:eastAsia="宋体" w:cs="Arial"/>
          <w:color w:val="auto"/>
          <w:highlight w:val="none"/>
        </w:rPr>
        <w:t>供应商（公章）：</w:t>
      </w:r>
      <w:r>
        <w:rPr>
          <w:rFonts w:ascii="Arial" w:hAnsi="Arial" w:eastAsia="宋体" w:cs="Arial"/>
          <w:color w:val="auto"/>
          <w:highlight w:val="none"/>
          <w:u w:val="single"/>
        </w:rPr>
        <w:t xml:space="preserve">                                              </w:t>
      </w:r>
    </w:p>
    <w:p w14:paraId="49820294">
      <w:pPr>
        <w:pStyle w:val="14"/>
        <w:spacing w:line="320" w:lineRule="exact"/>
        <w:ind w:firstLine="420"/>
        <w:rPr>
          <w:rFonts w:ascii="Arial" w:hAnsi="Arial" w:eastAsia="宋体" w:cs="Arial"/>
          <w:color w:val="auto"/>
          <w:highlight w:val="none"/>
          <w:u w:val="single"/>
        </w:rPr>
      </w:pPr>
      <w:r>
        <w:rPr>
          <w:rFonts w:ascii="Arial" w:hAnsi="Arial" w:eastAsia="宋体" w:cs="Arial"/>
          <w:color w:val="auto"/>
          <w:highlight w:val="none"/>
        </w:rPr>
        <w:t>法定代表人（负责人)或相应的委托代理人签字：</w:t>
      </w:r>
      <w:r>
        <w:rPr>
          <w:rFonts w:ascii="Arial" w:hAnsi="Arial" w:eastAsia="宋体" w:cs="Arial"/>
          <w:color w:val="auto"/>
          <w:highlight w:val="none"/>
          <w:u w:val="single"/>
        </w:rPr>
        <w:t xml:space="preserve">       </w:t>
      </w:r>
    </w:p>
    <w:p w14:paraId="0222E003">
      <w:pPr>
        <w:pStyle w:val="14"/>
        <w:spacing w:line="320" w:lineRule="exact"/>
        <w:ind w:firstLine="420"/>
        <w:rPr>
          <w:rFonts w:ascii="Arial" w:hAnsi="Arial" w:eastAsia="宋体" w:cs="Arial"/>
          <w:color w:val="auto"/>
          <w:highlight w:val="none"/>
          <w:u w:val="single"/>
        </w:rPr>
      </w:pPr>
      <w:r>
        <w:rPr>
          <w:rFonts w:ascii="Arial" w:hAnsi="Arial" w:eastAsia="宋体" w:cs="Arial"/>
          <w:bCs/>
          <w:color w:val="auto"/>
          <w:highlight w:val="none"/>
        </w:rPr>
        <w:t>响应</w:t>
      </w:r>
      <w:r>
        <w:rPr>
          <w:rFonts w:ascii="Arial" w:hAnsi="Arial" w:eastAsia="宋体" w:cs="Arial"/>
          <w:color w:val="auto"/>
          <w:highlight w:val="none"/>
        </w:rPr>
        <w:t>日期：</w:t>
      </w:r>
      <w:r>
        <w:rPr>
          <w:rFonts w:ascii="Arial" w:hAnsi="Arial" w:eastAsia="宋体" w:cs="Arial"/>
          <w:color w:val="auto"/>
          <w:highlight w:val="none"/>
          <w:u w:val="single"/>
        </w:rPr>
        <w:t xml:space="preserve">                               </w:t>
      </w:r>
    </w:p>
    <w:p w14:paraId="4AA2AF92">
      <w:pPr>
        <w:pStyle w:val="14"/>
        <w:spacing w:line="320" w:lineRule="exact"/>
        <w:ind w:firstLine="420"/>
        <w:rPr>
          <w:rFonts w:ascii="Arial" w:hAnsi="Arial" w:eastAsia="宋体" w:cs="Arial"/>
          <w:bCs/>
          <w:color w:val="auto"/>
          <w:highlight w:val="none"/>
        </w:rPr>
      </w:pPr>
    </w:p>
    <w:p w14:paraId="47D5909E">
      <w:pPr>
        <w:pStyle w:val="14"/>
        <w:spacing w:line="320" w:lineRule="exact"/>
        <w:ind w:left="840" w:leftChars="200" w:hanging="420" w:hangingChars="200"/>
        <w:rPr>
          <w:rFonts w:ascii="Arial" w:hAnsi="Arial" w:eastAsia="宋体" w:cs="Arial"/>
          <w:bCs/>
          <w:color w:val="auto"/>
          <w:highlight w:val="none"/>
        </w:rPr>
      </w:pPr>
      <w:r>
        <w:rPr>
          <w:rFonts w:ascii="Arial" w:hAnsi="Arial" w:eastAsia="宋体" w:cs="Arial"/>
          <w:bCs/>
          <w:color w:val="auto"/>
          <w:highlight w:val="none"/>
        </w:rPr>
        <w:t>注：1.未按照本响应函（格式）要求填报的响应函将被视为非实质性响应竞争性谈判文件要求，从而导致该响应被拒绝。</w:t>
      </w:r>
    </w:p>
    <w:p w14:paraId="01885301">
      <w:pPr>
        <w:pStyle w:val="14"/>
        <w:spacing w:line="320" w:lineRule="exact"/>
        <w:ind w:left="840" w:leftChars="400"/>
        <w:rPr>
          <w:rFonts w:ascii="Arial" w:hAnsi="Arial" w:eastAsia="宋体" w:cs="Arial"/>
          <w:bCs/>
          <w:color w:val="auto"/>
          <w:highlight w:val="none"/>
        </w:rPr>
      </w:pPr>
      <w:r>
        <w:rPr>
          <w:rFonts w:ascii="Arial" w:hAnsi="Arial" w:eastAsia="宋体" w:cs="Arial"/>
          <w:bCs/>
          <w:color w:val="auto"/>
          <w:szCs w:val="21"/>
          <w:highlight w:val="none"/>
        </w:rPr>
        <w:t>2.供应商必须按</w:t>
      </w:r>
      <w:r>
        <w:rPr>
          <w:rFonts w:ascii="Arial" w:hAnsi="Arial" w:eastAsia="宋体" w:cs="Arial"/>
          <w:bCs/>
          <w:color w:val="auto"/>
          <w:highlight w:val="none"/>
        </w:rPr>
        <w:t>本响应函（格式）</w:t>
      </w:r>
      <w:r>
        <w:rPr>
          <w:rFonts w:ascii="Arial" w:hAnsi="Arial" w:eastAsia="宋体" w:cs="Arial"/>
          <w:bCs/>
          <w:color w:val="auto"/>
          <w:szCs w:val="21"/>
          <w:highlight w:val="none"/>
        </w:rPr>
        <w:t>要求注明清楚联系方式（包括地址、邮编、邮箱、电话等），从而确保成交结果等相关信息能及时通知到位。</w:t>
      </w:r>
    </w:p>
    <w:p w14:paraId="2722DFAD">
      <w:pPr>
        <w:pStyle w:val="14"/>
        <w:spacing w:line="320" w:lineRule="exact"/>
        <w:ind w:left="840" w:leftChars="400"/>
        <w:rPr>
          <w:rFonts w:ascii="Arial" w:hAnsi="Arial" w:eastAsia="宋体" w:cs="Arial"/>
          <w:bCs/>
          <w:color w:val="auto"/>
          <w:szCs w:val="21"/>
          <w:highlight w:val="none"/>
        </w:rPr>
      </w:pPr>
      <w:r>
        <w:rPr>
          <w:rFonts w:ascii="Arial" w:hAnsi="Arial" w:eastAsia="宋体" w:cs="Arial"/>
          <w:bCs/>
          <w:color w:val="auto"/>
          <w:highlight w:val="none"/>
        </w:rPr>
        <w:t>3.响应函</w:t>
      </w:r>
      <w:r>
        <w:rPr>
          <w:rFonts w:ascii="Arial" w:hAnsi="Arial" w:eastAsia="宋体" w:cs="Arial"/>
          <w:bCs/>
          <w:color w:val="auto"/>
          <w:szCs w:val="21"/>
          <w:highlight w:val="none"/>
        </w:rPr>
        <w:t>须</w:t>
      </w:r>
      <w:r>
        <w:rPr>
          <w:rFonts w:ascii="Arial" w:hAnsi="Arial" w:eastAsia="宋体" w:cs="Arial"/>
          <w:bCs/>
          <w:color w:val="auto"/>
          <w:highlight w:val="none"/>
        </w:rPr>
        <w:t>由</w:t>
      </w:r>
      <w:r>
        <w:rPr>
          <w:rFonts w:ascii="Arial" w:hAnsi="Arial" w:eastAsia="宋体" w:cs="Arial"/>
          <w:bCs/>
          <w:color w:val="auto"/>
          <w:szCs w:val="21"/>
          <w:highlight w:val="none"/>
        </w:rPr>
        <w:t>法定代表人（负责人）或委托代理人签字并加盖供应商公章。</w:t>
      </w:r>
    </w:p>
    <w:p w14:paraId="2A164613">
      <w:pPr>
        <w:pStyle w:val="14"/>
        <w:spacing w:line="320" w:lineRule="exact"/>
        <w:ind w:left="840" w:leftChars="400"/>
        <w:rPr>
          <w:rFonts w:ascii="Arial" w:hAnsi="Arial" w:eastAsia="宋体" w:cs="Arial"/>
          <w:bCs/>
          <w:color w:val="auto"/>
          <w:szCs w:val="21"/>
          <w:highlight w:val="none"/>
        </w:rPr>
      </w:pPr>
    </w:p>
    <w:p w14:paraId="0B8C6FEF">
      <w:pPr>
        <w:pStyle w:val="14"/>
        <w:spacing w:line="400" w:lineRule="exact"/>
        <w:ind w:firstLine="420" w:firstLineChars="200"/>
        <w:rPr>
          <w:rFonts w:ascii="Arial" w:hAnsi="Arial" w:eastAsia="宋体" w:cs="Arial"/>
          <w:bCs/>
          <w:color w:val="auto"/>
          <w:highlight w:val="none"/>
        </w:rPr>
      </w:pPr>
    </w:p>
    <w:p w14:paraId="492944DB">
      <w:pPr>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p>
    <w:p w14:paraId="629997FD">
      <w:pPr>
        <w:spacing w:line="440" w:lineRule="atLeast"/>
        <w:rPr>
          <w:rFonts w:ascii="Arial" w:hAnsi="Arial" w:eastAsia="宋体" w:cs="Arial"/>
          <w:b/>
          <w:color w:val="auto"/>
          <w:sz w:val="28"/>
          <w:szCs w:val="28"/>
          <w:highlight w:val="none"/>
        </w:rPr>
      </w:pPr>
      <w:r>
        <w:rPr>
          <w:rFonts w:ascii="Arial" w:hAnsi="Arial" w:eastAsia="宋体" w:cs="Arial"/>
          <w:b/>
          <w:color w:val="auto"/>
          <w:sz w:val="28"/>
          <w:szCs w:val="28"/>
          <w:highlight w:val="none"/>
        </w:rPr>
        <w:t>2.供应商相应的法定代表人（负责人)身份证正反两面复印件（必须提供）</w:t>
      </w:r>
    </w:p>
    <w:p w14:paraId="1F3BDC3F">
      <w:pPr>
        <w:pStyle w:val="14"/>
        <w:spacing w:line="340" w:lineRule="exact"/>
        <w:rPr>
          <w:rFonts w:ascii="Arial" w:hAnsi="Arial" w:eastAsia="宋体" w:cs="Arial"/>
          <w:b/>
          <w:color w:val="auto"/>
          <w:sz w:val="28"/>
          <w:szCs w:val="28"/>
          <w:highlight w:val="none"/>
        </w:rPr>
      </w:pPr>
    </w:p>
    <w:p w14:paraId="4344128D">
      <w:pPr>
        <w:pStyle w:val="14"/>
        <w:spacing w:line="340" w:lineRule="exact"/>
        <w:rPr>
          <w:rFonts w:ascii="Arial" w:hAnsi="Arial" w:eastAsia="宋体" w:cs="Arial"/>
          <w:b/>
          <w:color w:val="auto"/>
          <w:sz w:val="28"/>
          <w:szCs w:val="28"/>
          <w:highlight w:val="none"/>
        </w:rPr>
      </w:pPr>
    </w:p>
    <w:p w14:paraId="09B39BCF">
      <w:pPr>
        <w:pStyle w:val="14"/>
        <w:spacing w:line="34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3.供应商的授权委托书原件、委托代理人身份证正反面复印件（委托代理时必须提供）</w:t>
      </w:r>
    </w:p>
    <w:p w14:paraId="2E4CC9DD">
      <w:pPr>
        <w:pStyle w:val="14"/>
        <w:rPr>
          <w:rFonts w:ascii="Arial" w:hAnsi="Arial" w:eastAsia="宋体" w:cs="Arial"/>
          <w:b/>
          <w:color w:val="auto"/>
          <w:sz w:val="32"/>
          <w:highlight w:val="none"/>
        </w:rPr>
      </w:pPr>
      <w:r>
        <w:rPr>
          <w:rFonts w:ascii="Arial" w:hAnsi="Arial" w:eastAsia="宋体" w:cs="Arial"/>
          <w:b/>
          <w:color w:val="auto"/>
          <w:sz w:val="32"/>
          <w:highlight w:val="none"/>
        </w:rPr>
        <w:t xml:space="preserve">附件：            </w:t>
      </w:r>
    </w:p>
    <w:p w14:paraId="1516B215">
      <w:pPr>
        <w:pStyle w:val="14"/>
        <w:ind w:firstLine="627" w:firstLineChars="196"/>
        <w:jc w:val="center"/>
        <w:rPr>
          <w:rFonts w:ascii="Arial" w:hAnsi="Arial" w:eastAsia="宋体" w:cs="Arial"/>
          <w:b/>
          <w:color w:val="auto"/>
          <w:sz w:val="32"/>
          <w:highlight w:val="none"/>
        </w:rPr>
      </w:pPr>
      <w:r>
        <w:rPr>
          <w:rFonts w:ascii="Arial" w:hAnsi="Arial" w:eastAsia="宋体" w:cs="Arial"/>
          <w:b/>
          <w:color w:val="auto"/>
          <w:sz w:val="32"/>
          <w:highlight w:val="none"/>
        </w:rPr>
        <w:t>授权委托书</w:t>
      </w:r>
    </w:p>
    <w:p w14:paraId="743C1ACE">
      <w:pPr>
        <w:pStyle w:val="14"/>
        <w:rPr>
          <w:rFonts w:ascii="Arial" w:hAnsi="Arial" w:eastAsia="宋体" w:cs="Arial"/>
          <w:color w:val="auto"/>
          <w:highlight w:val="none"/>
        </w:rPr>
      </w:pPr>
    </w:p>
    <w:p w14:paraId="4EBEA757">
      <w:pPr>
        <w:spacing w:line="400" w:lineRule="exact"/>
        <w:rPr>
          <w:rFonts w:hint="eastAsia" w:ascii="Arial" w:hAnsi="Arial" w:eastAsia="宋体" w:cs="Arial"/>
          <w:color w:val="auto"/>
          <w:highlight w:val="none"/>
          <w:lang w:eastAsia="zh-CN"/>
        </w:rPr>
      </w:pPr>
      <w:r>
        <w:rPr>
          <w:rFonts w:ascii="Arial" w:hAnsi="Arial" w:eastAsia="宋体" w:cs="Arial"/>
          <w:color w:val="auto"/>
          <w:szCs w:val="21"/>
          <w:highlight w:val="none"/>
        </w:rPr>
        <w:t>致：</w:t>
      </w:r>
      <w:r>
        <w:rPr>
          <w:rFonts w:hint="eastAsia" w:ascii="Arial" w:hAnsi="Arial" w:eastAsia="宋体" w:cs="Arial"/>
          <w:color w:val="auto"/>
          <w:szCs w:val="21"/>
          <w:highlight w:val="none"/>
          <w:u w:val="single"/>
          <w:lang w:eastAsia="zh-CN"/>
        </w:rPr>
        <w:t>广西机电设备招标有限公司</w:t>
      </w:r>
    </w:p>
    <w:p w14:paraId="421B4930">
      <w:pPr>
        <w:spacing w:line="400" w:lineRule="exact"/>
        <w:rPr>
          <w:rFonts w:ascii="Arial" w:hAnsi="Arial" w:eastAsia="宋体" w:cs="Arial"/>
          <w:color w:val="auto"/>
          <w:szCs w:val="21"/>
          <w:highlight w:val="none"/>
        </w:rPr>
      </w:pPr>
    </w:p>
    <w:p w14:paraId="689E7D9A">
      <w:pPr>
        <w:pStyle w:val="14"/>
        <w:spacing w:line="400" w:lineRule="exact"/>
        <w:ind w:firstLine="420" w:firstLineChars="200"/>
        <w:rPr>
          <w:rFonts w:ascii="Arial" w:hAnsi="Arial" w:eastAsia="宋体" w:cs="Arial"/>
          <w:color w:val="auto"/>
          <w:highlight w:val="none"/>
        </w:rPr>
      </w:pPr>
      <w:r>
        <w:rPr>
          <w:rFonts w:ascii="Arial" w:hAnsi="Arial" w:eastAsia="宋体" w:cs="Arial"/>
          <w:color w:val="auto"/>
          <w:kern w:val="0"/>
          <w:highlight w:val="none"/>
        </w:rPr>
        <w:t>我</w:t>
      </w:r>
      <w:r>
        <w:rPr>
          <w:rFonts w:ascii="Arial" w:hAnsi="Arial" w:eastAsia="宋体" w:cs="Arial"/>
          <w:color w:val="auto"/>
          <w:kern w:val="0"/>
          <w:highlight w:val="none"/>
          <w:u w:val="single"/>
        </w:rPr>
        <w:t xml:space="preserve">              </w:t>
      </w:r>
      <w:r>
        <w:rPr>
          <w:rFonts w:ascii="Arial" w:hAnsi="Arial" w:eastAsia="宋体" w:cs="Arial"/>
          <w:color w:val="auto"/>
          <w:kern w:val="0"/>
          <w:highlight w:val="none"/>
        </w:rPr>
        <w:t>（姓名）系</w:t>
      </w:r>
      <w:r>
        <w:rPr>
          <w:rFonts w:ascii="Arial" w:hAnsi="Arial" w:eastAsia="宋体" w:cs="Arial"/>
          <w:color w:val="auto"/>
          <w:kern w:val="0"/>
          <w:highlight w:val="none"/>
          <w:u w:val="single"/>
        </w:rPr>
        <w:t xml:space="preserve">                              </w:t>
      </w:r>
      <w:r>
        <w:rPr>
          <w:rFonts w:ascii="Arial" w:hAnsi="Arial" w:eastAsia="宋体" w:cs="Arial"/>
          <w:color w:val="auto"/>
          <w:kern w:val="0"/>
          <w:highlight w:val="none"/>
        </w:rPr>
        <w:t>（供应商名称）的法定代表人，现授权委托本单位在职职工</w:t>
      </w:r>
      <w:r>
        <w:rPr>
          <w:rFonts w:ascii="Arial" w:hAnsi="Arial" w:eastAsia="宋体" w:cs="Arial"/>
          <w:color w:val="auto"/>
          <w:kern w:val="0"/>
          <w:highlight w:val="none"/>
          <w:u w:val="single"/>
        </w:rPr>
        <w:t xml:space="preserve">            </w:t>
      </w:r>
      <w:r>
        <w:rPr>
          <w:rFonts w:ascii="Arial" w:hAnsi="Arial" w:eastAsia="宋体" w:cs="Arial"/>
          <w:color w:val="auto"/>
          <w:kern w:val="0"/>
          <w:highlight w:val="none"/>
        </w:rPr>
        <w:t>（姓 名）以我公司名义参加</w:t>
      </w:r>
      <w:r>
        <w:rPr>
          <w:rFonts w:ascii="Arial" w:hAnsi="Arial" w:eastAsia="宋体" w:cs="Arial"/>
          <w:color w:val="auto"/>
          <w:kern w:val="0"/>
          <w:highlight w:val="none"/>
          <w:u w:val="single"/>
        </w:rPr>
        <w:t xml:space="preserve">      </w:t>
      </w:r>
      <w:r>
        <w:rPr>
          <w:rFonts w:ascii="Arial" w:hAnsi="Arial" w:eastAsia="宋体" w:cs="Arial"/>
          <w:color w:val="auto"/>
          <w:highlight w:val="none"/>
          <w:u w:val="single"/>
        </w:rPr>
        <w:t xml:space="preserve">（项目名称、项目编号）        </w:t>
      </w:r>
      <w:r>
        <w:rPr>
          <w:rFonts w:ascii="Arial" w:hAnsi="Arial" w:eastAsia="宋体" w:cs="Arial"/>
          <w:color w:val="auto"/>
          <w:highlight w:val="none"/>
        </w:rPr>
        <w:t>项目的谈判活动，并代表我方全权办理针对上述项目的谈判、签约等具体事务和签署相关文件。</w:t>
      </w:r>
    </w:p>
    <w:p w14:paraId="3D2BE00F">
      <w:pPr>
        <w:pStyle w:val="14"/>
        <w:spacing w:line="400" w:lineRule="exact"/>
        <w:ind w:firstLine="420" w:firstLineChars="200"/>
        <w:rPr>
          <w:rFonts w:ascii="Arial" w:hAnsi="Arial" w:eastAsia="宋体" w:cs="Arial"/>
          <w:color w:val="auto"/>
          <w:highlight w:val="none"/>
        </w:rPr>
      </w:pPr>
      <w:r>
        <w:rPr>
          <w:rFonts w:ascii="Arial" w:hAnsi="Arial" w:eastAsia="宋体" w:cs="Arial"/>
          <w:color w:val="auto"/>
          <w:highlight w:val="none"/>
        </w:rPr>
        <w:t>我方对被授权人的签字事项负全部责任。</w:t>
      </w:r>
    </w:p>
    <w:p w14:paraId="42A16E92">
      <w:pPr>
        <w:pStyle w:val="14"/>
        <w:spacing w:line="400" w:lineRule="exact"/>
        <w:ind w:firstLine="420" w:firstLineChars="200"/>
        <w:rPr>
          <w:rFonts w:ascii="Arial" w:hAnsi="Arial" w:eastAsia="宋体" w:cs="Arial"/>
          <w:color w:val="auto"/>
          <w:highlight w:val="none"/>
          <w:u w:val="single"/>
        </w:rPr>
      </w:pPr>
      <w:r>
        <w:rPr>
          <w:rFonts w:ascii="Arial" w:hAnsi="Arial" w:eastAsia="宋体" w:cs="Arial"/>
          <w:color w:val="auto"/>
          <w:highlight w:val="none"/>
        </w:rPr>
        <w:t>授权委托代理期限：从</w:t>
      </w:r>
      <w:r>
        <w:rPr>
          <w:rFonts w:ascii="Arial" w:hAnsi="Arial" w:eastAsia="宋体" w:cs="Arial"/>
          <w:color w:val="auto"/>
          <w:highlight w:val="none"/>
          <w:u w:val="single"/>
        </w:rPr>
        <w:t xml:space="preserve">       </w:t>
      </w:r>
      <w:r>
        <w:rPr>
          <w:rFonts w:ascii="Arial" w:hAnsi="Arial" w:eastAsia="宋体" w:cs="Arial"/>
          <w:color w:val="auto"/>
          <w:highlight w:val="none"/>
        </w:rPr>
        <w:t>年</w:t>
      </w:r>
      <w:r>
        <w:rPr>
          <w:rFonts w:ascii="Arial" w:hAnsi="Arial" w:eastAsia="宋体" w:cs="Arial"/>
          <w:color w:val="auto"/>
          <w:highlight w:val="none"/>
          <w:u w:val="single"/>
        </w:rPr>
        <w:t xml:space="preserve">     </w:t>
      </w:r>
      <w:r>
        <w:rPr>
          <w:rFonts w:ascii="Arial" w:hAnsi="Arial" w:eastAsia="宋体" w:cs="Arial"/>
          <w:color w:val="auto"/>
          <w:highlight w:val="none"/>
        </w:rPr>
        <w:t xml:space="preserve">月 </w:t>
      </w:r>
      <w:r>
        <w:rPr>
          <w:rFonts w:ascii="Arial" w:hAnsi="Arial" w:eastAsia="宋体" w:cs="Arial"/>
          <w:color w:val="auto"/>
          <w:highlight w:val="none"/>
          <w:u w:val="single"/>
        </w:rPr>
        <w:t xml:space="preserve">    </w:t>
      </w:r>
      <w:r>
        <w:rPr>
          <w:rFonts w:ascii="Arial" w:hAnsi="Arial" w:eastAsia="宋体" w:cs="Arial"/>
          <w:color w:val="auto"/>
          <w:highlight w:val="none"/>
        </w:rPr>
        <w:t xml:space="preserve"> 日起至</w:t>
      </w:r>
      <w:r>
        <w:rPr>
          <w:rFonts w:ascii="Arial" w:hAnsi="Arial" w:eastAsia="宋体" w:cs="Arial"/>
          <w:color w:val="auto"/>
          <w:highlight w:val="none"/>
          <w:u w:val="single"/>
        </w:rPr>
        <w:t xml:space="preserve">         </w:t>
      </w:r>
      <w:r>
        <w:rPr>
          <w:rFonts w:ascii="Arial" w:hAnsi="Arial" w:eastAsia="宋体" w:cs="Arial"/>
          <w:color w:val="auto"/>
          <w:highlight w:val="none"/>
        </w:rPr>
        <w:t>年</w:t>
      </w:r>
      <w:r>
        <w:rPr>
          <w:rFonts w:ascii="Arial" w:hAnsi="Arial" w:eastAsia="宋体" w:cs="Arial"/>
          <w:color w:val="auto"/>
          <w:highlight w:val="none"/>
          <w:u w:val="single"/>
        </w:rPr>
        <w:t xml:space="preserve">     </w:t>
      </w:r>
      <w:r>
        <w:rPr>
          <w:rFonts w:ascii="Arial" w:hAnsi="Arial" w:eastAsia="宋体" w:cs="Arial"/>
          <w:color w:val="auto"/>
          <w:highlight w:val="none"/>
        </w:rPr>
        <w:t xml:space="preserve">月 </w:t>
      </w:r>
      <w:r>
        <w:rPr>
          <w:rFonts w:ascii="Arial" w:hAnsi="Arial" w:eastAsia="宋体" w:cs="Arial"/>
          <w:color w:val="auto"/>
          <w:highlight w:val="none"/>
          <w:u w:val="single"/>
        </w:rPr>
        <w:t xml:space="preserve">     </w:t>
      </w:r>
      <w:r>
        <w:rPr>
          <w:rFonts w:ascii="Arial" w:hAnsi="Arial" w:eastAsia="宋体" w:cs="Arial"/>
          <w:color w:val="auto"/>
          <w:highlight w:val="none"/>
        </w:rPr>
        <w:t>日止。</w:t>
      </w:r>
    </w:p>
    <w:p w14:paraId="70E1AD19">
      <w:pPr>
        <w:pStyle w:val="14"/>
        <w:spacing w:line="400" w:lineRule="exact"/>
        <w:rPr>
          <w:rFonts w:ascii="Arial" w:hAnsi="Arial" w:eastAsia="宋体" w:cs="Arial"/>
          <w:color w:val="auto"/>
          <w:highlight w:val="none"/>
          <w:u w:val="single"/>
        </w:rPr>
      </w:pPr>
      <w:r>
        <w:rPr>
          <w:rFonts w:ascii="Arial" w:hAnsi="Arial" w:eastAsia="宋体" w:cs="Arial"/>
          <w:color w:val="auto"/>
          <w:highlight w:val="none"/>
        </w:rPr>
        <w:t xml:space="preserve">                                                                                             </w:t>
      </w:r>
    </w:p>
    <w:p w14:paraId="5D4779AC">
      <w:pPr>
        <w:spacing w:line="400" w:lineRule="exact"/>
        <w:ind w:firstLine="420" w:firstLineChars="200"/>
        <w:rPr>
          <w:rFonts w:ascii="Arial" w:hAnsi="Arial" w:eastAsia="宋体" w:cs="Arial"/>
          <w:color w:val="auto"/>
          <w:kern w:val="0"/>
          <w:highlight w:val="none"/>
        </w:rPr>
      </w:pPr>
      <w:r>
        <w:rPr>
          <w:rFonts w:ascii="Arial" w:hAnsi="Arial" w:eastAsia="宋体" w:cs="Arial"/>
          <w:color w:val="auto"/>
          <w:kern w:val="0"/>
          <w:highlight w:val="none"/>
        </w:rPr>
        <w:t xml:space="preserve">代理人无转委托权,特此委托。 </w:t>
      </w:r>
    </w:p>
    <w:p w14:paraId="42744920">
      <w:pPr>
        <w:snapToGrid w:val="0"/>
        <w:spacing w:line="400" w:lineRule="exact"/>
        <w:ind w:firstLine="525"/>
        <w:rPr>
          <w:rFonts w:ascii="Arial" w:hAnsi="Arial" w:eastAsia="宋体" w:cs="Arial"/>
          <w:color w:val="auto"/>
          <w:szCs w:val="21"/>
          <w:highlight w:val="none"/>
        </w:rPr>
      </w:pPr>
    </w:p>
    <w:p w14:paraId="3E1BC23D">
      <w:pPr>
        <w:snapToGrid w:val="0"/>
        <w:spacing w:line="400" w:lineRule="exact"/>
        <w:ind w:firstLine="420"/>
        <w:rPr>
          <w:rFonts w:ascii="Arial" w:hAnsi="Arial" w:eastAsia="宋体" w:cs="Arial"/>
          <w:color w:val="auto"/>
          <w:szCs w:val="21"/>
          <w:highlight w:val="none"/>
        </w:rPr>
      </w:pPr>
      <w:r>
        <w:rPr>
          <w:rFonts w:ascii="Arial" w:hAnsi="Arial" w:eastAsia="宋体" w:cs="Arial"/>
          <w:color w:val="auto"/>
          <w:szCs w:val="21"/>
          <w:highlight w:val="none"/>
        </w:rPr>
        <w:t>我已在下面签字，以资证明。</w:t>
      </w:r>
    </w:p>
    <w:p w14:paraId="6C163D97">
      <w:pPr>
        <w:snapToGrid w:val="0"/>
        <w:spacing w:line="400" w:lineRule="exact"/>
        <w:ind w:firstLine="420"/>
        <w:rPr>
          <w:rFonts w:ascii="Arial" w:hAnsi="Arial" w:eastAsia="宋体" w:cs="Arial"/>
          <w:color w:val="auto"/>
          <w:szCs w:val="21"/>
          <w:highlight w:val="none"/>
        </w:rPr>
      </w:pPr>
    </w:p>
    <w:p w14:paraId="053A0DDD">
      <w:pPr>
        <w:snapToGrid w:val="0"/>
        <w:spacing w:line="400" w:lineRule="exact"/>
        <w:ind w:firstLine="420"/>
        <w:rPr>
          <w:rFonts w:ascii="Arial" w:hAnsi="Arial" w:eastAsia="宋体" w:cs="Arial"/>
          <w:color w:val="auto"/>
          <w:szCs w:val="21"/>
          <w:highlight w:val="none"/>
        </w:rPr>
      </w:pPr>
    </w:p>
    <w:p w14:paraId="1604B81A">
      <w:pPr>
        <w:snapToGrid w:val="0"/>
        <w:spacing w:line="400" w:lineRule="exact"/>
        <w:ind w:firstLine="420"/>
        <w:rPr>
          <w:rFonts w:ascii="Arial" w:hAnsi="Arial" w:eastAsia="宋体" w:cs="Arial"/>
          <w:color w:val="auto"/>
          <w:szCs w:val="21"/>
          <w:highlight w:val="none"/>
          <w:u w:val="single"/>
        </w:rPr>
      </w:pPr>
      <w:r>
        <w:rPr>
          <w:rFonts w:ascii="Arial" w:hAnsi="Arial" w:eastAsia="宋体" w:cs="Arial"/>
          <w:color w:val="auto"/>
          <w:szCs w:val="21"/>
          <w:highlight w:val="none"/>
        </w:rPr>
        <w:t>供应商（公章）：</w:t>
      </w:r>
      <w:r>
        <w:rPr>
          <w:rFonts w:ascii="Arial" w:hAnsi="Arial" w:eastAsia="宋体" w:cs="Arial"/>
          <w:b/>
          <w:color w:val="auto"/>
          <w:szCs w:val="21"/>
          <w:highlight w:val="none"/>
          <w:u w:val="single"/>
        </w:rPr>
        <w:t xml:space="preserve">                                      </w:t>
      </w:r>
    </w:p>
    <w:p w14:paraId="10713013">
      <w:pPr>
        <w:snapToGrid w:val="0"/>
        <w:spacing w:line="400" w:lineRule="exact"/>
        <w:ind w:firstLine="420"/>
        <w:rPr>
          <w:rFonts w:ascii="Arial" w:hAnsi="Arial" w:eastAsia="宋体" w:cs="Arial"/>
          <w:color w:val="auto"/>
          <w:szCs w:val="21"/>
          <w:highlight w:val="none"/>
        </w:rPr>
      </w:pPr>
    </w:p>
    <w:p w14:paraId="7D93A548">
      <w:pPr>
        <w:snapToGrid w:val="0"/>
        <w:spacing w:line="400" w:lineRule="exact"/>
        <w:ind w:firstLine="420"/>
        <w:rPr>
          <w:rFonts w:ascii="Arial" w:hAnsi="Arial" w:eastAsia="宋体" w:cs="Arial"/>
          <w:color w:val="auto"/>
          <w:szCs w:val="21"/>
          <w:highlight w:val="none"/>
        </w:rPr>
      </w:pPr>
      <w:r>
        <w:rPr>
          <w:rFonts w:ascii="Arial" w:hAnsi="Arial" w:eastAsia="宋体" w:cs="Arial"/>
          <w:color w:val="auto"/>
          <w:szCs w:val="21"/>
          <w:highlight w:val="none"/>
        </w:rPr>
        <w:t>法定代表人签字：</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 xml:space="preserve">        　　 </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年</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月</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日</w:t>
      </w:r>
    </w:p>
    <w:p w14:paraId="18799925">
      <w:pPr>
        <w:snapToGrid w:val="0"/>
        <w:spacing w:line="400" w:lineRule="exact"/>
        <w:ind w:firstLine="420"/>
        <w:rPr>
          <w:rFonts w:ascii="Arial" w:hAnsi="Arial" w:eastAsia="宋体" w:cs="Arial"/>
          <w:color w:val="auto"/>
          <w:szCs w:val="21"/>
          <w:highlight w:val="none"/>
        </w:rPr>
      </w:pPr>
    </w:p>
    <w:p w14:paraId="452AF867">
      <w:pPr>
        <w:snapToGrid w:val="0"/>
        <w:spacing w:line="400" w:lineRule="exact"/>
        <w:rPr>
          <w:rFonts w:ascii="Arial" w:hAnsi="Arial" w:eastAsia="宋体" w:cs="Arial"/>
          <w:b/>
          <w:color w:val="auto"/>
          <w:szCs w:val="21"/>
          <w:highlight w:val="none"/>
        </w:rPr>
      </w:pPr>
      <w:r>
        <w:rPr>
          <w:rFonts w:ascii="Arial" w:hAnsi="Arial" w:eastAsia="宋体" w:cs="Arial"/>
          <w:b/>
          <w:color w:val="auto"/>
          <w:szCs w:val="21"/>
          <w:highlight w:val="none"/>
        </w:rPr>
        <w:t>附：委托代理人有效的身份证正反两面复印件。</w:t>
      </w:r>
    </w:p>
    <w:p w14:paraId="0F69D027">
      <w:pPr>
        <w:snapToGrid w:val="0"/>
        <w:spacing w:line="400" w:lineRule="exact"/>
        <w:rPr>
          <w:rFonts w:ascii="Arial" w:hAnsi="Arial" w:eastAsia="宋体" w:cs="Arial"/>
          <w:color w:val="auto"/>
          <w:sz w:val="28"/>
          <w:szCs w:val="28"/>
          <w:highlight w:val="none"/>
        </w:rPr>
      </w:pPr>
    </w:p>
    <w:p w14:paraId="269446A0">
      <w:pPr>
        <w:pStyle w:val="14"/>
        <w:spacing w:line="400" w:lineRule="exact"/>
        <w:rPr>
          <w:rFonts w:ascii="Arial" w:hAnsi="Arial" w:eastAsia="宋体" w:cs="Arial"/>
          <w:b/>
          <w:color w:val="auto"/>
          <w:sz w:val="24"/>
          <w:szCs w:val="24"/>
          <w:highlight w:val="none"/>
        </w:rPr>
      </w:pPr>
    </w:p>
    <w:p w14:paraId="3258A3B7">
      <w:pPr>
        <w:pStyle w:val="14"/>
        <w:spacing w:line="400" w:lineRule="exact"/>
        <w:rPr>
          <w:rFonts w:ascii="Arial" w:hAnsi="Arial" w:eastAsia="宋体" w:cs="Arial"/>
          <w:b/>
          <w:color w:val="auto"/>
          <w:sz w:val="24"/>
          <w:szCs w:val="24"/>
          <w:highlight w:val="none"/>
        </w:rPr>
      </w:pPr>
    </w:p>
    <w:p w14:paraId="70EE57D6">
      <w:pPr>
        <w:pStyle w:val="14"/>
        <w:spacing w:line="400" w:lineRule="exact"/>
        <w:rPr>
          <w:rFonts w:ascii="Arial" w:hAnsi="Arial" w:eastAsia="宋体" w:cs="Arial"/>
          <w:b/>
          <w:color w:val="auto"/>
          <w:sz w:val="24"/>
          <w:szCs w:val="24"/>
          <w:highlight w:val="none"/>
        </w:rPr>
      </w:pPr>
    </w:p>
    <w:p w14:paraId="54071505">
      <w:pPr>
        <w:pStyle w:val="14"/>
        <w:spacing w:line="400" w:lineRule="exact"/>
        <w:rPr>
          <w:rFonts w:ascii="Arial" w:hAnsi="Arial" w:eastAsia="宋体" w:cs="Arial"/>
          <w:b/>
          <w:color w:val="auto"/>
          <w:sz w:val="24"/>
          <w:szCs w:val="24"/>
          <w:highlight w:val="none"/>
        </w:rPr>
      </w:pPr>
    </w:p>
    <w:p w14:paraId="32E6AD8A">
      <w:pPr>
        <w:pStyle w:val="14"/>
        <w:spacing w:line="400" w:lineRule="exact"/>
        <w:rPr>
          <w:rFonts w:ascii="Arial" w:hAnsi="Arial" w:eastAsia="宋体" w:cs="Arial"/>
          <w:b/>
          <w:color w:val="auto"/>
          <w:sz w:val="24"/>
          <w:szCs w:val="24"/>
          <w:highlight w:val="none"/>
        </w:rPr>
      </w:pPr>
    </w:p>
    <w:p w14:paraId="71D91894">
      <w:pPr>
        <w:pStyle w:val="14"/>
        <w:spacing w:line="400" w:lineRule="exact"/>
        <w:rPr>
          <w:rFonts w:ascii="Arial" w:hAnsi="Arial" w:eastAsia="宋体" w:cs="Arial"/>
          <w:b/>
          <w:color w:val="auto"/>
          <w:sz w:val="24"/>
          <w:szCs w:val="24"/>
          <w:highlight w:val="none"/>
        </w:rPr>
      </w:pPr>
    </w:p>
    <w:p w14:paraId="667FF6BF">
      <w:pPr>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p>
    <w:p w14:paraId="7532C37D">
      <w:pPr>
        <w:pStyle w:val="14"/>
        <w:spacing w:line="340" w:lineRule="exact"/>
        <w:rPr>
          <w:rFonts w:ascii="Arial" w:hAnsi="Arial" w:eastAsia="宋体" w:cs="Arial"/>
          <w:b/>
          <w:color w:val="auto"/>
          <w:szCs w:val="21"/>
          <w:highlight w:val="none"/>
        </w:rPr>
      </w:pPr>
      <w:r>
        <w:rPr>
          <w:rFonts w:ascii="Arial" w:hAnsi="Arial" w:eastAsia="宋体" w:cs="Arial"/>
          <w:b/>
          <w:color w:val="auto"/>
          <w:sz w:val="28"/>
          <w:szCs w:val="28"/>
          <w:highlight w:val="none"/>
        </w:rPr>
        <w:t>4. 供应商的法人或者其他组织营业执照等证明文件复印件（必须提供）</w:t>
      </w:r>
    </w:p>
    <w:p w14:paraId="572A144C">
      <w:pPr>
        <w:tabs>
          <w:tab w:val="left" w:pos="1305"/>
        </w:tabs>
        <w:spacing w:line="390" w:lineRule="exact"/>
        <w:ind w:firstLine="420" w:firstLineChars="200"/>
        <w:rPr>
          <w:rFonts w:ascii="Arial" w:hAnsi="Arial" w:eastAsia="宋体" w:cs="Arial"/>
          <w:b/>
          <w:color w:val="auto"/>
          <w:sz w:val="32"/>
          <w:highlight w:val="none"/>
        </w:rPr>
      </w:pPr>
      <w:r>
        <w:rPr>
          <w:rFonts w:ascii="Arial" w:hAnsi="Arial" w:eastAsia="宋体" w:cs="Arial"/>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844A02D">
      <w:pPr>
        <w:pStyle w:val="14"/>
        <w:rPr>
          <w:rFonts w:ascii="Arial" w:hAnsi="Arial" w:eastAsia="宋体" w:cs="Arial"/>
          <w:b/>
          <w:color w:val="auto"/>
          <w:sz w:val="32"/>
          <w:highlight w:val="none"/>
        </w:rPr>
      </w:pPr>
    </w:p>
    <w:p w14:paraId="60F84273">
      <w:pPr>
        <w:pStyle w:val="14"/>
        <w:rPr>
          <w:rFonts w:ascii="Arial" w:hAnsi="Arial" w:eastAsia="宋体" w:cs="Arial"/>
          <w:b/>
          <w:color w:val="auto"/>
          <w:sz w:val="32"/>
          <w:highlight w:val="none"/>
        </w:rPr>
      </w:pPr>
    </w:p>
    <w:p w14:paraId="15810533">
      <w:pPr>
        <w:pStyle w:val="14"/>
        <w:rPr>
          <w:rFonts w:ascii="Arial" w:hAnsi="Arial" w:eastAsia="宋体" w:cs="Arial"/>
          <w:b/>
          <w:color w:val="auto"/>
          <w:sz w:val="32"/>
          <w:highlight w:val="none"/>
        </w:rPr>
      </w:pPr>
    </w:p>
    <w:p w14:paraId="22F5B086">
      <w:pPr>
        <w:pStyle w:val="14"/>
        <w:rPr>
          <w:rFonts w:ascii="Arial" w:hAnsi="Arial" w:eastAsia="宋体" w:cs="Arial"/>
          <w:b/>
          <w:color w:val="auto"/>
          <w:sz w:val="32"/>
          <w:highlight w:val="none"/>
        </w:rPr>
      </w:pPr>
    </w:p>
    <w:p w14:paraId="4F33D3C9">
      <w:pPr>
        <w:pStyle w:val="14"/>
        <w:spacing w:line="34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5.供应商</w:t>
      </w:r>
      <w:r>
        <w:rPr>
          <w:rFonts w:hint="eastAsia" w:ascii="Arial" w:hAnsi="Arial" w:eastAsia="宋体" w:cs="Arial"/>
          <w:b/>
          <w:color w:val="auto"/>
          <w:sz w:val="28"/>
          <w:szCs w:val="28"/>
          <w:highlight w:val="none"/>
        </w:rPr>
        <w:t>2023年</w:t>
      </w:r>
      <w:r>
        <w:rPr>
          <w:rFonts w:ascii="Arial" w:hAnsi="Arial" w:eastAsia="宋体" w:cs="Arial"/>
          <w:b/>
          <w:color w:val="auto"/>
          <w:sz w:val="28"/>
          <w:szCs w:val="28"/>
          <w:highlight w:val="none"/>
        </w:rPr>
        <w:t xml:space="preserve">的审计报告或财务报表（至少包含资产负债表、利润表、现金流量表）（2024年新成立的公司提供公司成立日之后次月起到响应文件递交截止前一个月的财务报表）或供应商提交响应文件截止之日前三个月内其基本开户银行出具的银行资信证明（仅提供银行出具的存款证明不能作为其银行资信证明）（格式自拟，若为新成立的供应商单位请按实际月份提供）（必须提供） </w:t>
      </w:r>
    </w:p>
    <w:p w14:paraId="2C16C0CD">
      <w:pPr>
        <w:pStyle w:val="14"/>
        <w:spacing w:line="340" w:lineRule="exact"/>
        <w:rPr>
          <w:rFonts w:ascii="Arial" w:hAnsi="Arial" w:eastAsia="宋体" w:cs="Arial"/>
          <w:b/>
          <w:color w:val="auto"/>
          <w:sz w:val="28"/>
          <w:szCs w:val="28"/>
          <w:highlight w:val="none"/>
        </w:rPr>
      </w:pPr>
    </w:p>
    <w:p w14:paraId="5D73F37B">
      <w:pPr>
        <w:pStyle w:val="14"/>
        <w:spacing w:line="340" w:lineRule="exact"/>
        <w:rPr>
          <w:rFonts w:ascii="Arial" w:hAnsi="Arial" w:eastAsia="宋体" w:cs="Arial"/>
          <w:b/>
          <w:color w:val="auto"/>
          <w:sz w:val="28"/>
          <w:szCs w:val="28"/>
          <w:highlight w:val="none"/>
        </w:rPr>
      </w:pPr>
    </w:p>
    <w:p w14:paraId="54AABC8B">
      <w:pPr>
        <w:pStyle w:val="14"/>
        <w:spacing w:line="340" w:lineRule="exact"/>
        <w:rPr>
          <w:rFonts w:ascii="Arial" w:hAnsi="Arial" w:eastAsia="宋体" w:cs="Arial"/>
          <w:color w:val="auto"/>
          <w:szCs w:val="21"/>
          <w:highlight w:val="none"/>
        </w:rPr>
      </w:pPr>
    </w:p>
    <w:p w14:paraId="6B7C8D7E">
      <w:pPr>
        <w:pStyle w:val="14"/>
        <w:spacing w:line="340" w:lineRule="exact"/>
        <w:rPr>
          <w:rFonts w:ascii="Arial" w:hAnsi="Arial" w:eastAsia="宋体" w:cs="Arial"/>
          <w:color w:val="auto"/>
          <w:szCs w:val="21"/>
          <w:highlight w:val="none"/>
        </w:rPr>
      </w:pPr>
    </w:p>
    <w:p w14:paraId="2AC74FB7">
      <w:pPr>
        <w:pStyle w:val="14"/>
        <w:spacing w:line="34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6.供应商至响应文件递交截止时间前6个月内，任意1个月的依法缴纳税费或依法免缴税费（包括无纳税记录或零报税）的证明（新成立的企业按实际提供），证明材料可以是：银行已缴纳税费凭证复印件或第三方有效的相关业务托缴凭证或其他有效证明，或供应商所在地税务部门出具的有效证明（复印件）（格式自拟，若为新成立的企业，请根据实际情况提供）（必须提供）</w:t>
      </w:r>
    </w:p>
    <w:p w14:paraId="5453FD5B">
      <w:pPr>
        <w:pStyle w:val="14"/>
        <w:rPr>
          <w:rFonts w:ascii="Arial" w:hAnsi="Arial" w:eastAsia="宋体" w:cs="Arial"/>
          <w:b/>
          <w:color w:val="auto"/>
          <w:sz w:val="32"/>
          <w:highlight w:val="none"/>
        </w:rPr>
      </w:pPr>
    </w:p>
    <w:p w14:paraId="31FDB6C2">
      <w:pPr>
        <w:pStyle w:val="14"/>
        <w:rPr>
          <w:rFonts w:ascii="Arial" w:hAnsi="Arial" w:eastAsia="宋体" w:cs="Arial"/>
          <w:b/>
          <w:color w:val="auto"/>
          <w:sz w:val="32"/>
          <w:highlight w:val="none"/>
        </w:rPr>
      </w:pPr>
    </w:p>
    <w:p w14:paraId="2667E342">
      <w:pPr>
        <w:pStyle w:val="14"/>
        <w:spacing w:line="340" w:lineRule="exact"/>
        <w:rPr>
          <w:rFonts w:ascii="Arial" w:hAnsi="Arial" w:eastAsia="宋体" w:cs="Arial"/>
          <w:b/>
          <w:color w:val="auto"/>
          <w:sz w:val="28"/>
          <w:szCs w:val="28"/>
          <w:highlight w:val="none"/>
        </w:rPr>
      </w:pPr>
    </w:p>
    <w:p w14:paraId="63970E70">
      <w:pPr>
        <w:pStyle w:val="14"/>
        <w:spacing w:line="34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7.供应商至响应文件递交截止时间前6个月内，任意1个月依法缴纳社会保障资金的相关材料复印件（必须提供）</w:t>
      </w:r>
    </w:p>
    <w:p w14:paraId="2F11EE5F">
      <w:pPr>
        <w:pStyle w:val="14"/>
        <w:spacing w:line="340" w:lineRule="exact"/>
        <w:rPr>
          <w:rFonts w:ascii="Arial" w:hAnsi="Arial" w:eastAsia="宋体" w:cs="Arial"/>
          <w:b/>
          <w:color w:val="auto"/>
          <w:sz w:val="28"/>
          <w:szCs w:val="28"/>
          <w:highlight w:val="none"/>
        </w:rPr>
      </w:pPr>
    </w:p>
    <w:p w14:paraId="05F0DE68">
      <w:pPr>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p>
    <w:p w14:paraId="73D593D3">
      <w:pPr>
        <w:pStyle w:val="14"/>
        <w:spacing w:line="34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8.供应商参加采购活动前3年内在经营活动中没有重大违法记录</w:t>
      </w:r>
      <w:r>
        <w:rPr>
          <w:rFonts w:ascii="Arial" w:hAnsi="Arial" w:eastAsia="宋体" w:cs="Arial"/>
          <w:b/>
          <w:color w:val="auto"/>
          <w:sz w:val="32"/>
          <w:szCs w:val="32"/>
          <w:highlight w:val="none"/>
        </w:rPr>
        <w:t>及</w:t>
      </w:r>
      <w:r>
        <w:rPr>
          <w:rFonts w:ascii="Arial" w:hAnsi="Arial" w:eastAsia="宋体" w:cs="Arial"/>
          <w:b/>
          <w:color w:val="auto"/>
          <w:sz w:val="28"/>
          <w:szCs w:val="28"/>
          <w:highlight w:val="none"/>
        </w:rPr>
        <w:t>有关信用信息的书面声明（必须提供）</w:t>
      </w:r>
    </w:p>
    <w:p w14:paraId="422FEE9B">
      <w:pPr>
        <w:pStyle w:val="14"/>
        <w:spacing w:line="400" w:lineRule="exact"/>
        <w:ind w:left="420" w:leftChars="200" w:firstLine="156" w:firstLineChars="49"/>
        <w:rPr>
          <w:rFonts w:ascii="Arial" w:hAnsi="Arial" w:eastAsia="宋体" w:cs="Arial"/>
          <w:b/>
          <w:color w:val="auto"/>
          <w:sz w:val="32"/>
          <w:szCs w:val="32"/>
          <w:highlight w:val="none"/>
        </w:rPr>
      </w:pPr>
      <w:r>
        <w:rPr>
          <w:rFonts w:ascii="Arial" w:hAnsi="Arial" w:eastAsia="宋体" w:cs="Arial"/>
          <w:b/>
          <w:color w:val="auto"/>
          <w:sz w:val="32"/>
          <w:szCs w:val="32"/>
          <w:highlight w:val="none"/>
        </w:rPr>
        <w:t xml:space="preserve">                       </w:t>
      </w:r>
    </w:p>
    <w:p w14:paraId="786ABCB3">
      <w:pPr>
        <w:pStyle w:val="14"/>
        <w:spacing w:line="400" w:lineRule="exact"/>
        <w:rPr>
          <w:rFonts w:ascii="Arial" w:hAnsi="Arial" w:eastAsia="宋体" w:cs="Arial"/>
          <w:b/>
          <w:color w:val="auto"/>
          <w:sz w:val="32"/>
          <w:szCs w:val="32"/>
          <w:highlight w:val="none"/>
        </w:rPr>
      </w:pPr>
      <w:r>
        <w:rPr>
          <w:rFonts w:ascii="Arial" w:hAnsi="Arial" w:eastAsia="宋体" w:cs="Arial"/>
          <w:b/>
          <w:color w:val="auto"/>
          <w:sz w:val="32"/>
          <w:szCs w:val="32"/>
          <w:highlight w:val="none"/>
        </w:rPr>
        <w:t>附件：</w:t>
      </w:r>
    </w:p>
    <w:p w14:paraId="72370A03">
      <w:pPr>
        <w:pStyle w:val="14"/>
        <w:spacing w:line="400" w:lineRule="exact"/>
        <w:rPr>
          <w:rFonts w:ascii="Arial" w:hAnsi="Arial" w:eastAsia="宋体" w:cs="Arial"/>
          <w:b/>
          <w:color w:val="auto"/>
          <w:sz w:val="32"/>
          <w:szCs w:val="32"/>
          <w:highlight w:val="none"/>
        </w:rPr>
      </w:pPr>
    </w:p>
    <w:p w14:paraId="6DCD7094">
      <w:pPr>
        <w:pStyle w:val="14"/>
        <w:spacing w:line="400" w:lineRule="exact"/>
        <w:rPr>
          <w:rFonts w:ascii="Arial" w:hAnsi="Arial" w:eastAsia="宋体" w:cs="Arial"/>
          <w:b/>
          <w:color w:val="auto"/>
          <w:sz w:val="32"/>
          <w:szCs w:val="32"/>
          <w:highlight w:val="none"/>
        </w:rPr>
      </w:pPr>
    </w:p>
    <w:p w14:paraId="6E6A6946">
      <w:pPr>
        <w:pStyle w:val="14"/>
        <w:spacing w:line="400" w:lineRule="exact"/>
        <w:jc w:val="center"/>
        <w:rPr>
          <w:rFonts w:ascii="Arial" w:hAnsi="Arial" w:eastAsia="宋体" w:cs="Arial"/>
          <w:b/>
          <w:color w:val="auto"/>
          <w:sz w:val="32"/>
          <w:szCs w:val="32"/>
          <w:highlight w:val="none"/>
        </w:rPr>
      </w:pPr>
      <w:r>
        <w:rPr>
          <w:rFonts w:ascii="Arial" w:hAnsi="Arial" w:eastAsia="宋体" w:cs="Arial"/>
          <w:b/>
          <w:color w:val="auto"/>
          <w:sz w:val="32"/>
          <w:szCs w:val="32"/>
          <w:highlight w:val="none"/>
        </w:rPr>
        <w:t>声   明（格式）</w:t>
      </w:r>
    </w:p>
    <w:p w14:paraId="427A83BA">
      <w:pPr>
        <w:snapToGrid w:val="0"/>
        <w:spacing w:line="400" w:lineRule="exact"/>
        <w:rPr>
          <w:rFonts w:hint="eastAsia" w:ascii="Arial" w:hAnsi="Arial" w:eastAsia="宋体" w:cs="Arial"/>
          <w:color w:val="auto"/>
          <w:highlight w:val="none"/>
          <w:lang w:eastAsia="zh-CN"/>
        </w:rPr>
      </w:pPr>
      <w:r>
        <w:rPr>
          <w:rFonts w:ascii="Arial" w:hAnsi="Arial" w:eastAsia="宋体" w:cs="Arial"/>
          <w:b/>
          <w:color w:val="auto"/>
          <w:szCs w:val="21"/>
          <w:highlight w:val="none"/>
        </w:rPr>
        <w:t>致</w:t>
      </w:r>
      <w:r>
        <w:rPr>
          <w:rFonts w:ascii="Arial" w:hAnsi="Arial" w:eastAsia="宋体" w:cs="Arial"/>
          <w:color w:val="auto"/>
          <w:szCs w:val="21"/>
          <w:highlight w:val="none"/>
        </w:rPr>
        <w:t>：</w:t>
      </w:r>
      <w:r>
        <w:rPr>
          <w:rFonts w:hint="eastAsia" w:ascii="Arial" w:hAnsi="Arial" w:eastAsia="宋体" w:cs="Arial"/>
          <w:color w:val="auto"/>
          <w:highlight w:val="none"/>
          <w:u w:val="single"/>
          <w:lang w:eastAsia="zh-CN"/>
        </w:rPr>
        <w:t>广西机电设备招标有限公司</w:t>
      </w:r>
    </w:p>
    <w:p w14:paraId="5D682242">
      <w:pPr>
        <w:snapToGrid w:val="0"/>
        <w:spacing w:line="400" w:lineRule="exact"/>
        <w:rPr>
          <w:rFonts w:ascii="Arial" w:hAnsi="Arial" w:eastAsia="宋体" w:cs="Arial"/>
          <w:color w:val="auto"/>
          <w:szCs w:val="21"/>
          <w:highlight w:val="none"/>
          <w:u w:val="single"/>
        </w:rPr>
      </w:pPr>
    </w:p>
    <w:p w14:paraId="47B9168C">
      <w:pPr>
        <w:pStyle w:val="14"/>
        <w:spacing w:line="400" w:lineRule="exact"/>
        <w:ind w:firstLine="420" w:firstLineChars="200"/>
        <w:rPr>
          <w:rFonts w:ascii="Arial" w:hAnsi="Arial" w:eastAsia="宋体" w:cs="Arial"/>
          <w:color w:val="auto"/>
          <w:highlight w:val="none"/>
        </w:rPr>
      </w:pPr>
      <w:r>
        <w:rPr>
          <w:rFonts w:ascii="Arial" w:hAnsi="Arial" w:eastAsia="宋体" w:cs="Arial"/>
          <w:color w:val="auto"/>
          <w:highlight w:val="none"/>
        </w:rPr>
        <w:t>我（公司）郑重声明，在参加本项目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E519A2">
      <w:pPr>
        <w:snapToGrid w:val="0"/>
        <w:spacing w:line="400" w:lineRule="exact"/>
        <w:ind w:firstLine="420"/>
        <w:rPr>
          <w:rFonts w:ascii="Arial" w:hAnsi="Arial" w:eastAsia="宋体" w:cs="Arial"/>
          <w:color w:val="auto"/>
          <w:szCs w:val="21"/>
          <w:highlight w:val="none"/>
        </w:rPr>
      </w:pPr>
    </w:p>
    <w:p w14:paraId="634F3C5C">
      <w:pPr>
        <w:snapToGrid w:val="0"/>
        <w:spacing w:line="400" w:lineRule="exact"/>
        <w:ind w:firstLine="420"/>
        <w:rPr>
          <w:rFonts w:ascii="Arial" w:hAnsi="Arial" w:eastAsia="宋体" w:cs="Arial"/>
          <w:color w:val="auto"/>
          <w:szCs w:val="21"/>
          <w:highlight w:val="none"/>
        </w:rPr>
      </w:pPr>
    </w:p>
    <w:p w14:paraId="3C3A5C79">
      <w:pPr>
        <w:snapToGrid w:val="0"/>
        <w:spacing w:line="400" w:lineRule="exact"/>
        <w:ind w:firstLine="4935" w:firstLineChars="2350"/>
        <w:rPr>
          <w:rFonts w:ascii="Arial" w:hAnsi="Arial" w:eastAsia="宋体" w:cs="Arial"/>
          <w:color w:val="auto"/>
          <w:szCs w:val="21"/>
          <w:highlight w:val="none"/>
        </w:rPr>
      </w:pPr>
    </w:p>
    <w:p w14:paraId="6C65D0FE">
      <w:pPr>
        <w:snapToGrid w:val="0"/>
        <w:spacing w:line="400" w:lineRule="exact"/>
        <w:ind w:firstLine="4935" w:firstLineChars="2350"/>
        <w:rPr>
          <w:rFonts w:ascii="Arial" w:hAnsi="Arial" w:eastAsia="宋体" w:cs="Arial"/>
          <w:color w:val="auto"/>
          <w:szCs w:val="21"/>
          <w:highlight w:val="none"/>
        </w:rPr>
      </w:pPr>
    </w:p>
    <w:p w14:paraId="23590B62">
      <w:pPr>
        <w:snapToGrid w:val="0"/>
        <w:spacing w:line="400" w:lineRule="exact"/>
        <w:ind w:firstLine="3570" w:firstLineChars="1700"/>
        <w:rPr>
          <w:rFonts w:ascii="Arial" w:hAnsi="Arial" w:eastAsia="宋体" w:cs="Arial"/>
          <w:color w:val="auto"/>
          <w:highlight w:val="none"/>
          <w:u w:val="single"/>
        </w:rPr>
      </w:pPr>
      <w:r>
        <w:rPr>
          <w:rFonts w:ascii="Arial" w:hAnsi="Arial" w:eastAsia="宋体" w:cs="Arial"/>
          <w:color w:val="auto"/>
          <w:highlight w:val="none"/>
        </w:rPr>
        <w:t>供应商（公章）：</w:t>
      </w:r>
      <w:r>
        <w:rPr>
          <w:rFonts w:ascii="Arial" w:hAnsi="Arial" w:eastAsia="宋体" w:cs="Arial"/>
          <w:color w:val="auto"/>
          <w:highlight w:val="none"/>
          <w:u w:val="single"/>
        </w:rPr>
        <w:t xml:space="preserve">                                         </w:t>
      </w:r>
    </w:p>
    <w:p w14:paraId="0A549F95">
      <w:pPr>
        <w:pStyle w:val="14"/>
        <w:spacing w:line="400" w:lineRule="exact"/>
        <w:ind w:left="3570" w:leftChars="1700"/>
        <w:rPr>
          <w:rFonts w:ascii="Arial" w:hAnsi="Arial" w:eastAsia="宋体" w:cs="Arial"/>
          <w:color w:val="auto"/>
          <w:highlight w:val="none"/>
          <w:u w:val="single"/>
        </w:rPr>
      </w:pPr>
      <w:r>
        <w:rPr>
          <w:rFonts w:ascii="Arial" w:hAnsi="Arial" w:eastAsia="宋体" w:cs="Arial"/>
          <w:color w:val="auto"/>
          <w:highlight w:val="none"/>
        </w:rPr>
        <w:t>法定代表人、负责人或相应的委托代理人签字：</w:t>
      </w:r>
      <w:r>
        <w:rPr>
          <w:rFonts w:ascii="Arial" w:hAnsi="Arial" w:eastAsia="宋体" w:cs="Arial"/>
          <w:color w:val="auto"/>
          <w:highlight w:val="none"/>
          <w:u w:val="single"/>
        </w:rPr>
        <w:t xml:space="preserve">               </w:t>
      </w:r>
    </w:p>
    <w:p w14:paraId="19A57B2A">
      <w:pPr>
        <w:pStyle w:val="14"/>
        <w:spacing w:line="340" w:lineRule="exact"/>
        <w:ind w:firstLine="3570" w:firstLineChars="1700"/>
        <w:rPr>
          <w:rFonts w:ascii="Arial" w:hAnsi="Arial" w:eastAsia="宋体" w:cs="Arial"/>
          <w:color w:val="auto"/>
          <w:highlight w:val="none"/>
        </w:rPr>
      </w:pPr>
      <w:r>
        <w:rPr>
          <w:rFonts w:ascii="Arial" w:hAnsi="Arial" w:eastAsia="宋体" w:cs="Arial"/>
          <w:color w:val="auto"/>
          <w:highlight w:val="none"/>
        </w:rPr>
        <w:t>日          期：</w:t>
      </w:r>
      <w:r>
        <w:rPr>
          <w:rFonts w:ascii="Arial" w:hAnsi="Arial" w:eastAsia="宋体" w:cs="Arial"/>
          <w:color w:val="auto"/>
          <w:highlight w:val="none"/>
          <w:u w:val="single"/>
        </w:rPr>
        <w:t xml:space="preserve">                             </w:t>
      </w:r>
    </w:p>
    <w:p w14:paraId="4BCC5F18">
      <w:pPr>
        <w:rPr>
          <w:rFonts w:ascii="Arial" w:hAnsi="Arial" w:eastAsia="宋体" w:cs="Arial"/>
          <w:b/>
          <w:bCs/>
          <w:color w:val="auto"/>
          <w:highlight w:val="none"/>
        </w:rPr>
      </w:pPr>
      <w:r>
        <w:rPr>
          <w:rFonts w:ascii="Arial" w:hAnsi="Arial" w:eastAsia="宋体" w:cs="Arial"/>
          <w:b/>
          <w:bCs/>
          <w:color w:val="auto"/>
          <w:highlight w:val="none"/>
        </w:rPr>
        <w:br w:type="page"/>
      </w:r>
    </w:p>
    <w:p w14:paraId="7F82629B">
      <w:pPr>
        <w:pStyle w:val="14"/>
        <w:spacing w:line="400" w:lineRule="exact"/>
        <w:rPr>
          <w:rFonts w:ascii="Arial" w:hAnsi="Arial" w:eastAsia="宋体" w:cs="Arial"/>
          <w:b/>
          <w:color w:val="auto"/>
          <w:sz w:val="32"/>
          <w:szCs w:val="32"/>
          <w:highlight w:val="none"/>
        </w:rPr>
      </w:pPr>
      <w:r>
        <w:rPr>
          <w:rFonts w:ascii="Arial" w:hAnsi="Arial" w:eastAsia="宋体" w:cs="Arial"/>
          <w:b/>
          <w:color w:val="auto"/>
          <w:sz w:val="32"/>
          <w:szCs w:val="32"/>
          <w:highlight w:val="none"/>
        </w:rPr>
        <w:t>9.供应商股东及出资信息表（必须提供）</w:t>
      </w:r>
    </w:p>
    <w:p w14:paraId="44656175">
      <w:pPr>
        <w:snapToGrid w:val="0"/>
        <w:spacing w:before="165" w:beforeLines="50" w:after="50" w:line="440" w:lineRule="exact"/>
        <w:jc w:val="center"/>
        <w:rPr>
          <w:rFonts w:ascii="Arial" w:hAnsi="Arial" w:eastAsia="宋体" w:cs="Arial"/>
          <w:b/>
          <w:bCs/>
          <w:color w:val="auto"/>
          <w:sz w:val="22"/>
          <w:szCs w:val="28"/>
          <w:highlight w:val="none"/>
        </w:rPr>
      </w:pPr>
      <w:r>
        <w:rPr>
          <w:rFonts w:ascii="Arial" w:hAnsi="Arial" w:eastAsia="宋体" w:cs="Arial"/>
          <w:b/>
          <w:bCs/>
          <w:color w:val="auto"/>
          <w:sz w:val="22"/>
          <w:szCs w:val="28"/>
          <w:highlight w:val="none"/>
        </w:rPr>
        <w:t>供应商直接控股股东信息表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2076"/>
        <w:gridCol w:w="1199"/>
        <w:gridCol w:w="3271"/>
        <w:gridCol w:w="1884"/>
      </w:tblGrid>
      <w:tr w14:paraId="23B7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7" w:type="dxa"/>
          </w:tcPr>
          <w:p w14:paraId="2D817AE2">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序号</w:t>
            </w:r>
          </w:p>
        </w:tc>
        <w:tc>
          <w:tcPr>
            <w:tcW w:w="2076" w:type="dxa"/>
          </w:tcPr>
          <w:p w14:paraId="03588E89">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直接控股股东名称</w:t>
            </w:r>
          </w:p>
        </w:tc>
        <w:tc>
          <w:tcPr>
            <w:tcW w:w="1199" w:type="dxa"/>
          </w:tcPr>
          <w:p w14:paraId="1E734C4A">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出资比例</w:t>
            </w:r>
          </w:p>
        </w:tc>
        <w:tc>
          <w:tcPr>
            <w:tcW w:w="3271" w:type="dxa"/>
          </w:tcPr>
          <w:p w14:paraId="3B5090F1">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身份证号码或统一社会信用代码</w:t>
            </w:r>
          </w:p>
        </w:tc>
        <w:tc>
          <w:tcPr>
            <w:tcW w:w="1884" w:type="dxa"/>
          </w:tcPr>
          <w:p w14:paraId="57191C2D">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备注</w:t>
            </w:r>
          </w:p>
        </w:tc>
      </w:tr>
      <w:tr w14:paraId="4381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7" w:type="dxa"/>
          </w:tcPr>
          <w:p w14:paraId="25E395A3">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1</w:t>
            </w:r>
          </w:p>
        </w:tc>
        <w:tc>
          <w:tcPr>
            <w:tcW w:w="2076" w:type="dxa"/>
          </w:tcPr>
          <w:p w14:paraId="4EF7DF06">
            <w:pPr>
              <w:snapToGrid w:val="0"/>
              <w:spacing w:before="165" w:beforeLines="50" w:after="50" w:line="440" w:lineRule="exact"/>
              <w:rPr>
                <w:rFonts w:ascii="Arial" w:hAnsi="Arial" w:eastAsia="宋体" w:cs="Arial"/>
                <w:color w:val="auto"/>
                <w:highlight w:val="none"/>
              </w:rPr>
            </w:pPr>
          </w:p>
        </w:tc>
        <w:tc>
          <w:tcPr>
            <w:tcW w:w="1199" w:type="dxa"/>
          </w:tcPr>
          <w:p w14:paraId="7BDD4702">
            <w:pPr>
              <w:snapToGrid w:val="0"/>
              <w:spacing w:before="165" w:beforeLines="50" w:after="50" w:line="440" w:lineRule="exact"/>
              <w:rPr>
                <w:rFonts w:ascii="Arial" w:hAnsi="Arial" w:eastAsia="宋体" w:cs="Arial"/>
                <w:color w:val="auto"/>
                <w:highlight w:val="none"/>
              </w:rPr>
            </w:pPr>
          </w:p>
        </w:tc>
        <w:tc>
          <w:tcPr>
            <w:tcW w:w="3271" w:type="dxa"/>
          </w:tcPr>
          <w:p w14:paraId="37AFC28B">
            <w:pPr>
              <w:snapToGrid w:val="0"/>
              <w:spacing w:before="165" w:beforeLines="50" w:after="50" w:line="440" w:lineRule="exact"/>
              <w:rPr>
                <w:rFonts w:ascii="Arial" w:hAnsi="Arial" w:eastAsia="宋体" w:cs="Arial"/>
                <w:color w:val="auto"/>
                <w:highlight w:val="none"/>
              </w:rPr>
            </w:pPr>
          </w:p>
        </w:tc>
        <w:tc>
          <w:tcPr>
            <w:tcW w:w="1884" w:type="dxa"/>
          </w:tcPr>
          <w:p w14:paraId="76669188">
            <w:pPr>
              <w:snapToGrid w:val="0"/>
              <w:spacing w:before="165" w:beforeLines="50" w:after="50" w:line="440" w:lineRule="exact"/>
              <w:rPr>
                <w:rFonts w:ascii="Arial" w:hAnsi="Arial" w:eastAsia="宋体" w:cs="Arial"/>
                <w:color w:val="auto"/>
                <w:highlight w:val="none"/>
              </w:rPr>
            </w:pPr>
          </w:p>
        </w:tc>
      </w:tr>
      <w:tr w14:paraId="4BB9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7" w:type="dxa"/>
          </w:tcPr>
          <w:p w14:paraId="2843ABB4">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2</w:t>
            </w:r>
          </w:p>
        </w:tc>
        <w:tc>
          <w:tcPr>
            <w:tcW w:w="2076" w:type="dxa"/>
          </w:tcPr>
          <w:p w14:paraId="1A080B51">
            <w:pPr>
              <w:snapToGrid w:val="0"/>
              <w:spacing w:before="165" w:beforeLines="50" w:after="50" w:line="440" w:lineRule="exact"/>
              <w:rPr>
                <w:rFonts w:ascii="Arial" w:hAnsi="Arial" w:eastAsia="宋体" w:cs="Arial"/>
                <w:color w:val="auto"/>
                <w:highlight w:val="none"/>
              </w:rPr>
            </w:pPr>
          </w:p>
        </w:tc>
        <w:tc>
          <w:tcPr>
            <w:tcW w:w="1199" w:type="dxa"/>
          </w:tcPr>
          <w:p w14:paraId="2F2BA927">
            <w:pPr>
              <w:snapToGrid w:val="0"/>
              <w:spacing w:before="165" w:beforeLines="50" w:after="50" w:line="440" w:lineRule="exact"/>
              <w:rPr>
                <w:rFonts w:ascii="Arial" w:hAnsi="Arial" w:eastAsia="宋体" w:cs="Arial"/>
                <w:color w:val="auto"/>
                <w:highlight w:val="none"/>
              </w:rPr>
            </w:pPr>
          </w:p>
        </w:tc>
        <w:tc>
          <w:tcPr>
            <w:tcW w:w="3271" w:type="dxa"/>
          </w:tcPr>
          <w:p w14:paraId="504DA510">
            <w:pPr>
              <w:snapToGrid w:val="0"/>
              <w:spacing w:before="165" w:beforeLines="50" w:after="50" w:line="440" w:lineRule="exact"/>
              <w:rPr>
                <w:rFonts w:ascii="Arial" w:hAnsi="Arial" w:eastAsia="宋体" w:cs="Arial"/>
                <w:color w:val="auto"/>
                <w:highlight w:val="none"/>
              </w:rPr>
            </w:pPr>
          </w:p>
        </w:tc>
        <w:tc>
          <w:tcPr>
            <w:tcW w:w="1884" w:type="dxa"/>
          </w:tcPr>
          <w:p w14:paraId="4E9653CF">
            <w:pPr>
              <w:snapToGrid w:val="0"/>
              <w:spacing w:before="165" w:beforeLines="50" w:after="50" w:line="440" w:lineRule="exact"/>
              <w:rPr>
                <w:rFonts w:ascii="Arial" w:hAnsi="Arial" w:eastAsia="宋体" w:cs="Arial"/>
                <w:color w:val="auto"/>
                <w:highlight w:val="none"/>
              </w:rPr>
            </w:pPr>
          </w:p>
        </w:tc>
      </w:tr>
      <w:tr w14:paraId="5D9E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7" w:type="dxa"/>
          </w:tcPr>
          <w:p w14:paraId="1A572A73">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3</w:t>
            </w:r>
          </w:p>
        </w:tc>
        <w:tc>
          <w:tcPr>
            <w:tcW w:w="2076" w:type="dxa"/>
          </w:tcPr>
          <w:p w14:paraId="108C743A">
            <w:pPr>
              <w:snapToGrid w:val="0"/>
              <w:spacing w:before="165" w:beforeLines="50" w:after="50" w:line="440" w:lineRule="exact"/>
              <w:rPr>
                <w:rFonts w:ascii="Arial" w:hAnsi="Arial" w:eastAsia="宋体" w:cs="Arial"/>
                <w:color w:val="auto"/>
                <w:highlight w:val="none"/>
              </w:rPr>
            </w:pPr>
          </w:p>
        </w:tc>
        <w:tc>
          <w:tcPr>
            <w:tcW w:w="1199" w:type="dxa"/>
          </w:tcPr>
          <w:p w14:paraId="5460B35F">
            <w:pPr>
              <w:snapToGrid w:val="0"/>
              <w:spacing w:before="165" w:beforeLines="50" w:after="50" w:line="440" w:lineRule="exact"/>
              <w:rPr>
                <w:rFonts w:ascii="Arial" w:hAnsi="Arial" w:eastAsia="宋体" w:cs="Arial"/>
                <w:color w:val="auto"/>
                <w:highlight w:val="none"/>
              </w:rPr>
            </w:pPr>
          </w:p>
        </w:tc>
        <w:tc>
          <w:tcPr>
            <w:tcW w:w="3271" w:type="dxa"/>
          </w:tcPr>
          <w:p w14:paraId="575A00B2">
            <w:pPr>
              <w:snapToGrid w:val="0"/>
              <w:spacing w:before="165" w:beforeLines="50" w:after="50" w:line="440" w:lineRule="exact"/>
              <w:rPr>
                <w:rFonts w:ascii="Arial" w:hAnsi="Arial" w:eastAsia="宋体" w:cs="Arial"/>
                <w:color w:val="auto"/>
                <w:highlight w:val="none"/>
              </w:rPr>
            </w:pPr>
          </w:p>
        </w:tc>
        <w:tc>
          <w:tcPr>
            <w:tcW w:w="1884" w:type="dxa"/>
          </w:tcPr>
          <w:p w14:paraId="7DA6F371">
            <w:pPr>
              <w:snapToGrid w:val="0"/>
              <w:spacing w:before="165" w:beforeLines="50" w:after="50" w:line="440" w:lineRule="exact"/>
              <w:rPr>
                <w:rFonts w:ascii="Arial" w:hAnsi="Arial" w:eastAsia="宋体" w:cs="Arial"/>
                <w:color w:val="auto"/>
                <w:highlight w:val="none"/>
              </w:rPr>
            </w:pPr>
          </w:p>
        </w:tc>
      </w:tr>
      <w:tr w14:paraId="2D9B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7" w:type="dxa"/>
          </w:tcPr>
          <w:p w14:paraId="3BA6027B">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w:t>
            </w:r>
          </w:p>
        </w:tc>
        <w:tc>
          <w:tcPr>
            <w:tcW w:w="2076" w:type="dxa"/>
          </w:tcPr>
          <w:p w14:paraId="52FEA25F">
            <w:pPr>
              <w:snapToGrid w:val="0"/>
              <w:spacing w:before="165" w:beforeLines="50" w:after="50" w:line="440" w:lineRule="exact"/>
              <w:rPr>
                <w:rFonts w:ascii="Arial" w:hAnsi="Arial" w:eastAsia="宋体" w:cs="Arial"/>
                <w:color w:val="auto"/>
                <w:highlight w:val="none"/>
              </w:rPr>
            </w:pPr>
          </w:p>
        </w:tc>
        <w:tc>
          <w:tcPr>
            <w:tcW w:w="1199" w:type="dxa"/>
          </w:tcPr>
          <w:p w14:paraId="50CBF134">
            <w:pPr>
              <w:snapToGrid w:val="0"/>
              <w:spacing w:before="165" w:beforeLines="50" w:after="50" w:line="440" w:lineRule="exact"/>
              <w:rPr>
                <w:rFonts w:ascii="Arial" w:hAnsi="Arial" w:eastAsia="宋体" w:cs="Arial"/>
                <w:color w:val="auto"/>
                <w:highlight w:val="none"/>
              </w:rPr>
            </w:pPr>
          </w:p>
        </w:tc>
        <w:tc>
          <w:tcPr>
            <w:tcW w:w="3271" w:type="dxa"/>
          </w:tcPr>
          <w:p w14:paraId="663FC966">
            <w:pPr>
              <w:snapToGrid w:val="0"/>
              <w:spacing w:before="165" w:beforeLines="50" w:after="50" w:line="440" w:lineRule="exact"/>
              <w:rPr>
                <w:rFonts w:ascii="Arial" w:hAnsi="Arial" w:eastAsia="宋体" w:cs="Arial"/>
                <w:color w:val="auto"/>
                <w:highlight w:val="none"/>
              </w:rPr>
            </w:pPr>
          </w:p>
        </w:tc>
        <w:tc>
          <w:tcPr>
            <w:tcW w:w="1884" w:type="dxa"/>
          </w:tcPr>
          <w:p w14:paraId="1C6B6D10">
            <w:pPr>
              <w:snapToGrid w:val="0"/>
              <w:spacing w:before="165" w:beforeLines="50" w:after="50" w:line="440" w:lineRule="exact"/>
              <w:rPr>
                <w:rFonts w:ascii="Arial" w:hAnsi="Arial" w:eastAsia="宋体" w:cs="Arial"/>
                <w:color w:val="auto"/>
                <w:highlight w:val="none"/>
              </w:rPr>
            </w:pPr>
          </w:p>
        </w:tc>
      </w:tr>
    </w:tbl>
    <w:p w14:paraId="6D2355AA">
      <w:pPr>
        <w:widowControl/>
        <w:jc w:val="left"/>
        <w:rPr>
          <w:rFonts w:ascii="Arial" w:hAnsi="Arial" w:eastAsia="宋体" w:cs="Arial"/>
          <w:color w:val="auto"/>
          <w:highlight w:val="none"/>
        </w:rPr>
      </w:pPr>
      <w:r>
        <w:rPr>
          <w:rFonts w:ascii="Arial" w:hAnsi="Arial" w:eastAsia="宋体" w:cs="Arial"/>
          <w:color w:val="auto"/>
          <w:kern w:val="0"/>
          <w:szCs w:val="21"/>
          <w:highlight w:val="none"/>
        </w:rPr>
        <w:t>注：</w:t>
      </w:r>
    </w:p>
    <w:p w14:paraId="3403625C">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 xml:space="preserve">1.直接控股股东：是指其出资额占有限责任公司资本总额百分之五十以上或者其持有的股份占股份有限 </w:t>
      </w:r>
    </w:p>
    <w:p w14:paraId="211D6C57">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 xml:space="preserve">公司股份总额百分之五十以上的股东；出资额或者持有股份的比例虽然不足百分之五十，但依其出资额 </w:t>
      </w:r>
    </w:p>
    <w:p w14:paraId="21E15025">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 xml:space="preserve">或者持有的股份所享有的表决权已足以对股东会、股东大会的决议产生重大影响的股东。 </w:t>
      </w:r>
    </w:p>
    <w:p w14:paraId="24C9C9A0">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 xml:space="preserve">2.本表所指的控股关系仅限于直接控股关系，不包括间接的控股关系。公司实际控制人与公司之间的关 </w:t>
      </w:r>
    </w:p>
    <w:p w14:paraId="2A32AAB0">
      <w:pPr>
        <w:widowControl/>
        <w:jc w:val="left"/>
        <w:rPr>
          <w:rFonts w:ascii="Arial" w:hAnsi="Arial" w:eastAsia="宋体" w:cs="Arial"/>
          <w:color w:val="auto"/>
          <w:highlight w:val="none"/>
        </w:rPr>
      </w:pPr>
      <w:r>
        <w:rPr>
          <w:rFonts w:ascii="Arial" w:hAnsi="Arial" w:eastAsia="宋体" w:cs="Arial"/>
          <w:color w:val="auto"/>
          <w:kern w:val="0"/>
          <w:szCs w:val="21"/>
          <w:highlight w:val="none"/>
        </w:rPr>
        <w:t xml:space="preserve">系不属于本表所指的直接控股关系。 </w:t>
      </w:r>
    </w:p>
    <w:p w14:paraId="3B6FB77B">
      <w:pPr>
        <w:snapToGrid w:val="0"/>
        <w:spacing w:line="400" w:lineRule="exact"/>
        <w:ind w:firstLine="1890" w:firstLineChars="900"/>
        <w:rPr>
          <w:rFonts w:ascii="Arial" w:hAnsi="Arial" w:eastAsia="宋体" w:cs="Arial"/>
          <w:color w:val="auto"/>
          <w:highlight w:val="none"/>
        </w:rPr>
      </w:pPr>
      <w:r>
        <w:rPr>
          <w:rFonts w:ascii="Arial" w:hAnsi="Arial" w:eastAsia="宋体" w:cs="Arial"/>
          <w:color w:val="auto"/>
          <w:szCs w:val="21"/>
          <w:highlight w:val="none"/>
        </w:rPr>
        <w:t>供应商（公章）：</w:t>
      </w:r>
      <w:r>
        <w:rPr>
          <w:rFonts w:ascii="Arial" w:hAnsi="Arial" w:eastAsia="宋体" w:cs="Arial"/>
          <w:color w:val="auto"/>
          <w:szCs w:val="21"/>
          <w:highlight w:val="none"/>
          <w:u w:val="single"/>
        </w:rPr>
        <w:t xml:space="preserve">                                         </w:t>
      </w:r>
    </w:p>
    <w:p w14:paraId="25940DA0">
      <w:pPr>
        <w:pStyle w:val="14"/>
        <w:ind w:firstLine="1890" w:firstLineChars="900"/>
        <w:rPr>
          <w:rFonts w:ascii="Arial" w:hAnsi="Arial" w:eastAsia="宋体" w:cs="Arial"/>
          <w:color w:val="auto"/>
          <w:highlight w:val="none"/>
        </w:rPr>
      </w:pPr>
      <w:r>
        <w:rPr>
          <w:rFonts w:ascii="Arial" w:hAnsi="Arial" w:eastAsia="宋体" w:cs="Arial"/>
          <w:color w:val="auto"/>
          <w:highlight w:val="none"/>
        </w:rPr>
        <w:t>法定代表人、负责人或相应的委托代理人签字（或盖章）：</w:t>
      </w:r>
      <w:r>
        <w:rPr>
          <w:rFonts w:ascii="Arial" w:hAnsi="Arial" w:eastAsia="宋体" w:cs="Arial"/>
          <w:color w:val="auto"/>
          <w:szCs w:val="21"/>
          <w:highlight w:val="none"/>
          <w:u w:val="single"/>
        </w:rPr>
        <w:t xml:space="preserve">                    </w:t>
      </w:r>
    </w:p>
    <w:p w14:paraId="50045041">
      <w:pPr>
        <w:pStyle w:val="14"/>
        <w:ind w:firstLine="1890" w:firstLineChars="900"/>
        <w:rPr>
          <w:rFonts w:ascii="Arial" w:hAnsi="Arial" w:eastAsia="宋体" w:cs="Arial"/>
          <w:color w:val="auto"/>
          <w:highlight w:val="none"/>
        </w:rPr>
      </w:pPr>
      <w:r>
        <w:rPr>
          <w:rFonts w:ascii="Arial" w:hAnsi="Arial" w:eastAsia="宋体" w:cs="Arial"/>
          <w:color w:val="auto"/>
          <w:highlight w:val="none"/>
        </w:rPr>
        <w:t>日          期：</w:t>
      </w:r>
      <w:r>
        <w:rPr>
          <w:rFonts w:ascii="Arial" w:hAnsi="Arial" w:eastAsia="宋体" w:cs="Arial"/>
          <w:color w:val="auto"/>
          <w:highlight w:val="none"/>
          <w:u w:val="single"/>
        </w:rPr>
        <w:t xml:space="preserve">                                                  </w:t>
      </w:r>
      <w:r>
        <w:rPr>
          <w:rFonts w:ascii="Arial" w:hAnsi="Arial" w:eastAsia="宋体" w:cs="Arial"/>
          <w:color w:val="auto"/>
          <w:kern w:val="0"/>
          <w:szCs w:val="21"/>
          <w:highlight w:val="none"/>
        </w:rPr>
        <w:t xml:space="preserve"> </w:t>
      </w:r>
    </w:p>
    <w:p w14:paraId="0B6008EC">
      <w:pPr>
        <w:snapToGrid w:val="0"/>
        <w:spacing w:before="165" w:beforeLines="50" w:after="50" w:line="440" w:lineRule="exact"/>
        <w:jc w:val="center"/>
        <w:rPr>
          <w:rFonts w:ascii="Arial" w:hAnsi="Arial" w:eastAsia="宋体" w:cs="Arial"/>
          <w:b/>
          <w:bCs/>
          <w:color w:val="auto"/>
          <w:sz w:val="22"/>
          <w:szCs w:val="28"/>
          <w:highlight w:val="none"/>
        </w:rPr>
      </w:pPr>
      <w:r>
        <w:rPr>
          <w:rFonts w:ascii="Arial" w:hAnsi="Arial" w:eastAsia="宋体" w:cs="Arial"/>
          <w:b/>
          <w:bCs/>
          <w:color w:val="auto"/>
          <w:sz w:val="22"/>
          <w:szCs w:val="28"/>
          <w:highlight w:val="none"/>
        </w:rPr>
        <w:t>供应商直接管理关系信息表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324"/>
        <w:gridCol w:w="3661"/>
        <w:gridCol w:w="2109"/>
      </w:tblGrid>
      <w:tr w14:paraId="3663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tcPr>
          <w:p w14:paraId="5077865F">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序号</w:t>
            </w:r>
          </w:p>
        </w:tc>
        <w:tc>
          <w:tcPr>
            <w:tcW w:w="2324" w:type="dxa"/>
          </w:tcPr>
          <w:p w14:paraId="47C36EC6">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直接管理关系单位名称</w:t>
            </w:r>
          </w:p>
        </w:tc>
        <w:tc>
          <w:tcPr>
            <w:tcW w:w="3661" w:type="dxa"/>
          </w:tcPr>
          <w:p w14:paraId="7C62A928">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统一社会信用代码</w:t>
            </w:r>
          </w:p>
        </w:tc>
        <w:tc>
          <w:tcPr>
            <w:tcW w:w="2109" w:type="dxa"/>
          </w:tcPr>
          <w:p w14:paraId="6FC76BD2">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备注</w:t>
            </w:r>
          </w:p>
        </w:tc>
      </w:tr>
      <w:tr w14:paraId="6E03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tcPr>
          <w:p w14:paraId="354EE67A">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1</w:t>
            </w:r>
          </w:p>
        </w:tc>
        <w:tc>
          <w:tcPr>
            <w:tcW w:w="2324" w:type="dxa"/>
          </w:tcPr>
          <w:p w14:paraId="133668F6">
            <w:pPr>
              <w:snapToGrid w:val="0"/>
              <w:spacing w:before="165" w:beforeLines="50" w:after="50" w:line="440" w:lineRule="exact"/>
              <w:rPr>
                <w:rFonts w:ascii="Arial" w:hAnsi="Arial" w:eastAsia="宋体" w:cs="Arial"/>
                <w:color w:val="auto"/>
                <w:highlight w:val="none"/>
              </w:rPr>
            </w:pPr>
          </w:p>
        </w:tc>
        <w:tc>
          <w:tcPr>
            <w:tcW w:w="3661" w:type="dxa"/>
          </w:tcPr>
          <w:p w14:paraId="3D290758">
            <w:pPr>
              <w:snapToGrid w:val="0"/>
              <w:spacing w:before="165" w:beforeLines="50" w:after="50" w:line="440" w:lineRule="exact"/>
              <w:rPr>
                <w:rFonts w:ascii="Arial" w:hAnsi="Arial" w:eastAsia="宋体" w:cs="Arial"/>
                <w:color w:val="auto"/>
                <w:highlight w:val="none"/>
              </w:rPr>
            </w:pPr>
          </w:p>
        </w:tc>
        <w:tc>
          <w:tcPr>
            <w:tcW w:w="2109" w:type="dxa"/>
          </w:tcPr>
          <w:p w14:paraId="1DF6F600">
            <w:pPr>
              <w:snapToGrid w:val="0"/>
              <w:spacing w:before="165" w:beforeLines="50" w:after="50" w:line="440" w:lineRule="exact"/>
              <w:rPr>
                <w:rFonts w:ascii="Arial" w:hAnsi="Arial" w:eastAsia="宋体" w:cs="Arial"/>
                <w:color w:val="auto"/>
                <w:highlight w:val="none"/>
              </w:rPr>
            </w:pPr>
          </w:p>
        </w:tc>
      </w:tr>
      <w:tr w14:paraId="172E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tcPr>
          <w:p w14:paraId="287C13F9">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2</w:t>
            </w:r>
          </w:p>
        </w:tc>
        <w:tc>
          <w:tcPr>
            <w:tcW w:w="2324" w:type="dxa"/>
          </w:tcPr>
          <w:p w14:paraId="45387BB0">
            <w:pPr>
              <w:snapToGrid w:val="0"/>
              <w:spacing w:before="165" w:beforeLines="50" w:after="50" w:line="440" w:lineRule="exact"/>
              <w:rPr>
                <w:rFonts w:ascii="Arial" w:hAnsi="Arial" w:eastAsia="宋体" w:cs="Arial"/>
                <w:color w:val="auto"/>
                <w:highlight w:val="none"/>
              </w:rPr>
            </w:pPr>
          </w:p>
        </w:tc>
        <w:tc>
          <w:tcPr>
            <w:tcW w:w="3661" w:type="dxa"/>
          </w:tcPr>
          <w:p w14:paraId="54ADED6E">
            <w:pPr>
              <w:snapToGrid w:val="0"/>
              <w:spacing w:before="165" w:beforeLines="50" w:after="50" w:line="440" w:lineRule="exact"/>
              <w:rPr>
                <w:rFonts w:ascii="Arial" w:hAnsi="Arial" w:eastAsia="宋体" w:cs="Arial"/>
                <w:color w:val="auto"/>
                <w:highlight w:val="none"/>
              </w:rPr>
            </w:pPr>
          </w:p>
        </w:tc>
        <w:tc>
          <w:tcPr>
            <w:tcW w:w="2109" w:type="dxa"/>
          </w:tcPr>
          <w:p w14:paraId="59646864">
            <w:pPr>
              <w:snapToGrid w:val="0"/>
              <w:spacing w:before="165" w:beforeLines="50" w:after="50" w:line="440" w:lineRule="exact"/>
              <w:rPr>
                <w:rFonts w:ascii="Arial" w:hAnsi="Arial" w:eastAsia="宋体" w:cs="Arial"/>
                <w:color w:val="auto"/>
                <w:highlight w:val="none"/>
              </w:rPr>
            </w:pPr>
          </w:p>
        </w:tc>
      </w:tr>
      <w:tr w14:paraId="5431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tcPr>
          <w:p w14:paraId="21FDEC33">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3</w:t>
            </w:r>
          </w:p>
        </w:tc>
        <w:tc>
          <w:tcPr>
            <w:tcW w:w="2324" w:type="dxa"/>
          </w:tcPr>
          <w:p w14:paraId="0DD991B4">
            <w:pPr>
              <w:snapToGrid w:val="0"/>
              <w:spacing w:before="165" w:beforeLines="50" w:after="50" w:line="440" w:lineRule="exact"/>
              <w:rPr>
                <w:rFonts w:ascii="Arial" w:hAnsi="Arial" w:eastAsia="宋体" w:cs="Arial"/>
                <w:color w:val="auto"/>
                <w:highlight w:val="none"/>
              </w:rPr>
            </w:pPr>
          </w:p>
        </w:tc>
        <w:tc>
          <w:tcPr>
            <w:tcW w:w="3661" w:type="dxa"/>
          </w:tcPr>
          <w:p w14:paraId="37242E82">
            <w:pPr>
              <w:snapToGrid w:val="0"/>
              <w:spacing w:before="165" w:beforeLines="50" w:after="50" w:line="440" w:lineRule="exact"/>
              <w:rPr>
                <w:rFonts w:ascii="Arial" w:hAnsi="Arial" w:eastAsia="宋体" w:cs="Arial"/>
                <w:color w:val="auto"/>
                <w:highlight w:val="none"/>
              </w:rPr>
            </w:pPr>
          </w:p>
        </w:tc>
        <w:tc>
          <w:tcPr>
            <w:tcW w:w="2109" w:type="dxa"/>
          </w:tcPr>
          <w:p w14:paraId="2B3190EE">
            <w:pPr>
              <w:snapToGrid w:val="0"/>
              <w:spacing w:before="165" w:beforeLines="50" w:after="50" w:line="440" w:lineRule="exact"/>
              <w:rPr>
                <w:rFonts w:ascii="Arial" w:hAnsi="Arial" w:eastAsia="宋体" w:cs="Arial"/>
                <w:color w:val="auto"/>
                <w:highlight w:val="none"/>
              </w:rPr>
            </w:pPr>
          </w:p>
        </w:tc>
      </w:tr>
      <w:tr w14:paraId="4277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4" w:type="dxa"/>
          </w:tcPr>
          <w:p w14:paraId="1E9C00D2">
            <w:pPr>
              <w:snapToGrid w:val="0"/>
              <w:spacing w:before="165" w:beforeLines="50" w:after="50" w:line="440" w:lineRule="exact"/>
              <w:jc w:val="center"/>
              <w:rPr>
                <w:rFonts w:ascii="Arial" w:hAnsi="Arial" w:eastAsia="宋体" w:cs="Arial"/>
                <w:color w:val="auto"/>
                <w:highlight w:val="none"/>
              </w:rPr>
            </w:pPr>
            <w:r>
              <w:rPr>
                <w:rFonts w:ascii="Arial" w:hAnsi="Arial" w:eastAsia="宋体" w:cs="Arial"/>
                <w:color w:val="auto"/>
                <w:highlight w:val="none"/>
              </w:rPr>
              <w:t>......</w:t>
            </w:r>
          </w:p>
        </w:tc>
        <w:tc>
          <w:tcPr>
            <w:tcW w:w="2324" w:type="dxa"/>
          </w:tcPr>
          <w:p w14:paraId="3BFED795">
            <w:pPr>
              <w:snapToGrid w:val="0"/>
              <w:spacing w:before="165" w:beforeLines="50" w:after="50" w:line="440" w:lineRule="exact"/>
              <w:rPr>
                <w:rFonts w:ascii="Arial" w:hAnsi="Arial" w:eastAsia="宋体" w:cs="Arial"/>
                <w:color w:val="auto"/>
                <w:highlight w:val="none"/>
              </w:rPr>
            </w:pPr>
          </w:p>
        </w:tc>
        <w:tc>
          <w:tcPr>
            <w:tcW w:w="3661" w:type="dxa"/>
          </w:tcPr>
          <w:p w14:paraId="221338AE">
            <w:pPr>
              <w:snapToGrid w:val="0"/>
              <w:spacing w:before="165" w:beforeLines="50" w:after="50" w:line="440" w:lineRule="exact"/>
              <w:rPr>
                <w:rFonts w:ascii="Arial" w:hAnsi="Arial" w:eastAsia="宋体" w:cs="Arial"/>
                <w:color w:val="auto"/>
                <w:highlight w:val="none"/>
              </w:rPr>
            </w:pPr>
          </w:p>
        </w:tc>
        <w:tc>
          <w:tcPr>
            <w:tcW w:w="2109" w:type="dxa"/>
          </w:tcPr>
          <w:p w14:paraId="5CCCE15C">
            <w:pPr>
              <w:snapToGrid w:val="0"/>
              <w:spacing w:before="165" w:beforeLines="50" w:after="50" w:line="440" w:lineRule="exact"/>
              <w:rPr>
                <w:rFonts w:ascii="Arial" w:hAnsi="Arial" w:eastAsia="宋体" w:cs="Arial"/>
                <w:color w:val="auto"/>
                <w:highlight w:val="none"/>
              </w:rPr>
            </w:pPr>
          </w:p>
        </w:tc>
      </w:tr>
    </w:tbl>
    <w:p w14:paraId="2D36348A">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注：1.管理关系：是指不具有出资持股关系的其他单位之间存在的管理与被管理关系，如一些上下级关系的事业单位和团体组织。</w:t>
      </w:r>
    </w:p>
    <w:p w14:paraId="4C227750">
      <w:pPr>
        <w:widowControl/>
        <w:jc w:val="left"/>
        <w:rPr>
          <w:rFonts w:ascii="Arial" w:hAnsi="Arial" w:eastAsia="宋体" w:cs="Arial"/>
          <w:color w:val="auto"/>
          <w:kern w:val="0"/>
          <w:szCs w:val="21"/>
          <w:highlight w:val="none"/>
        </w:rPr>
      </w:pPr>
      <w:r>
        <w:rPr>
          <w:rFonts w:ascii="Arial" w:hAnsi="Arial" w:eastAsia="宋体" w:cs="Arial"/>
          <w:color w:val="auto"/>
          <w:kern w:val="0"/>
          <w:szCs w:val="21"/>
          <w:highlight w:val="none"/>
        </w:rPr>
        <w:t>2.本表所指的管理关系仅限于直接管理关系，不包括间接的管理关系。</w:t>
      </w:r>
    </w:p>
    <w:p w14:paraId="65DF229A">
      <w:pPr>
        <w:snapToGrid w:val="0"/>
        <w:spacing w:line="400" w:lineRule="exact"/>
        <w:ind w:firstLine="1890" w:firstLineChars="900"/>
        <w:rPr>
          <w:rFonts w:ascii="Arial" w:hAnsi="Arial" w:eastAsia="宋体" w:cs="Arial"/>
          <w:color w:val="auto"/>
          <w:highlight w:val="none"/>
        </w:rPr>
      </w:pPr>
      <w:r>
        <w:rPr>
          <w:rFonts w:ascii="Arial" w:hAnsi="Arial" w:eastAsia="宋体" w:cs="Arial"/>
          <w:color w:val="auto"/>
          <w:szCs w:val="21"/>
          <w:highlight w:val="none"/>
        </w:rPr>
        <w:t>供应商（公章）：</w:t>
      </w:r>
      <w:r>
        <w:rPr>
          <w:rFonts w:ascii="Arial" w:hAnsi="Arial" w:eastAsia="宋体" w:cs="Arial"/>
          <w:color w:val="auto"/>
          <w:szCs w:val="21"/>
          <w:highlight w:val="none"/>
          <w:u w:val="single"/>
        </w:rPr>
        <w:t xml:space="preserve">                                        </w:t>
      </w:r>
    </w:p>
    <w:p w14:paraId="6717DF06">
      <w:pPr>
        <w:pStyle w:val="14"/>
        <w:ind w:firstLine="1890" w:firstLineChars="900"/>
        <w:rPr>
          <w:rFonts w:ascii="Arial" w:hAnsi="Arial" w:eastAsia="宋体" w:cs="Arial"/>
          <w:color w:val="auto"/>
          <w:highlight w:val="none"/>
        </w:rPr>
      </w:pPr>
      <w:r>
        <w:rPr>
          <w:rFonts w:ascii="Arial" w:hAnsi="Arial" w:eastAsia="宋体" w:cs="Arial"/>
          <w:color w:val="auto"/>
          <w:highlight w:val="none"/>
        </w:rPr>
        <w:t>法定代表人、负责人或相应的委托代理人签字（或盖章）：</w:t>
      </w:r>
      <w:r>
        <w:rPr>
          <w:rFonts w:ascii="Arial" w:hAnsi="Arial" w:eastAsia="宋体" w:cs="Arial"/>
          <w:color w:val="auto"/>
          <w:szCs w:val="21"/>
          <w:highlight w:val="none"/>
          <w:u w:val="single"/>
        </w:rPr>
        <w:t xml:space="preserve">                     </w:t>
      </w:r>
    </w:p>
    <w:p w14:paraId="589C7A8E">
      <w:pPr>
        <w:pStyle w:val="14"/>
        <w:ind w:firstLine="1890" w:firstLineChars="900"/>
        <w:rPr>
          <w:rFonts w:ascii="Arial" w:hAnsi="Arial" w:eastAsia="宋体" w:cs="Arial"/>
          <w:bCs/>
          <w:color w:val="auto"/>
          <w:szCs w:val="21"/>
          <w:highlight w:val="none"/>
        </w:rPr>
      </w:pPr>
      <w:r>
        <w:rPr>
          <w:rFonts w:ascii="Arial" w:hAnsi="Arial" w:eastAsia="宋体" w:cs="Arial"/>
          <w:color w:val="auto"/>
          <w:highlight w:val="none"/>
        </w:rPr>
        <w:t>日          期：</w:t>
      </w:r>
      <w:r>
        <w:rPr>
          <w:rFonts w:ascii="Arial" w:hAnsi="Arial" w:eastAsia="宋体" w:cs="Arial"/>
          <w:color w:val="auto"/>
          <w:highlight w:val="none"/>
          <w:u w:val="single"/>
        </w:rPr>
        <w:t xml:space="preserve">                                                  </w:t>
      </w:r>
    </w:p>
    <w:p w14:paraId="78FB8C52">
      <w:pPr>
        <w:widowControl/>
        <w:jc w:val="left"/>
        <w:rPr>
          <w:rFonts w:ascii="Arial" w:hAnsi="Arial" w:eastAsia="宋体" w:cs="Arial"/>
          <w:color w:val="auto"/>
          <w:highlight w:val="none"/>
        </w:rPr>
      </w:pPr>
      <w:r>
        <w:rPr>
          <w:rFonts w:ascii="Arial" w:hAnsi="Arial" w:eastAsia="宋体" w:cs="Arial"/>
          <w:b/>
          <w:color w:val="auto"/>
          <w:kern w:val="0"/>
          <w:szCs w:val="21"/>
          <w:highlight w:val="none"/>
        </w:rPr>
        <w:t xml:space="preserve">注：“供应商直接控股、管理关系信息表”必须由法定代表人(负责人)或委托代理人签字并加盖供应商公章。 </w:t>
      </w:r>
    </w:p>
    <w:p w14:paraId="76B62FD3">
      <w:pPr>
        <w:pStyle w:val="14"/>
        <w:spacing w:line="440" w:lineRule="exact"/>
        <w:ind w:firstLine="420"/>
        <w:rPr>
          <w:rFonts w:ascii="Arial" w:hAnsi="Arial" w:eastAsia="宋体" w:cs="Arial"/>
          <w:b/>
          <w:bCs/>
          <w:color w:val="auto"/>
          <w:highlight w:val="none"/>
        </w:rPr>
        <w:sectPr>
          <w:footerReference r:id="rId8" w:type="first"/>
          <w:footerReference r:id="rId7" w:type="default"/>
          <w:pgSz w:w="11906" w:h="16838"/>
          <w:pgMar w:top="1134" w:right="1312" w:bottom="1134" w:left="1134" w:header="720" w:footer="720" w:gutter="0"/>
          <w:cols w:space="720" w:num="1"/>
          <w:titlePg/>
          <w:docGrid w:type="linesAndChars" w:linePitch="331" w:charSpace="0"/>
        </w:sectPr>
      </w:pPr>
    </w:p>
    <w:p w14:paraId="172C835D">
      <w:pPr>
        <w:spacing w:line="300" w:lineRule="auto"/>
        <w:rPr>
          <w:rFonts w:ascii="Arial" w:hAnsi="Arial" w:eastAsia="宋体" w:cs="Arial"/>
          <w:b/>
          <w:bCs/>
          <w:color w:val="auto"/>
          <w:sz w:val="28"/>
          <w:szCs w:val="28"/>
          <w:highlight w:val="none"/>
        </w:rPr>
      </w:pPr>
      <w:r>
        <w:rPr>
          <w:rFonts w:ascii="Arial" w:hAnsi="Arial" w:eastAsia="宋体" w:cs="Arial"/>
          <w:b/>
          <w:color w:val="auto"/>
          <w:sz w:val="28"/>
          <w:szCs w:val="28"/>
          <w:highlight w:val="none"/>
        </w:rPr>
        <w:t>10.供应商参加本项目无围标串标行为的承诺函（必须提供）</w:t>
      </w:r>
    </w:p>
    <w:p w14:paraId="268D81ED">
      <w:pPr>
        <w:pStyle w:val="14"/>
        <w:spacing w:line="400" w:lineRule="exact"/>
        <w:rPr>
          <w:rFonts w:ascii="Arial" w:hAnsi="Arial" w:eastAsia="宋体" w:cs="Arial"/>
          <w:b/>
          <w:color w:val="auto"/>
          <w:sz w:val="32"/>
          <w:szCs w:val="32"/>
          <w:highlight w:val="none"/>
        </w:rPr>
      </w:pPr>
      <w:r>
        <w:rPr>
          <w:rFonts w:ascii="Arial" w:hAnsi="Arial" w:eastAsia="宋体" w:cs="Arial"/>
          <w:b/>
          <w:color w:val="auto"/>
          <w:sz w:val="32"/>
          <w:szCs w:val="32"/>
          <w:highlight w:val="none"/>
        </w:rPr>
        <w:t>附件：</w:t>
      </w:r>
    </w:p>
    <w:p w14:paraId="62812E2A">
      <w:pPr>
        <w:pStyle w:val="14"/>
        <w:spacing w:line="400" w:lineRule="exact"/>
        <w:jc w:val="center"/>
        <w:rPr>
          <w:rFonts w:ascii="Arial" w:hAnsi="Arial" w:eastAsia="宋体" w:cs="Arial"/>
          <w:b/>
          <w:color w:val="auto"/>
          <w:sz w:val="32"/>
          <w:szCs w:val="32"/>
          <w:highlight w:val="none"/>
        </w:rPr>
      </w:pPr>
      <w:r>
        <w:rPr>
          <w:rFonts w:ascii="Arial" w:hAnsi="Arial" w:eastAsia="宋体" w:cs="Arial"/>
          <w:b/>
          <w:color w:val="auto"/>
          <w:sz w:val="32"/>
          <w:szCs w:val="32"/>
          <w:highlight w:val="none"/>
        </w:rPr>
        <w:t>供应商参加本项目无围标串标行为的承诺函（格式）</w:t>
      </w:r>
    </w:p>
    <w:p w14:paraId="7492FF1D">
      <w:pPr>
        <w:snapToGrid w:val="0"/>
        <w:spacing w:before="165" w:beforeLines="50" w:after="50"/>
        <w:jc w:val="left"/>
        <w:rPr>
          <w:rFonts w:ascii="Arial" w:hAnsi="Arial" w:eastAsia="宋体" w:cs="Arial"/>
          <w:b/>
          <w:color w:val="auto"/>
          <w:szCs w:val="21"/>
          <w:highlight w:val="none"/>
        </w:rPr>
      </w:pPr>
      <w:r>
        <w:rPr>
          <w:rFonts w:ascii="Arial" w:hAnsi="Arial" w:eastAsia="宋体" w:cs="Arial"/>
          <w:b/>
          <w:color w:val="auto"/>
          <w:szCs w:val="21"/>
          <w:highlight w:val="none"/>
        </w:rPr>
        <w:t>一、我公司承诺无下列相互串通参与谈判的情形：</w:t>
      </w:r>
    </w:p>
    <w:p w14:paraId="3C5AF8B0">
      <w:pPr>
        <w:snapToGrid w:val="0"/>
        <w:spacing w:before="165" w:beforeLines="50" w:after="50"/>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（1）不同供应商的响应文件由同一单位或者个人编制；</w:t>
      </w:r>
    </w:p>
    <w:p w14:paraId="4F82B5D1">
      <w:pPr>
        <w:snapToGrid w:val="0"/>
        <w:spacing w:before="165" w:beforeLines="50" w:after="50"/>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（2）不同供应商委托同一单位或者个人办理谈判事宜；</w:t>
      </w:r>
    </w:p>
    <w:p w14:paraId="1FEFD2CB">
      <w:pPr>
        <w:snapToGrid w:val="0"/>
        <w:spacing w:before="165" w:beforeLines="50" w:after="50"/>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（3）不同的供应商的响应文件载明的项目管理员为同一个人；</w:t>
      </w:r>
    </w:p>
    <w:p w14:paraId="7010BB7E">
      <w:pPr>
        <w:snapToGrid w:val="0"/>
        <w:spacing w:before="165" w:beforeLines="50" w:after="50"/>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 xml:space="preserve">（4）不同供应商的响应文件异常一致或最后报价呈规律性差异； </w:t>
      </w:r>
    </w:p>
    <w:p w14:paraId="48B3B530">
      <w:pPr>
        <w:snapToGrid w:val="0"/>
        <w:spacing w:before="165" w:beforeLines="50" w:after="50"/>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（5）不同供应商的响应文件相互混装；</w:t>
      </w:r>
    </w:p>
    <w:p w14:paraId="64DC6B64">
      <w:pPr>
        <w:snapToGrid w:val="0"/>
        <w:spacing w:before="165" w:beforeLines="50" w:after="50"/>
        <w:ind w:firstLine="411" w:firstLineChars="196"/>
        <w:jc w:val="left"/>
        <w:rPr>
          <w:rFonts w:ascii="Arial" w:hAnsi="Arial" w:eastAsia="宋体" w:cs="Arial"/>
          <w:color w:val="auto"/>
          <w:szCs w:val="21"/>
          <w:highlight w:val="none"/>
        </w:rPr>
      </w:pPr>
      <w:r>
        <w:rPr>
          <w:rFonts w:ascii="Arial" w:hAnsi="Arial" w:eastAsia="宋体" w:cs="Arial"/>
          <w:color w:val="auto"/>
          <w:szCs w:val="21"/>
          <w:highlight w:val="none"/>
        </w:rPr>
        <w:t>（6）谈判文件未做实质性变动，最后报价高于首次报价。</w:t>
      </w:r>
    </w:p>
    <w:p w14:paraId="48BBE5B1">
      <w:pPr>
        <w:snapToGrid w:val="0"/>
        <w:spacing w:before="165" w:beforeLines="50" w:after="50"/>
        <w:jc w:val="left"/>
        <w:rPr>
          <w:rFonts w:ascii="Arial" w:hAnsi="Arial" w:eastAsia="宋体" w:cs="Arial"/>
          <w:color w:val="auto"/>
          <w:szCs w:val="21"/>
          <w:highlight w:val="none"/>
        </w:rPr>
      </w:pPr>
      <w:r>
        <w:rPr>
          <w:rFonts w:ascii="Arial" w:hAnsi="Arial" w:eastAsia="宋体" w:cs="Arial"/>
          <w:b/>
          <w:color w:val="auto"/>
          <w:szCs w:val="21"/>
          <w:highlight w:val="none"/>
        </w:rPr>
        <w:t>二、我公司承诺无下列恶意串通的情形：</w:t>
      </w:r>
    </w:p>
    <w:p w14:paraId="0D603D2D">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1.供应商直接或者间接从采购人或者采购代理机构处获得其他供应商的相关信息并修改其响应文件；</w:t>
      </w:r>
    </w:p>
    <w:p w14:paraId="138D6482">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2.供应商按照采购人或者采购代理机构的授意撤换、修改响应文件；</w:t>
      </w:r>
    </w:p>
    <w:p w14:paraId="19E1126A">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3.供应商之间协商报价、技术方案等响应文件的实质性内容；</w:t>
      </w:r>
    </w:p>
    <w:p w14:paraId="14999C68">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4.属于同一集团、协会、商会等组织成员的供应商按照该组织要求协同参加政府采购活动；</w:t>
      </w:r>
    </w:p>
    <w:p w14:paraId="49E9D523">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5. 供应商之间事先约定一致抬高或者压低谈判报价,或者在采购项目中事先约定轮流以高价位或者低价位成交,或者事先约定由某一特定供应商成交,然后再参加谈判；</w:t>
      </w:r>
    </w:p>
    <w:p w14:paraId="0B3DED6A">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6. 供应商之间商定部分供应商放弃参加政府采购活动或者放弃成交；</w:t>
      </w:r>
    </w:p>
    <w:p w14:paraId="7DDA785B">
      <w:pPr>
        <w:tabs>
          <w:tab w:val="left" w:pos="1305"/>
        </w:tabs>
        <w:spacing w:line="420" w:lineRule="exact"/>
        <w:ind w:firstLine="630" w:firstLineChars="300"/>
        <w:rPr>
          <w:rFonts w:ascii="Arial" w:hAnsi="Arial" w:eastAsia="宋体" w:cs="Arial"/>
          <w:color w:val="auto"/>
          <w:szCs w:val="21"/>
          <w:highlight w:val="none"/>
        </w:rPr>
      </w:pPr>
      <w:r>
        <w:rPr>
          <w:rFonts w:ascii="Arial" w:hAnsi="Arial" w:eastAsia="宋体" w:cs="Arial"/>
          <w:color w:val="auto"/>
          <w:szCs w:val="21"/>
          <w:highlight w:val="none"/>
        </w:rPr>
        <w:t>7. 供应商与采购人或者采购代理机构之间、供应商相互之间，为谋求特定供应商成交或者排斥其他供应商的其他串通行为。</w:t>
      </w:r>
    </w:p>
    <w:p w14:paraId="1E93B286">
      <w:pPr>
        <w:snapToGrid w:val="0"/>
        <w:spacing w:before="165" w:beforeLines="50" w:after="50"/>
        <w:ind w:firstLine="470" w:firstLineChars="196"/>
        <w:jc w:val="left"/>
        <w:rPr>
          <w:rFonts w:ascii="Arial" w:hAnsi="Arial" w:eastAsia="宋体" w:cs="Arial"/>
          <w:color w:val="auto"/>
          <w:sz w:val="24"/>
          <w:highlight w:val="none"/>
        </w:rPr>
      </w:pPr>
    </w:p>
    <w:p w14:paraId="6E163D7A">
      <w:pPr>
        <w:snapToGrid w:val="0"/>
        <w:spacing w:before="165" w:beforeLines="50" w:after="50"/>
        <w:ind w:firstLine="470" w:firstLineChars="196"/>
        <w:jc w:val="left"/>
        <w:rPr>
          <w:rFonts w:ascii="Arial" w:hAnsi="Arial" w:eastAsia="宋体" w:cs="Arial"/>
          <w:b/>
          <w:color w:val="auto"/>
          <w:sz w:val="24"/>
          <w:highlight w:val="none"/>
        </w:rPr>
      </w:pPr>
      <w:r>
        <w:rPr>
          <w:rFonts w:ascii="Arial" w:hAnsi="Arial" w:eastAsia="宋体" w:cs="Arial"/>
          <w:b/>
          <w:color w:val="auto"/>
          <w:sz w:val="24"/>
          <w:highlight w:val="none"/>
        </w:rPr>
        <w:t>以上情形一经核查属实，我方愿意承担一切后果，并不再寻求任何旨在减轻或免除法律责任的辩解。</w:t>
      </w:r>
    </w:p>
    <w:p w14:paraId="3F092C3F">
      <w:pPr>
        <w:pStyle w:val="14"/>
        <w:snapToGrid w:val="0"/>
        <w:spacing w:before="295" w:after="295" w:line="320" w:lineRule="exact"/>
        <w:ind w:firstLine="6840" w:firstLineChars="2850"/>
        <w:rPr>
          <w:rFonts w:ascii="Arial" w:hAnsi="Arial" w:eastAsia="宋体" w:cs="Arial"/>
          <w:color w:val="auto"/>
          <w:sz w:val="24"/>
          <w:szCs w:val="24"/>
          <w:highlight w:val="none"/>
        </w:rPr>
      </w:pPr>
    </w:p>
    <w:p w14:paraId="7126CF20">
      <w:pPr>
        <w:pStyle w:val="14"/>
        <w:snapToGrid w:val="0"/>
        <w:spacing w:before="295" w:after="295" w:line="320" w:lineRule="exact"/>
        <w:ind w:firstLine="6840" w:firstLineChars="2850"/>
        <w:rPr>
          <w:rFonts w:ascii="Arial" w:hAnsi="Arial" w:eastAsia="宋体" w:cs="Arial"/>
          <w:color w:val="auto"/>
          <w:sz w:val="24"/>
          <w:szCs w:val="24"/>
          <w:highlight w:val="none"/>
        </w:rPr>
      </w:pPr>
      <w:bookmarkStart w:id="34" w:name="_Toc6210"/>
      <w:bookmarkStart w:id="35" w:name="_Toc5372"/>
      <w:r>
        <w:rPr>
          <w:rFonts w:ascii="Arial" w:hAnsi="Arial" w:eastAsia="宋体" w:cs="Arial"/>
          <w:color w:val="auto"/>
          <w:sz w:val="24"/>
          <w:szCs w:val="24"/>
          <w:highlight w:val="none"/>
        </w:rPr>
        <w:t>（公章）</w:t>
      </w:r>
      <w:bookmarkEnd w:id="34"/>
      <w:bookmarkEnd w:id="35"/>
    </w:p>
    <w:p w14:paraId="0A69E67B">
      <w:pPr>
        <w:pStyle w:val="14"/>
        <w:spacing w:line="440" w:lineRule="exact"/>
        <w:ind w:firstLine="420"/>
        <w:jc w:val="center"/>
        <w:rPr>
          <w:rFonts w:ascii="Arial" w:hAnsi="Arial" w:eastAsia="宋体" w:cs="Arial"/>
          <w:b/>
          <w:bCs/>
          <w:color w:val="auto"/>
          <w:highlight w:val="none"/>
        </w:rPr>
      </w:pPr>
      <w:r>
        <w:rPr>
          <w:rFonts w:ascii="Arial" w:hAnsi="Arial" w:eastAsia="宋体" w:cs="Arial"/>
          <w:color w:val="auto"/>
          <w:sz w:val="24"/>
          <w:highlight w:val="none"/>
        </w:rPr>
        <w:t xml:space="preserve">                                                </w:t>
      </w:r>
      <w:r>
        <w:rPr>
          <w:rFonts w:ascii="Arial" w:hAnsi="Arial" w:eastAsia="宋体" w:cs="Arial"/>
          <w:color w:val="auto"/>
          <w:sz w:val="24"/>
          <w:highlight w:val="none"/>
          <w:u w:val="single"/>
        </w:rPr>
        <w:t xml:space="preserve">      </w:t>
      </w:r>
      <w:r>
        <w:rPr>
          <w:rFonts w:ascii="Arial" w:hAnsi="Arial" w:eastAsia="宋体" w:cs="Arial"/>
          <w:color w:val="auto"/>
          <w:sz w:val="24"/>
          <w:highlight w:val="none"/>
        </w:rPr>
        <w:t>年</w:t>
      </w:r>
      <w:r>
        <w:rPr>
          <w:rFonts w:ascii="Arial" w:hAnsi="Arial" w:eastAsia="宋体" w:cs="Arial"/>
          <w:color w:val="auto"/>
          <w:sz w:val="24"/>
          <w:highlight w:val="none"/>
          <w:u w:val="single"/>
        </w:rPr>
        <w:t xml:space="preserve">    </w:t>
      </w:r>
      <w:r>
        <w:rPr>
          <w:rFonts w:ascii="Arial" w:hAnsi="Arial" w:eastAsia="宋体" w:cs="Arial"/>
          <w:color w:val="auto"/>
          <w:sz w:val="24"/>
          <w:highlight w:val="none"/>
        </w:rPr>
        <w:t>月</w:t>
      </w:r>
      <w:r>
        <w:rPr>
          <w:rFonts w:ascii="Arial" w:hAnsi="Arial" w:eastAsia="宋体" w:cs="Arial"/>
          <w:color w:val="auto"/>
          <w:sz w:val="24"/>
          <w:highlight w:val="none"/>
          <w:u w:val="single"/>
        </w:rPr>
        <w:t xml:space="preserve">     </w:t>
      </w:r>
      <w:r>
        <w:rPr>
          <w:rFonts w:ascii="Arial" w:hAnsi="Arial" w:eastAsia="宋体" w:cs="Arial"/>
          <w:color w:val="auto"/>
          <w:sz w:val="24"/>
          <w:highlight w:val="none"/>
        </w:rPr>
        <w:t>日</w:t>
      </w:r>
    </w:p>
    <w:p w14:paraId="7953EF7D">
      <w:pPr>
        <w:spacing w:line="400" w:lineRule="exact"/>
        <w:rPr>
          <w:rFonts w:ascii="Arial" w:hAnsi="Arial" w:eastAsia="宋体" w:cs="Arial"/>
          <w:b/>
          <w:color w:val="auto"/>
          <w:sz w:val="32"/>
          <w:szCs w:val="32"/>
          <w:highlight w:val="none"/>
        </w:rPr>
      </w:pPr>
    </w:p>
    <w:p w14:paraId="606C9EBD">
      <w:pPr>
        <w:spacing w:line="300" w:lineRule="auto"/>
        <w:rPr>
          <w:rFonts w:ascii="Arial" w:hAnsi="Arial" w:eastAsia="宋体" w:cs="Arial"/>
          <w:b/>
          <w:bCs/>
          <w:color w:val="auto"/>
          <w:sz w:val="28"/>
          <w:szCs w:val="28"/>
          <w:highlight w:val="none"/>
        </w:rPr>
      </w:pPr>
      <w:r>
        <w:rPr>
          <w:rFonts w:ascii="Arial" w:hAnsi="Arial" w:eastAsia="宋体" w:cs="Arial"/>
          <w:b/>
          <w:color w:val="auto"/>
          <w:sz w:val="28"/>
          <w:szCs w:val="28"/>
          <w:highlight w:val="none"/>
        </w:rPr>
        <w:t>11.谈判保证缴纳证明材料复印件（必须提供）</w:t>
      </w:r>
    </w:p>
    <w:p w14:paraId="5717BBC7">
      <w:pPr>
        <w:spacing w:line="400" w:lineRule="exact"/>
        <w:rPr>
          <w:rFonts w:ascii="Arial" w:hAnsi="Arial" w:eastAsia="宋体" w:cs="Arial"/>
          <w:b/>
          <w:color w:val="auto"/>
          <w:sz w:val="32"/>
          <w:szCs w:val="32"/>
          <w:highlight w:val="none"/>
        </w:rPr>
      </w:pPr>
      <w:r>
        <w:rPr>
          <w:rFonts w:ascii="Arial" w:hAnsi="Arial" w:eastAsia="宋体" w:cs="Arial"/>
          <w:b/>
          <w:color w:val="auto"/>
          <w:sz w:val="32"/>
          <w:szCs w:val="32"/>
          <w:highlight w:val="none"/>
        </w:rPr>
        <w:br w:type="page"/>
      </w:r>
    </w:p>
    <w:p w14:paraId="6859EA8B">
      <w:pPr>
        <w:spacing w:line="400" w:lineRule="exact"/>
        <w:jc w:val="center"/>
        <w:rPr>
          <w:rFonts w:ascii="Arial" w:hAnsi="Arial" w:eastAsia="宋体" w:cs="Arial"/>
          <w:b/>
          <w:color w:val="auto"/>
          <w:sz w:val="32"/>
          <w:szCs w:val="32"/>
          <w:highlight w:val="none"/>
        </w:rPr>
      </w:pPr>
      <w:r>
        <w:rPr>
          <w:rFonts w:ascii="Arial" w:hAnsi="Arial" w:eastAsia="宋体" w:cs="Arial"/>
          <w:b/>
          <w:color w:val="auto"/>
          <w:sz w:val="32"/>
          <w:szCs w:val="32"/>
          <w:highlight w:val="none"/>
        </w:rPr>
        <w:t>（二）符合性响应证明材料目录</w:t>
      </w:r>
    </w:p>
    <w:p w14:paraId="6885E55E">
      <w:pPr>
        <w:tabs>
          <w:tab w:val="left" w:pos="1305"/>
        </w:tabs>
        <w:spacing w:line="440" w:lineRule="exact"/>
        <w:ind w:firstLine="420" w:firstLineChars="200"/>
        <w:rPr>
          <w:rFonts w:ascii="Arial" w:hAnsi="Arial" w:eastAsia="宋体" w:cs="Arial"/>
          <w:color w:val="auto"/>
          <w:szCs w:val="21"/>
          <w:highlight w:val="none"/>
        </w:rPr>
      </w:pPr>
    </w:p>
    <w:p w14:paraId="5740976C">
      <w:pPr>
        <w:tabs>
          <w:tab w:val="left" w:pos="1305"/>
        </w:tabs>
        <w:spacing w:line="520" w:lineRule="exact"/>
        <w:ind w:firstLine="720" w:firstLineChars="300"/>
        <w:rPr>
          <w:rFonts w:ascii="Arial" w:hAnsi="Arial" w:eastAsia="宋体" w:cs="Arial"/>
          <w:color w:val="auto"/>
          <w:sz w:val="24"/>
          <w:highlight w:val="none"/>
        </w:rPr>
      </w:pPr>
      <w:r>
        <w:rPr>
          <w:rFonts w:ascii="Arial" w:hAnsi="Arial" w:eastAsia="宋体" w:cs="Arial"/>
          <w:color w:val="auto"/>
          <w:sz w:val="24"/>
          <w:highlight w:val="none"/>
        </w:rPr>
        <w:t>1.谈判报价表</w:t>
      </w:r>
      <w:r>
        <w:rPr>
          <w:rFonts w:ascii="Arial" w:hAnsi="Arial" w:eastAsia="宋体" w:cs="Arial"/>
          <w:b/>
          <w:color w:val="auto"/>
          <w:sz w:val="24"/>
          <w:highlight w:val="none"/>
        </w:rPr>
        <w:t>（必须提供）</w:t>
      </w:r>
      <w:r>
        <w:rPr>
          <w:rFonts w:ascii="Arial" w:hAnsi="Arial" w:eastAsia="宋体" w:cs="Arial"/>
          <w:color w:val="auto"/>
          <w:sz w:val="24"/>
          <w:highlight w:val="none"/>
        </w:rPr>
        <w:t xml:space="preserve"> </w:t>
      </w:r>
    </w:p>
    <w:p w14:paraId="144FF61C">
      <w:pPr>
        <w:tabs>
          <w:tab w:val="left" w:pos="1305"/>
        </w:tabs>
        <w:spacing w:line="520" w:lineRule="exact"/>
        <w:ind w:firstLine="720" w:firstLineChars="300"/>
        <w:rPr>
          <w:rFonts w:ascii="Arial" w:hAnsi="Arial" w:eastAsia="宋体" w:cs="Arial"/>
          <w:b/>
          <w:color w:val="auto"/>
          <w:sz w:val="24"/>
          <w:highlight w:val="none"/>
        </w:rPr>
      </w:pPr>
      <w:r>
        <w:rPr>
          <w:rFonts w:ascii="Arial" w:hAnsi="Arial" w:eastAsia="宋体" w:cs="Arial"/>
          <w:color w:val="auto"/>
          <w:sz w:val="24"/>
          <w:highlight w:val="none"/>
        </w:rPr>
        <w:t>2.技术响应表</w:t>
      </w:r>
      <w:r>
        <w:rPr>
          <w:rFonts w:ascii="Arial" w:hAnsi="Arial" w:eastAsia="宋体" w:cs="Arial"/>
          <w:b/>
          <w:color w:val="auto"/>
          <w:sz w:val="24"/>
          <w:highlight w:val="none"/>
        </w:rPr>
        <w:t>（必须提供）</w:t>
      </w:r>
    </w:p>
    <w:p w14:paraId="04068038">
      <w:pPr>
        <w:tabs>
          <w:tab w:val="left" w:pos="1305"/>
        </w:tabs>
        <w:spacing w:line="520" w:lineRule="exact"/>
        <w:ind w:firstLine="720" w:firstLineChars="300"/>
        <w:rPr>
          <w:rFonts w:ascii="Arial" w:hAnsi="Arial" w:eastAsia="宋体" w:cs="Arial"/>
          <w:b/>
          <w:color w:val="auto"/>
          <w:sz w:val="24"/>
          <w:highlight w:val="none"/>
        </w:rPr>
      </w:pPr>
      <w:r>
        <w:rPr>
          <w:rFonts w:ascii="Arial" w:hAnsi="Arial" w:eastAsia="宋体" w:cs="Arial"/>
          <w:color w:val="auto"/>
          <w:sz w:val="24"/>
          <w:highlight w:val="none"/>
        </w:rPr>
        <w:t>3.供应商的项目实施方案</w:t>
      </w:r>
      <w:r>
        <w:rPr>
          <w:rFonts w:ascii="Arial" w:hAnsi="Arial" w:eastAsia="宋体" w:cs="Arial"/>
          <w:b/>
          <w:color w:val="auto"/>
          <w:sz w:val="24"/>
          <w:highlight w:val="none"/>
        </w:rPr>
        <w:t>（必须提供）；</w:t>
      </w:r>
    </w:p>
    <w:p w14:paraId="786C7672">
      <w:pPr>
        <w:tabs>
          <w:tab w:val="left" w:pos="1305"/>
        </w:tabs>
        <w:spacing w:line="520" w:lineRule="exact"/>
        <w:ind w:firstLine="720" w:firstLineChars="300"/>
        <w:rPr>
          <w:rFonts w:ascii="Arial" w:hAnsi="Arial" w:eastAsia="宋体" w:cs="Arial"/>
          <w:b/>
          <w:color w:val="auto"/>
          <w:sz w:val="24"/>
          <w:highlight w:val="none"/>
        </w:rPr>
      </w:pPr>
      <w:r>
        <w:rPr>
          <w:rFonts w:ascii="Arial" w:hAnsi="Arial" w:eastAsia="宋体" w:cs="Arial"/>
          <w:color w:val="auto"/>
          <w:sz w:val="24"/>
          <w:highlight w:val="none"/>
        </w:rPr>
        <w:t>4.供应商的售后服务承诺书</w:t>
      </w:r>
      <w:r>
        <w:rPr>
          <w:rFonts w:ascii="Arial" w:hAnsi="Arial" w:eastAsia="宋体" w:cs="Arial"/>
          <w:b/>
          <w:color w:val="auto"/>
          <w:sz w:val="24"/>
          <w:highlight w:val="none"/>
        </w:rPr>
        <w:t>（必须提供）；</w:t>
      </w:r>
    </w:p>
    <w:p w14:paraId="258B91FB">
      <w:pPr>
        <w:tabs>
          <w:tab w:val="left" w:pos="1305"/>
        </w:tabs>
        <w:spacing w:line="520" w:lineRule="exact"/>
        <w:ind w:firstLine="720" w:firstLineChars="300"/>
        <w:rPr>
          <w:rFonts w:ascii="Arial" w:hAnsi="Arial" w:eastAsia="宋体" w:cs="Arial"/>
          <w:b/>
          <w:color w:val="auto"/>
          <w:sz w:val="24"/>
          <w:highlight w:val="none"/>
        </w:rPr>
      </w:pPr>
      <w:r>
        <w:rPr>
          <w:rFonts w:ascii="Arial" w:hAnsi="Arial" w:eastAsia="宋体" w:cs="Arial"/>
          <w:color w:val="auto"/>
          <w:sz w:val="24"/>
          <w:highlight w:val="none"/>
        </w:rPr>
        <w:t>5.商务响应表</w:t>
      </w:r>
      <w:r>
        <w:rPr>
          <w:rFonts w:ascii="Arial" w:hAnsi="Arial" w:eastAsia="宋体" w:cs="Arial"/>
          <w:b/>
          <w:color w:val="auto"/>
          <w:sz w:val="24"/>
          <w:highlight w:val="none"/>
        </w:rPr>
        <w:t>（必须提供））</w:t>
      </w:r>
    </w:p>
    <w:p w14:paraId="4195B259">
      <w:pPr>
        <w:tabs>
          <w:tab w:val="left" w:pos="1305"/>
        </w:tabs>
        <w:spacing w:line="520" w:lineRule="exact"/>
        <w:ind w:firstLine="720" w:firstLineChars="300"/>
        <w:rPr>
          <w:rFonts w:ascii="Arial" w:hAnsi="Arial" w:eastAsia="宋体" w:cs="Arial"/>
          <w:b/>
          <w:color w:val="auto"/>
          <w:sz w:val="24"/>
          <w:highlight w:val="none"/>
        </w:rPr>
      </w:pPr>
    </w:p>
    <w:p w14:paraId="1D591698">
      <w:pPr>
        <w:tabs>
          <w:tab w:val="left" w:pos="1305"/>
        </w:tabs>
        <w:spacing w:line="520" w:lineRule="exact"/>
        <w:ind w:firstLine="630" w:firstLineChars="300"/>
        <w:rPr>
          <w:rFonts w:ascii="Arial" w:hAnsi="Arial" w:eastAsia="宋体" w:cs="Arial"/>
          <w:b/>
          <w:bCs/>
          <w:color w:val="auto"/>
          <w:highlight w:val="none"/>
        </w:rPr>
        <w:sectPr>
          <w:footerReference r:id="rId10" w:type="first"/>
          <w:footerReference r:id="rId9" w:type="default"/>
          <w:pgSz w:w="11906" w:h="16838"/>
          <w:pgMar w:top="1134" w:right="849" w:bottom="1134" w:left="1134" w:header="720" w:footer="720" w:gutter="0"/>
          <w:cols w:space="720" w:num="1"/>
          <w:docGrid w:type="linesAndChars" w:linePitch="331" w:charSpace="0"/>
        </w:sectPr>
      </w:pPr>
    </w:p>
    <w:p w14:paraId="52729053">
      <w:pPr>
        <w:pStyle w:val="14"/>
        <w:spacing w:line="34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1.谈判报价表（必须提供）</w:t>
      </w:r>
    </w:p>
    <w:p w14:paraId="0C13D5CA">
      <w:pPr>
        <w:snapToGrid w:val="0"/>
        <w:spacing w:line="400" w:lineRule="exact"/>
        <w:jc w:val="left"/>
        <w:rPr>
          <w:rFonts w:ascii="Arial" w:hAnsi="Arial" w:eastAsia="宋体" w:cs="Arial"/>
          <w:color w:val="auto"/>
          <w:szCs w:val="21"/>
          <w:highlight w:val="none"/>
        </w:rPr>
      </w:pPr>
    </w:p>
    <w:p w14:paraId="1C458499">
      <w:pPr>
        <w:snapToGrid w:val="0"/>
        <w:spacing w:line="400" w:lineRule="exact"/>
        <w:jc w:val="left"/>
        <w:rPr>
          <w:rFonts w:ascii="Arial" w:hAnsi="Arial" w:eastAsia="宋体" w:cs="Arial"/>
          <w:color w:val="auto"/>
          <w:szCs w:val="21"/>
          <w:highlight w:val="none"/>
        </w:rPr>
      </w:pPr>
      <w:r>
        <w:rPr>
          <w:rFonts w:ascii="Arial" w:hAnsi="Arial" w:eastAsia="宋体" w:cs="Arial"/>
          <w:color w:val="auto"/>
          <w:szCs w:val="21"/>
          <w:highlight w:val="none"/>
        </w:rPr>
        <w:t>项目名称：</w:t>
      </w:r>
      <w:r>
        <w:rPr>
          <w:rFonts w:hint="eastAsia" w:ascii="Arial" w:hAnsi="Arial" w:eastAsia="宋体" w:cs="Arial"/>
          <w:color w:val="auto"/>
          <w:highlight w:val="none"/>
        </w:rPr>
        <w:t>材料学院虚拟仿真实验教学中心建设设备采购项目</w:t>
      </w:r>
    </w:p>
    <w:p w14:paraId="0ED2309D">
      <w:pPr>
        <w:snapToGrid w:val="0"/>
        <w:spacing w:line="400" w:lineRule="exact"/>
        <w:jc w:val="left"/>
        <w:rPr>
          <w:rFonts w:ascii="Arial" w:hAnsi="Arial" w:eastAsia="宋体" w:cs="Arial"/>
          <w:color w:val="auto"/>
          <w:szCs w:val="21"/>
          <w:highlight w:val="none"/>
        </w:rPr>
      </w:pPr>
      <w:r>
        <w:rPr>
          <w:rFonts w:ascii="Arial" w:hAnsi="Arial" w:eastAsia="宋体" w:cs="Arial"/>
          <w:color w:val="auto"/>
          <w:szCs w:val="21"/>
          <w:highlight w:val="none"/>
        </w:rPr>
        <w:t>项目编号：</w:t>
      </w:r>
      <w:r>
        <w:rPr>
          <w:rFonts w:hint="eastAsia" w:ascii="Arial" w:hAnsi="Arial" w:eastAsia="宋体" w:cs="Arial"/>
          <w:color w:val="auto"/>
          <w:szCs w:val="21"/>
          <w:highlight w:val="none"/>
        </w:rPr>
        <w:t>GXJD-24114CC031368</w:t>
      </w:r>
    </w:p>
    <w:tbl>
      <w:tblPr>
        <w:tblStyle w:val="24"/>
        <w:tblpPr w:leftFromText="180" w:rightFromText="180" w:vertAnchor="text" w:tblpY="1"/>
        <w:tblOverlap w:val="never"/>
        <w:tblW w:w="104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0"/>
        <w:gridCol w:w="1359"/>
        <w:gridCol w:w="1900"/>
        <w:gridCol w:w="2120"/>
        <w:gridCol w:w="910"/>
        <w:gridCol w:w="690"/>
        <w:gridCol w:w="1330"/>
        <w:gridCol w:w="1370"/>
      </w:tblGrid>
      <w:tr w14:paraId="69578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800" w:type="dxa"/>
            <w:tcBorders>
              <w:top w:val="single" w:color="auto" w:sz="4" w:space="0"/>
              <w:left w:val="single" w:color="auto" w:sz="4" w:space="0"/>
              <w:bottom w:val="single" w:color="auto" w:sz="4" w:space="0"/>
              <w:right w:val="single" w:color="auto" w:sz="4" w:space="0"/>
            </w:tcBorders>
            <w:vAlign w:val="center"/>
          </w:tcPr>
          <w:p w14:paraId="73BDBA88">
            <w:pPr>
              <w:spacing w:line="280" w:lineRule="exact"/>
              <w:jc w:val="center"/>
              <w:rPr>
                <w:rFonts w:ascii="Arial" w:hAnsi="Arial" w:eastAsia="宋体" w:cs="Arial"/>
                <w:color w:val="auto"/>
                <w:highlight w:val="none"/>
              </w:rPr>
            </w:pPr>
            <w:r>
              <w:rPr>
                <w:rFonts w:ascii="Arial" w:hAnsi="Arial" w:eastAsia="宋体" w:cs="Arial"/>
                <w:color w:val="auto"/>
                <w:highlight w:val="none"/>
              </w:rPr>
              <w:t>项号</w:t>
            </w:r>
          </w:p>
        </w:tc>
        <w:tc>
          <w:tcPr>
            <w:tcW w:w="1359" w:type="dxa"/>
            <w:tcBorders>
              <w:top w:val="single" w:color="auto" w:sz="4" w:space="0"/>
              <w:left w:val="single" w:color="auto" w:sz="4" w:space="0"/>
              <w:bottom w:val="single" w:color="auto" w:sz="4" w:space="0"/>
              <w:right w:val="single" w:color="auto" w:sz="4" w:space="0"/>
            </w:tcBorders>
            <w:vAlign w:val="center"/>
          </w:tcPr>
          <w:p w14:paraId="62199CE1">
            <w:pPr>
              <w:spacing w:line="280" w:lineRule="exact"/>
              <w:jc w:val="center"/>
              <w:rPr>
                <w:rFonts w:ascii="Arial" w:hAnsi="Arial" w:eastAsia="宋体" w:cs="Arial"/>
                <w:color w:val="auto"/>
                <w:highlight w:val="none"/>
              </w:rPr>
            </w:pPr>
            <w:r>
              <w:rPr>
                <w:rFonts w:ascii="Arial" w:hAnsi="Arial" w:eastAsia="宋体" w:cs="Arial"/>
                <w:color w:val="auto"/>
                <w:highlight w:val="none"/>
              </w:rPr>
              <w:t>标的名称</w:t>
            </w:r>
          </w:p>
        </w:tc>
        <w:tc>
          <w:tcPr>
            <w:tcW w:w="1900" w:type="dxa"/>
            <w:tcBorders>
              <w:top w:val="single" w:color="auto" w:sz="4" w:space="0"/>
              <w:left w:val="single" w:color="auto" w:sz="4" w:space="0"/>
              <w:bottom w:val="single" w:color="auto" w:sz="4" w:space="0"/>
              <w:right w:val="single" w:color="auto" w:sz="4" w:space="0"/>
            </w:tcBorders>
            <w:vAlign w:val="center"/>
          </w:tcPr>
          <w:p w14:paraId="4D5DEFC2">
            <w:pPr>
              <w:spacing w:line="280" w:lineRule="exact"/>
              <w:jc w:val="center"/>
              <w:rPr>
                <w:rFonts w:ascii="Arial" w:hAnsi="Arial" w:eastAsia="宋体" w:cs="Arial"/>
                <w:color w:val="auto"/>
                <w:highlight w:val="none"/>
              </w:rPr>
            </w:pPr>
            <w:r>
              <w:rPr>
                <w:rFonts w:ascii="Arial" w:hAnsi="Arial" w:eastAsia="宋体" w:cs="Arial"/>
                <w:color w:val="auto"/>
                <w:szCs w:val="30"/>
                <w:highlight w:val="none"/>
              </w:rPr>
              <w:t>生产厂家、品牌、规格型号</w:t>
            </w:r>
          </w:p>
        </w:tc>
        <w:tc>
          <w:tcPr>
            <w:tcW w:w="2120" w:type="dxa"/>
            <w:tcBorders>
              <w:top w:val="single" w:color="auto" w:sz="4" w:space="0"/>
              <w:left w:val="single" w:color="auto" w:sz="4" w:space="0"/>
              <w:bottom w:val="single" w:color="auto" w:sz="4" w:space="0"/>
              <w:right w:val="single" w:color="auto" w:sz="4" w:space="0"/>
            </w:tcBorders>
            <w:vAlign w:val="center"/>
          </w:tcPr>
          <w:p w14:paraId="174AE87F">
            <w:pPr>
              <w:spacing w:line="300" w:lineRule="exact"/>
              <w:jc w:val="center"/>
              <w:rPr>
                <w:rFonts w:ascii="Arial" w:hAnsi="Arial" w:eastAsia="宋体" w:cs="Arial"/>
                <w:color w:val="auto"/>
                <w:szCs w:val="21"/>
                <w:highlight w:val="none"/>
              </w:rPr>
            </w:pPr>
            <w:r>
              <w:rPr>
                <w:rFonts w:ascii="Arial" w:hAnsi="Arial" w:eastAsia="宋体" w:cs="Arial"/>
                <w:color w:val="auto"/>
                <w:szCs w:val="21"/>
                <w:highlight w:val="none"/>
              </w:rPr>
              <w:t>技术参数性能指标等</w:t>
            </w:r>
          </w:p>
          <w:p w14:paraId="5029A2A7">
            <w:pPr>
              <w:spacing w:line="300" w:lineRule="exact"/>
              <w:jc w:val="center"/>
              <w:rPr>
                <w:rFonts w:ascii="Arial" w:hAnsi="Arial" w:eastAsia="宋体" w:cs="Arial"/>
                <w:color w:val="auto"/>
                <w:highlight w:val="none"/>
              </w:rPr>
            </w:pPr>
            <w:r>
              <w:rPr>
                <w:rFonts w:ascii="Arial" w:hAnsi="Arial" w:eastAsia="宋体" w:cs="Arial"/>
                <w:color w:val="auto"/>
                <w:szCs w:val="21"/>
                <w:highlight w:val="none"/>
              </w:rPr>
              <w:t>（须完整填写）</w:t>
            </w:r>
          </w:p>
        </w:tc>
        <w:tc>
          <w:tcPr>
            <w:tcW w:w="910" w:type="dxa"/>
            <w:tcBorders>
              <w:top w:val="single" w:color="auto" w:sz="4" w:space="0"/>
              <w:left w:val="single" w:color="auto" w:sz="4" w:space="0"/>
              <w:bottom w:val="single" w:color="auto" w:sz="4" w:space="0"/>
              <w:right w:val="single" w:color="auto" w:sz="4" w:space="0"/>
            </w:tcBorders>
            <w:vAlign w:val="center"/>
          </w:tcPr>
          <w:p w14:paraId="19123901">
            <w:pPr>
              <w:spacing w:line="300" w:lineRule="exact"/>
              <w:jc w:val="center"/>
              <w:rPr>
                <w:rFonts w:ascii="Arial" w:hAnsi="Arial" w:eastAsia="宋体" w:cs="Arial"/>
                <w:color w:val="auto"/>
                <w:highlight w:val="none"/>
              </w:rPr>
            </w:pPr>
            <w:r>
              <w:rPr>
                <w:rFonts w:ascii="Arial" w:hAnsi="Arial" w:eastAsia="宋体" w:cs="Arial"/>
                <w:color w:val="auto"/>
                <w:highlight w:val="none"/>
              </w:rPr>
              <w:t>数量</w:t>
            </w:r>
          </w:p>
          <w:p w14:paraId="5920CEEC">
            <w:pPr>
              <w:spacing w:line="300" w:lineRule="exact"/>
              <w:jc w:val="center"/>
              <w:rPr>
                <w:rFonts w:ascii="Arial" w:hAnsi="Arial" w:eastAsia="宋体" w:cs="Arial"/>
                <w:color w:val="auto"/>
                <w:highlight w:val="none"/>
              </w:rPr>
            </w:pPr>
            <w:r>
              <w:rPr>
                <w:rFonts w:ascii="Arial" w:hAnsi="Arial" w:eastAsia="宋体" w:cs="Arial"/>
                <w:color w:val="auto"/>
                <w:szCs w:val="21"/>
                <w:highlight w:val="none"/>
              </w:rPr>
              <w:t>①</w:t>
            </w:r>
          </w:p>
        </w:tc>
        <w:tc>
          <w:tcPr>
            <w:tcW w:w="690" w:type="dxa"/>
            <w:tcBorders>
              <w:top w:val="single" w:color="auto" w:sz="4" w:space="0"/>
              <w:left w:val="single" w:color="auto" w:sz="4" w:space="0"/>
              <w:bottom w:val="single" w:color="auto" w:sz="4" w:space="0"/>
              <w:right w:val="single" w:color="auto" w:sz="4" w:space="0"/>
            </w:tcBorders>
            <w:vAlign w:val="center"/>
          </w:tcPr>
          <w:p w14:paraId="5B6CB20A">
            <w:pPr>
              <w:spacing w:line="300" w:lineRule="exact"/>
              <w:jc w:val="center"/>
              <w:rPr>
                <w:rFonts w:ascii="Arial" w:hAnsi="Arial" w:eastAsia="宋体" w:cs="Arial"/>
                <w:color w:val="auto"/>
                <w:highlight w:val="none"/>
              </w:rPr>
            </w:pPr>
            <w:r>
              <w:rPr>
                <w:rFonts w:ascii="Arial" w:hAnsi="Arial" w:eastAsia="宋体" w:cs="Arial"/>
                <w:color w:val="auto"/>
                <w:highlight w:val="none"/>
              </w:rPr>
              <w:t>单位</w:t>
            </w:r>
          </w:p>
        </w:tc>
        <w:tc>
          <w:tcPr>
            <w:tcW w:w="1330" w:type="dxa"/>
            <w:tcBorders>
              <w:top w:val="single" w:color="auto" w:sz="4" w:space="0"/>
              <w:left w:val="single" w:color="auto" w:sz="4" w:space="0"/>
              <w:bottom w:val="single" w:color="auto" w:sz="4" w:space="0"/>
              <w:right w:val="single" w:color="auto" w:sz="4" w:space="0"/>
            </w:tcBorders>
            <w:vAlign w:val="center"/>
          </w:tcPr>
          <w:p w14:paraId="080FA26C">
            <w:pPr>
              <w:spacing w:line="300" w:lineRule="exact"/>
              <w:jc w:val="center"/>
              <w:rPr>
                <w:rFonts w:ascii="Arial" w:hAnsi="Arial" w:eastAsia="宋体" w:cs="Arial"/>
                <w:color w:val="auto"/>
                <w:highlight w:val="none"/>
              </w:rPr>
            </w:pPr>
            <w:r>
              <w:rPr>
                <w:rFonts w:ascii="Arial" w:hAnsi="Arial" w:eastAsia="宋体" w:cs="Arial"/>
                <w:color w:val="auto"/>
                <w:highlight w:val="none"/>
              </w:rPr>
              <w:t>单价（元）</w:t>
            </w:r>
          </w:p>
          <w:p w14:paraId="4F412313">
            <w:pPr>
              <w:spacing w:line="300" w:lineRule="exact"/>
              <w:jc w:val="center"/>
              <w:rPr>
                <w:rFonts w:ascii="Arial" w:hAnsi="Arial" w:eastAsia="宋体" w:cs="Arial"/>
                <w:color w:val="auto"/>
                <w:highlight w:val="none"/>
              </w:rPr>
            </w:pPr>
            <w:r>
              <w:rPr>
                <w:rFonts w:ascii="Arial" w:hAnsi="Arial" w:eastAsia="宋体" w:cs="Arial"/>
                <w:color w:val="auto"/>
                <w:szCs w:val="21"/>
                <w:highlight w:val="none"/>
              </w:rPr>
              <w:t>②</w:t>
            </w:r>
          </w:p>
        </w:tc>
        <w:tc>
          <w:tcPr>
            <w:tcW w:w="1370" w:type="dxa"/>
            <w:tcBorders>
              <w:top w:val="single" w:color="auto" w:sz="4" w:space="0"/>
              <w:left w:val="single" w:color="auto" w:sz="4" w:space="0"/>
              <w:bottom w:val="single" w:color="auto" w:sz="4" w:space="0"/>
            </w:tcBorders>
            <w:vAlign w:val="center"/>
          </w:tcPr>
          <w:p w14:paraId="1F7C4898">
            <w:pPr>
              <w:spacing w:line="300" w:lineRule="exact"/>
              <w:jc w:val="center"/>
              <w:rPr>
                <w:rFonts w:ascii="Arial" w:hAnsi="Arial" w:eastAsia="宋体" w:cs="Arial"/>
                <w:color w:val="auto"/>
                <w:highlight w:val="none"/>
              </w:rPr>
            </w:pPr>
            <w:r>
              <w:rPr>
                <w:rFonts w:ascii="Arial" w:hAnsi="Arial" w:eastAsia="宋体" w:cs="Arial"/>
                <w:color w:val="auto"/>
                <w:highlight w:val="none"/>
              </w:rPr>
              <w:t>单项合计=数量×单价</w:t>
            </w:r>
          </w:p>
          <w:p w14:paraId="24DF9D7F">
            <w:pPr>
              <w:spacing w:line="300" w:lineRule="exact"/>
              <w:jc w:val="center"/>
              <w:rPr>
                <w:rFonts w:ascii="Arial" w:hAnsi="Arial" w:eastAsia="宋体" w:cs="Arial"/>
                <w:color w:val="auto"/>
                <w:highlight w:val="none"/>
              </w:rPr>
            </w:pPr>
            <w:r>
              <w:rPr>
                <w:rFonts w:ascii="Arial" w:hAnsi="Arial" w:eastAsia="宋体" w:cs="Arial"/>
                <w:color w:val="auto"/>
                <w:szCs w:val="21"/>
                <w:highlight w:val="none"/>
              </w:rPr>
              <w:t>③＝①×②</w:t>
            </w:r>
          </w:p>
        </w:tc>
      </w:tr>
      <w:tr w14:paraId="624EB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800" w:type="dxa"/>
            <w:tcBorders>
              <w:top w:val="single" w:color="auto" w:sz="4" w:space="0"/>
              <w:left w:val="single" w:color="auto" w:sz="4" w:space="0"/>
              <w:bottom w:val="single" w:color="auto" w:sz="4" w:space="0"/>
              <w:right w:val="single" w:color="auto" w:sz="4" w:space="0"/>
            </w:tcBorders>
            <w:vAlign w:val="center"/>
          </w:tcPr>
          <w:p w14:paraId="2CAF787C">
            <w:pPr>
              <w:spacing w:line="440" w:lineRule="exact"/>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1359" w:type="dxa"/>
            <w:tcBorders>
              <w:top w:val="single" w:color="auto" w:sz="4" w:space="0"/>
              <w:left w:val="single" w:color="auto" w:sz="4" w:space="0"/>
              <w:bottom w:val="single" w:color="auto" w:sz="4" w:space="0"/>
              <w:right w:val="single" w:color="auto" w:sz="4" w:space="0"/>
            </w:tcBorders>
            <w:vAlign w:val="center"/>
          </w:tcPr>
          <w:p w14:paraId="74FD8110">
            <w:pPr>
              <w:jc w:val="center"/>
              <w:rPr>
                <w:rFonts w:ascii="Arial" w:hAnsi="Arial" w:eastAsia="宋体" w:cs="Arial"/>
                <w:color w:val="auto"/>
                <w:szCs w:val="21"/>
                <w:highlight w:val="none"/>
              </w:rPr>
            </w:pPr>
          </w:p>
        </w:tc>
        <w:tc>
          <w:tcPr>
            <w:tcW w:w="1900" w:type="dxa"/>
            <w:tcBorders>
              <w:top w:val="single" w:color="auto" w:sz="4" w:space="0"/>
              <w:left w:val="single" w:color="auto" w:sz="4" w:space="0"/>
              <w:bottom w:val="single" w:color="auto" w:sz="4" w:space="0"/>
              <w:right w:val="single" w:color="auto" w:sz="4" w:space="0"/>
            </w:tcBorders>
            <w:vAlign w:val="center"/>
          </w:tcPr>
          <w:p w14:paraId="3272F1F6">
            <w:pPr>
              <w:spacing w:line="360" w:lineRule="auto"/>
              <w:rPr>
                <w:rFonts w:ascii="Arial" w:hAnsi="Arial" w:eastAsia="宋体" w:cs="Arial"/>
                <w:color w:val="auto"/>
                <w:szCs w:val="21"/>
                <w:highlight w:val="none"/>
              </w:rPr>
            </w:pPr>
          </w:p>
        </w:tc>
        <w:tc>
          <w:tcPr>
            <w:tcW w:w="2120" w:type="dxa"/>
            <w:tcBorders>
              <w:top w:val="single" w:color="auto" w:sz="4" w:space="0"/>
              <w:left w:val="single" w:color="auto" w:sz="4" w:space="0"/>
              <w:bottom w:val="single" w:color="auto" w:sz="4" w:space="0"/>
              <w:right w:val="single" w:color="auto" w:sz="4" w:space="0"/>
            </w:tcBorders>
            <w:vAlign w:val="center"/>
          </w:tcPr>
          <w:p w14:paraId="2AA59EBE">
            <w:pPr>
              <w:jc w:val="center"/>
              <w:rPr>
                <w:rFonts w:ascii="Arial" w:hAnsi="Arial" w:eastAsia="宋体" w:cs="Arial"/>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14:paraId="501AE7F6">
            <w:pPr>
              <w:jc w:val="center"/>
              <w:rPr>
                <w:rFonts w:ascii="Arial" w:hAnsi="Arial" w:eastAsia="宋体" w:cs="Arial"/>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50DE47AF">
            <w:pPr>
              <w:jc w:val="center"/>
              <w:rPr>
                <w:rFonts w:ascii="Arial" w:hAnsi="Arial" w:eastAsia="宋体" w:cs="Arial"/>
                <w:color w:val="auto"/>
                <w:szCs w:val="21"/>
                <w:highlight w:val="none"/>
              </w:rPr>
            </w:pPr>
          </w:p>
        </w:tc>
        <w:tc>
          <w:tcPr>
            <w:tcW w:w="1330" w:type="dxa"/>
            <w:tcBorders>
              <w:top w:val="single" w:color="auto" w:sz="4" w:space="0"/>
              <w:left w:val="single" w:color="auto" w:sz="4" w:space="0"/>
              <w:bottom w:val="single" w:color="auto" w:sz="4" w:space="0"/>
              <w:right w:val="single" w:color="auto" w:sz="4" w:space="0"/>
            </w:tcBorders>
            <w:vAlign w:val="center"/>
          </w:tcPr>
          <w:p w14:paraId="4421999B">
            <w:pPr>
              <w:spacing w:line="300" w:lineRule="exact"/>
              <w:jc w:val="center"/>
              <w:rPr>
                <w:rFonts w:ascii="Arial" w:hAnsi="Arial" w:eastAsia="宋体" w:cs="Arial"/>
                <w:b/>
                <w:bCs/>
                <w:color w:val="auto"/>
                <w:highlight w:val="none"/>
              </w:rPr>
            </w:pPr>
          </w:p>
        </w:tc>
        <w:tc>
          <w:tcPr>
            <w:tcW w:w="1370" w:type="dxa"/>
            <w:tcBorders>
              <w:top w:val="single" w:color="auto" w:sz="4" w:space="0"/>
              <w:left w:val="single" w:color="auto" w:sz="4" w:space="0"/>
              <w:bottom w:val="single" w:color="auto" w:sz="4" w:space="0"/>
            </w:tcBorders>
            <w:vAlign w:val="center"/>
          </w:tcPr>
          <w:p w14:paraId="0DBD9CFF">
            <w:pPr>
              <w:spacing w:line="300" w:lineRule="exact"/>
              <w:jc w:val="center"/>
              <w:rPr>
                <w:rFonts w:ascii="Arial" w:hAnsi="Arial" w:eastAsia="宋体" w:cs="Arial"/>
                <w:b/>
                <w:bCs/>
                <w:color w:val="auto"/>
                <w:highlight w:val="none"/>
              </w:rPr>
            </w:pPr>
          </w:p>
        </w:tc>
      </w:tr>
      <w:tr w14:paraId="3816D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800" w:type="dxa"/>
            <w:tcBorders>
              <w:top w:val="single" w:color="auto" w:sz="4" w:space="0"/>
              <w:left w:val="single" w:color="auto" w:sz="4" w:space="0"/>
              <w:bottom w:val="single" w:color="auto" w:sz="4" w:space="0"/>
              <w:right w:val="single" w:color="auto" w:sz="4" w:space="0"/>
            </w:tcBorders>
            <w:vAlign w:val="center"/>
          </w:tcPr>
          <w:p w14:paraId="07E53473">
            <w:pPr>
              <w:spacing w:line="440" w:lineRule="exact"/>
              <w:jc w:val="center"/>
              <w:rPr>
                <w:rFonts w:ascii="Arial" w:hAnsi="Arial" w:eastAsia="宋体" w:cs="Arial"/>
                <w:color w:val="auto"/>
                <w:szCs w:val="21"/>
                <w:highlight w:val="none"/>
              </w:rPr>
            </w:pPr>
            <w:r>
              <w:rPr>
                <w:rFonts w:ascii="Arial" w:hAnsi="Arial" w:eastAsia="宋体" w:cs="Arial"/>
                <w:color w:val="auto"/>
                <w:szCs w:val="21"/>
                <w:highlight w:val="none"/>
              </w:rPr>
              <w:t>2</w:t>
            </w:r>
          </w:p>
        </w:tc>
        <w:tc>
          <w:tcPr>
            <w:tcW w:w="1359" w:type="dxa"/>
            <w:tcBorders>
              <w:top w:val="single" w:color="auto" w:sz="4" w:space="0"/>
              <w:left w:val="single" w:color="auto" w:sz="4" w:space="0"/>
              <w:bottom w:val="single" w:color="auto" w:sz="4" w:space="0"/>
              <w:right w:val="single" w:color="auto" w:sz="4" w:space="0"/>
            </w:tcBorders>
            <w:vAlign w:val="center"/>
          </w:tcPr>
          <w:p w14:paraId="6BED2032">
            <w:pPr>
              <w:jc w:val="center"/>
              <w:rPr>
                <w:rFonts w:ascii="Arial" w:hAnsi="Arial" w:eastAsia="宋体" w:cs="Arial"/>
                <w:color w:val="auto"/>
                <w:szCs w:val="21"/>
                <w:highlight w:val="none"/>
              </w:rPr>
            </w:pPr>
          </w:p>
        </w:tc>
        <w:tc>
          <w:tcPr>
            <w:tcW w:w="1900" w:type="dxa"/>
            <w:tcBorders>
              <w:top w:val="single" w:color="auto" w:sz="4" w:space="0"/>
              <w:left w:val="single" w:color="auto" w:sz="4" w:space="0"/>
              <w:bottom w:val="single" w:color="auto" w:sz="4" w:space="0"/>
              <w:right w:val="single" w:color="auto" w:sz="4" w:space="0"/>
            </w:tcBorders>
            <w:vAlign w:val="center"/>
          </w:tcPr>
          <w:p w14:paraId="12C48EBB">
            <w:pPr>
              <w:spacing w:line="360" w:lineRule="auto"/>
              <w:rPr>
                <w:rFonts w:ascii="Arial" w:hAnsi="Arial" w:eastAsia="宋体" w:cs="Arial"/>
                <w:color w:val="auto"/>
                <w:szCs w:val="21"/>
                <w:highlight w:val="none"/>
              </w:rPr>
            </w:pPr>
          </w:p>
        </w:tc>
        <w:tc>
          <w:tcPr>
            <w:tcW w:w="2120" w:type="dxa"/>
            <w:tcBorders>
              <w:top w:val="single" w:color="auto" w:sz="4" w:space="0"/>
              <w:left w:val="single" w:color="auto" w:sz="4" w:space="0"/>
              <w:bottom w:val="single" w:color="auto" w:sz="4" w:space="0"/>
              <w:right w:val="single" w:color="auto" w:sz="4" w:space="0"/>
            </w:tcBorders>
            <w:vAlign w:val="center"/>
          </w:tcPr>
          <w:p w14:paraId="71DB2668">
            <w:pPr>
              <w:jc w:val="center"/>
              <w:rPr>
                <w:rFonts w:ascii="Arial" w:hAnsi="Arial" w:eastAsia="宋体" w:cs="Arial"/>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14:paraId="2A28AD33">
            <w:pPr>
              <w:jc w:val="center"/>
              <w:rPr>
                <w:rFonts w:ascii="Arial" w:hAnsi="Arial" w:eastAsia="宋体" w:cs="Arial"/>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09F07AC3">
            <w:pPr>
              <w:jc w:val="center"/>
              <w:rPr>
                <w:rFonts w:ascii="Arial" w:hAnsi="Arial" w:eastAsia="宋体" w:cs="Arial"/>
                <w:color w:val="auto"/>
                <w:szCs w:val="21"/>
                <w:highlight w:val="none"/>
              </w:rPr>
            </w:pPr>
          </w:p>
        </w:tc>
        <w:tc>
          <w:tcPr>
            <w:tcW w:w="1330" w:type="dxa"/>
            <w:tcBorders>
              <w:top w:val="single" w:color="auto" w:sz="4" w:space="0"/>
              <w:left w:val="single" w:color="auto" w:sz="4" w:space="0"/>
              <w:bottom w:val="single" w:color="auto" w:sz="4" w:space="0"/>
              <w:right w:val="single" w:color="auto" w:sz="4" w:space="0"/>
            </w:tcBorders>
            <w:vAlign w:val="center"/>
          </w:tcPr>
          <w:p w14:paraId="1CA4DE23">
            <w:pPr>
              <w:spacing w:line="300" w:lineRule="exact"/>
              <w:jc w:val="center"/>
              <w:rPr>
                <w:rFonts w:ascii="Arial" w:hAnsi="Arial" w:eastAsia="宋体" w:cs="Arial"/>
                <w:b/>
                <w:bCs/>
                <w:color w:val="auto"/>
                <w:highlight w:val="none"/>
              </w:rPr>
            </w:pPr>
          </w:p>
        </w:tc>
        <w:tc>
          <w:tcPr>
            <w:tcW w:w="1370" w:type="dxa"/>
            <w:tcBorders>
              <w:top w:val="single" w:color="auto" w:sz="4" w:space="0"/>
              <w:left w:val="single" w:color="auto" w:sz="4" w:space="0"/>
              <w:bottom w:val="single" w:color="auto" w:sz="4" w:space="0"/>
            </w:tcBorders>
            <w:vAlign w:val="center"/>
          </w:tcPr>
          <w:p w14:paraId="46DEF8F9">
            <w:pPr>
              <w:spacing w:line="300" w:lineRule="exact"/>
              <w:jc w:val="center"/>
              <w:rPr>
                <w:rFonts w:ascii="Arial" w:hAnsi="Arial" w:eastAsia="宋体" w:cs="Arial"/>
                <w:b/>
                <w:bCs/>
                <w:color w:val="auto"/>
                <w:highlight w:val="none"/>
              </w:rPr>
            </w:pPr>
          </w:p>
        </w:tc>
      </w:tr>
      <w:tr w14:paraId="47FBF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800" w:type="dxa"/>
            <w:tcBorders>
              <w:top w:val="single" w:color="auto" w:sz="4" w:space="0"/>
              <w:left w:val="single" w:color="auto" w:sz="4" w:space="0"/>
              <w:bottom w:val="single" w:color="auto" w:sz="4" w:space="0"/>
              <w:right w:val="single" w:color="auto" w:sz="4" w:space="0"/>
            </w:tcBorders>
            <w:vAlign w:val="center"/>
          </w:tcPr>
          <w:p w14:paraId="5CE983FF">
            <w:pPr>
              <w:spacing w:line="440" w:lineRule="exact"/>
              <w:jc w:val="center"/>
              <w:rPr>
                <w:rFonts w:ascii="Arial" w:hAnsi="Arial" w:eastAsia="宋体" w:cs="Arial"/>
                <w:color w:val="auto"/>
                <w:szCs w:val="21"/>
                <w:highlight w:val="none"/>
              </w:rPr>
            </w:pPr>
            <w:r>
              <w:rPr>
                <w:rFonts w:ascii="Arial" w:hAnsi="Arial" w:eastAsia="宋体" w:cs="Arial"/>
                <w:color w:val="auto"/>
                <w:szCs w:val="21"/>
                <w:highlight w:val="none"/>
              </w:rPr>
              <w:t>...</w:t>
            </w:r>
          </w:p>
        </w:tc>
        <w:tc>
          <w:tcPr>
            <w:tcW w:w="1359" w:type="dxa"/>
            <w:tcBorders>
              <w:top w:val="single" w:color="auto" w:sz="4" w:space="0"/>
              <w:left w:val="single" w:color="auto" w:sz="4" w:space="0"/>
              <w:bottom w:val="single" w:color="auto" w:sz="4" w:space="0"/>
              <w:right w:val="single" w:color="auto" w:sz="4" w:space="0"/>
            </w:tcBorders>
            <w:vAlign w:val="center"/>
          </w:tcPr>
          <w:p w14:paraId="27E5A8F5">
            <w:pPr>
              <w:jc w:val="center"/>
              <w:rPr>
                <w:rFonts w:ascii="Arial" w:hAnsi="Arial" w:eastAsia="宋体" w:cs="Arial"/>
                <w:color w:val="auto"/>
                <w:szCs w:val="21"/>
                <w:highlight w:val="none"/>
              </w:rPr>
            </w:pPr>
          </w:p>
        </w:tc>
        <w:tc>
          <w:tcPr>
            <w:tcW w:w="1900" w:type="dxa"/>
            <w:tcBorders>
              <w:top w:val="single" w:color="auto" w:sz="4" w:space="0"/>
              <w:left w:val="single" w:color="auto" w:sz="4" w:space="0"/>
              <w:bottom w:val="single" w:color="auto" w:sz="4" w:space="0"/>
              <w:right w:val="single" w:color="auto" w:sz="4" w:space="0"/>
            </w:tcBorders>
            <w:vAlign w:val="center"/>
          </w:tcPr>
          <w:p w14:paraId="35EA413D">
            <w:pPr>
              <w:spacing w:line="360" w:lineRule="auto"/>
              <w:rPr>
                <w:rFonts w:ascii="Arial" w:hAnsi="Arial" w:eastAsia="宋体" w:cs="Arial"/>
                <w:color w:val="auto"/>
                <w:szCs w:val="21"/>
                <w:highlight w:val="none"/>
              </w:rPr>
            </w:pPr>
          </w:p>
        </w:tc>
        <w:tc>
          <w:tcPr>
            <w:tcW w:w="2120" w:type="dxa"/>
            <w:tcBorders>
              <w:top w:val="single" w:color="auto" w:sz="4" w:space="0"/>
              <w:left w:val="single" w:color="auto" w:sz="4" w:space="0"/>
              <w:bottom w:val="single" w:color="auto" w:sz="4" w:space="0"/>
              <w:right w:val="single" w:color="auto" w:sz="4" w:space="0"/>
            </w:tcBorders>
            <w:vAlign w:val="center"/>
          </w:tcPr>
          <w:p w14:paraId="5549AC20">
            <w:pPr>
              <w:jc w:val="center"/>
              <w:rPr>
                <w:rFonts w:ascii="Arial" w:hAnsi="Arial" w:eastAsia="宋体" w:cs="Arial"/>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14:paraId="34C067A2">
            <w:pPr>
              <w:jc w:val="center"/>
              <w:rPr>
                <w:rFonts w:ascii="Arial" w:hAnsi="Arial" w:eastAsia="宋体" w:cs="Arial"/>
                <w:color w:val="auto"/>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14:paraId="6F642491">
            <w:pPr>
              <w:jc w:val="center"/>
              <w:rPr>
                <w:rFonts w:ascii="Arial" w:hAnsi="Arial" w:eastAsia="宋体" w:cs="Arial"/>
                <w:color w:val="auto"/>
                <w:szCs w:val="21"/>
                <w:highlight w:val="none"/>
              </w:rPr>
            </w:pPr>
          </w:p>
        </w:tc>
        <w:tc>
          <w:tcPr>
            <w:tcW w:w="1330" w:type="dxa"/>
            <w:tcBorders>
              <w:top w:val="single" w:color="auto" w:sz="4" w:space="0"/>
              <w:left w:val="single" w:color="auto" w:sz="4" w:space="0"/>
              <w:bottom w:val="single" w:color="auto" w:sz="4" w:space="0"/>
              <w:right w:val="single" w:color="auto" w:sz="4" w:space="0"/>
            </w:tcBorders>
            <w:vAlign w:val="center"/>
          </w:tcPr>
          <w:p w14:paraId="3F76A8BC">
            <w:pPr>
              <w:spacing w:line="300" w:lineRule="exact"/>
              <w:jc w:val="center"/>
              <w:rPr>
                <w:rFonts w:ascii="Arial" w:hAnsi="Arial" w:eastAsia="宋体" w:cs="Arial"/>
                <w:b/>
                <w:bCs/>
                <w:color w:val="auto"/>
                <w:highlight w:val="none"/>
              </w:rPr>
            </w:pPr>
          </w:p>
        </w:tc>
        <w:tc>
          <w:tcPr>
            <w:tcW w:w="1370" w:type="dxa"/>
            <w:tcBorders>
              <w:top w:val="single" w:color="auto" w:sz="4" w:space="0"/>
              <w:left w:val="single" w:color="auto" w:sz="4" w:space="0"/>
              <w:bottom w:val="single" w:color="auto" w:sz="4" w:space="0"/>
            </w:tcBorders>
            <w:vAlign w:val="center"/>
          </w:tcPr>
          <w:p w14:paraId="33C504D8">
            <w:pPr>
              <w:spacing w:line="300" w:lineRule="exact"/>
              <w:jc w:val="center"/>
              <w:rPr>
                <w:rFonts w:ascii="Arial" w:hAnsi="Arial" w:eastAsia="宋体" w:cs="Arial"/>
                <w:b/>
                <w:bCs/>
                <w:color w:val="auto"/>
                <w:highlight w:val="none"/>
              </w:rPr>
            </w:pPr>
          </w:p>
        </w:tc>
      </w:tr>
      <w:tr w14:paraId="32667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109" w:type="dxa"/>
            <w:gridSpan w:val="7"/>
            <w:tcBorders>
              <w:top w:val="single" w:color="auto" w:sz="4" w:space="0"/>
              <w:left w:val="single" w:color="auto" w:sz="4" w:space="0"/>
              <w:right w:val="single" w:color="auto" w:sz="4" w:space="0"/>
            </w:tcBorders>
            <w:vAlign w:val="center"/>
          </w:tcPr>
          <w:p w14:paraId="7F0B3894">
            <w:pPr>
              <w:spacing w:line="300" w:lineRule="exact"/>
              <w:ind w:right="315"/>
              <w:jc w:val="right"/>
              <w:rPr>
                <w:rFonts w:ascii="Arial" w:hAnsi="Arial" w:eastAsia="宋体" w:cs="Arial"/>
                <w:bCs/>
                <w:color w:val="auto"/>
                <w:highlight w:val="none"/>
              </w:rPr>
            </w:pPr>
            <w:r>
              <w:rPr>
                <w:rFonts w:ascii="Arial" w:hAnsi="Arial" w:eastAsia="宋体" w:cs="Arial"/>
                <w:bCs/>
                <w:color w:val="auto"/>
                <w:highlight w:val="none"/>
              </w:rPr>
              <w:t>合计金额</w:t>
            </w:r>
          </w:p>
        </w:tc>
        <w:tc>
          <w:tcPr>
            <w:tcW w:w="1370" w:type="dxa"/>
            <w:tcBorders>
              <w:top w:val="single" w:color="auto" w:sz="4" w:space="0"/>
              <w:left w:val="single" w:color="auto" w:sz="4" w:space="0"/>
              <w:bottom w:val="single" w:color="auto" w:sz="4" w:space="0"/>
            </w:tcBorders>
            <w:vAlign w:val="center"/>
          </w:tcPr>
          <w:p w14:paraId="58EA010F">
            <w:pPr>
              <w:spacing w:line="300" w:lineRule="exact"/>
              <w:jc w:val="center"/>
              <w:rPr>
                <w:rFonts w:ascii="Arial" w:hAnsi="Arial" w:eastAsia="宋体" w:cs="Arial"/>
                <w:b/>
                <w:bCs/>
                <w:color w:val="auto"/>
                <w:highlight w:val="none"/>
              </w:rPr>
            </w:pPr>
          </w:p>
        </w:tc>
      </w:tr>
      <w:tr w14:paraId="1FB4E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0479" w:type="dxa"/>
            <w:gridSpan w:val="8"/>
            <w:tcBorders>
              <w:top w:val="single" w:color="auto" w:sz="4" w:space="0"/>
              <w:left w:val="single" w:color="auto" w:sz="4" w:space="0"/>
              <w:bottom w:val="single" w:color="auto" w:sz="4" w:space="0"/>
            </w:tcBorders>
            <w:vAlign w:val="center"/>
          </w:tcPr>
          <w:p w14:paraId="0FC8E3F4">
            <w:pPr>
              <w:spacing w:line="300" w:lineRule="exact"/>
              <w:rPr>
                <w:rFonts w:ascii="Arial" w:hAnsi="Arial" w:eastAsia="宋体" w:cs="Arial"/>
                <w:b/>
                <w:bCs/>
                <w:color w:val="auto"/>
                <w:highlight w:val="none"/>
              </w:rPr>
            </w:pPr>
            <w:r>
              <w:rPr>
                <w:rFonts w:ascii="Arial" w:hAnsi="Arial" w:eastAsia="宋体" w:cs="Arial"/>
                <w:color w:val="auto"/>
                <w:spacing w:val="-6"/>
                <w:highlight w:val="none"/>
              </w:rPr>
              <w:t>谈判</w:t>
            </w:r>
            <w:r>
              <w:rPr>
                <w:rFonts w:hint="eastAsia" w:ascii="Arial" w:hAnsi="Arial" w:eastAsia="宋体" w:cs="Arial"/>
                <w:color w:val="auto"/>
                <w:spacing w:val="-6"/>
                <w:highlight w:val="none"/>
              </w:rPr>
              <w:t>总</w:t>
            </w:r>
            <w:r>
              <w:rPr>
                <w:rFonts w:ascii="Arial" w:hAnsi="Arial" w:eastAsia="宋体" w:cs="Arial"/>
                <w:color w:val="auto"/>
                <w:spacing w:val="-6"/>
                <w:highlight w:val="none"/>
              </w:rPr>
              <w:t>报价（大写）：                                           元人民币（￥                      ）</w:t>
            </w:r>
          </w:p>
        </w:tc>
      </w:tr>
      <w:tr w14:paraId="5A3A7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0479" w:type="dxa"/>
            <w:gridSpan w:val="8"/>
            <w:tcBorders>
              <w:top w:val="single" w:color="auto" w:sz="4" w:space="0"/>
              <w:left w:val="single" w:color="auto" w:sz="4" w:space="0"/>
              <w:bottom w:val="single" w:color="auto" w:sz="4" w:space="0"/>
            </w:tcBorders>
            <w:vAlign w:val="center"/>
          </w:tcPr>
          <w:p w14:paraId="59731B85">
            <w:pPr>
              <w:spacing w:line="300" w:lineRule="exact"/>
              <w:rPr>
                <w:rFonts w:ascii="Arial" w:hAnsi="Arial" w:eastAsia="宋体" w:cs="Arial"/>
                <w:color w:val="auto"/>
                <w:spacing w:val="-6"/>
                <w:highlight w:val="none"/>
              </w:rPr>
            </w:pPr>
            <w:r>
              <w:rPr>
                <w:rFonts w:ascii="Arial" w:hAnsi="Arial" w:eastAsia="宋体" w:cs="Arial"/>
                <w:color w:val="auto"/>
                <w:spacing w:val="-6"/>
                <w:highlight w:val="none"/>
              </w:rPr>
              <w:t>交付时间及地点:</w:t>
            </w:r>
          </w:p>
        </w:tc>
      </w:tr>
      <w:tr w14:paraId="2B3A1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0479" w:type="dxa"/>
            <w:gridSpan w:val="8"/>
            <w:tcBorders>
              <w:top w:val="single" w:color="auto" w:sz="4" w:space="0"/>
              <w:left w:val="single" w:color="auto" w:sz="4" w:space="0"/>
              <w:bottom w:val="single" w:color="auto" w:sz="4" w:space="0"/>
            </w:tcBorders>
            <w:vAlign w:val="center"/>
          </w:tcPr>
          <w:p w14:paraId="778D5AF7">
            <w:pPr>
              <w:spacing w:line="300" w:lineRule="exact"/>
              <w:rPr>
                <w:rFonts w:ascii="Arial" w:hAnsi="Arial" w:eastAsia="宋体" w:cs="Arial"/>
                <w:color w:val="auto"/>
                <w:spacing w:val="-6"/>
                <w:highlight w:val="none"/>
              </w:rPr>
            </w:pPr>
            <w:r>
              <w:rPr>
                <w:rFonts w:ascii="Arial" w:hAnsi="Arial" w:eastAsia="宋体" w:cs="Arial"/>
                <w:color w:val="auto"/>
                <w:spacing w:val="-6"/>
                <w:highlight w:val="none"/>
              </w:rPr>
              <w:t>本项目响应有效期为响应文件递交截止时间之日起90天。</w:t>
            </w:r>
          </w:p>
        </w:tc>
      </w:tr>
      <w:tr w14:paraId="72E58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10479" w:type="dxa"/>
            <w:gridSpan w:val="8"/>
            <w:tcBorders>
              <w:top w:val="single" w:color="auto" w:sz="4" w:space="0"/>
              <w:left w:val="single" w:color="auto" w:sz="4" w:space="0"/>
              <w:bottom w:val="single" w:color="auto" w:sz="4" w:space="0"/>
            </w:tcBorders>
            <w:vAlign w:val="center"/>
          </w:tcPr>
          <w:p w14:paraId="3E4D197C">
            <w:pPr>
              <w:spacing w:line="300" w:lineRule="exact"/>
              <w:rPr>
                <w:rFonts w:ascii="Arial" w:hAnsi="Arial" w:eastAsia="宋体" w:cs="Arial"/>
                <w:color w:val="auto"/>
                <w:spacing w:val="-6"/>
                <w:highlight w:val="none"/>
              </w:rPr>
            </w:pPr>
            <w:r>
              <w:rPr>
                <w:rFonts w:ascii="Arial" w:hAnsi="Arial" w:eastAsia="宋体" w:cs="Arial"/>
                <w:color w:val="auto"/>
                <w:spacing w:val="-6"/>
                <w:highlight w:val="none"/>
              </w:rPr>
              <w:t>质保期：</w:t>
            </w:r>
          </w:p>
        </w:tc>
      </w:tr>
      <w:tr w14:paraId="7C7EC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10479" w:type="dxa"/>
            <w:gridSpan w:val="8"/>
            <w:tcBorders>
              <w:top w:val="single" w:color="auto" w:sz="4" w:space="0"/>
              <w:left w:val="single" w:color="auto" w:sz="4" w:space="0"/>
              <w:bottom w:val="single" w:color="auto" w:sz="4" w:space="0"/>
            </w:tcBorders>
            <w:vAlign w:val="center"/>
          </w:tcPr>
          <w:p w14:paraId="143818AC">
            <w:pPr>
              <w:spacing w:line="340" w:lineRule="exact"/>
              <w:rPr>
                <w:rFonts w:ascii="Arial" w:hAnsi="Arial" w:eastAsia="宋体" w:cs="Arial"/>
                <w:b/>
                <w:bCs/>
                <w:color w:val="auto"/>
                <w:highlight w:val="none"/>
              </w:rPr>
            </w:pPr>
            <w:r>
              <w:rPr>
                <w:rFonts w:ascii="Arial" w:hAnsi="Arial" w:eastAsia="宋体" w:cs="Arial"/>
                <w:color w:val="auto"/>
                <w:highlight w:val="none"/>
              </w:rPr>
              <w:t>说明：谈判报价指</w:t>
            </w:r>
            <w:r>
              <w:rPr>
                <w:rFonts w:hint="eastAsia" w:ascii="Arial" w:hAnsi="Arial" w:eastAsia="宋体" w:cs="Arial"/>
                <w:color w:val="auto"/>
                <w:highlight w:val="none"/>
              </w:rPr>
              <w:t>本次采购范围内货物货款、货物标准附件、备品备件、专用工具、包装、运输、装卸、保险、税金、货到就位以及安装、安装所需辅材、调试、培训、保修和和采购文件要求提供的所有伴随服务、工程等费用和税费，</w:t>
            </w:r>
            <w:r>
              <w:rPr>
                <w:rFonts w:ascii="Arial" w:hAnsi="Arial" w:eastAsia="宋体" w:cs="Arial"/>
                <w:color w:val="auto"/>
                <w:szCs w:val="21"/>
                <w:highlight w:val="none"/>
              </w:rPr>
              <w:t>采购人不再支付任何费用；验收过程中所产生的一切费用均由成交供应商承担；报价时应考虑相关费用</w:t>
            </w:r>
            <w:r>
              <w:rPr>
                <w:rFonts w:ascii="Arial" w:hAnsi="Arial" w:eastAsia="宋体" w:cs="Arial"/>
                <w:color w:val="auto"/>
                <w:highlight w:val="none"/>
              </w:rPr>
              <w:t>。</w:t>
            </w:r>
          </w:p>
        </w:tc>
      </w:tr>
    </w:tbl>
    <w:p w14:paraId="5B55C561">
      <w:pPr>
        <w:snapToGrid w:val="0"/>
        <w:spacing w:line="400" w:lineRule="exact"/>
        <w:jc w:val="left"/>
        <w:rPr>
          <w:rFonts w:ascii="Arial" w:hAnsi="Arial" w:eastAsia="宋体" w:cs="Arial"/>
          <w:color w:val="auto"/>
          <w:highlight w:val="none"/>
        </w:rPr>
      </w:pPr>
    </w:p>
    <w:p w14:paraId="441CCA4C">
      <w:pPr>
        <w:snapToGrid w:val="0"/>
        <w:spacing w:line="400" w:lineRule="exact"/>
        <w:jc w:val="left"/>
        <w:rPr>
          <w:rFonts w:ascii="Arial" w:hAnsi="Arial" w:eastAsia="宋体" w:cs="Arial"/>
          <w:color w:val="auto"/>
          <w:highlight w:val="none"/>
          <w:u w:val="single"/>
        </w:rPr>
      </w:pPr>
      <w:r>
        <w:rPr>
          <w:rFonts w:ascii="Arial" w:hAnsi="Arial" w:eastAsia="宋体" w:cs="Arial"/>
          <w:color w:val="auto"/>
          <w:highlight w:val="none"/>
        </w:rPr>
        <w:t>供应商（公章）：</w:t>
      </w:r>
      <w:r>
        <w:rPr>
          <w:rFonts w:ascii="Arial" w:hAnsi="Arial" w:eastAsia="宋体" w:cs="Arial"/>
          <w:color w:val="auto"/>
          <w:highlight w:val="none"/>
          <w:u w:val="single"/>
        </w:rPr>
        <w:t xml:space="preserve">                                         </w:t>
      </w:r>
    </w:p>
    <w:p w14:paraId="51F8D819">
      <w:pPr>
        <w:pStyle w:val="14"/>
        <w:spacing w:line="400" w:lineRule="exact"/>
        <w:jc w:val="left"/>
        <w:rPr>
          <w:rFonts w:ascii="Arial" w:hAnsi="Arial" w:eastAsia="宋体" w:cs="Arial"/>
          <w:color w:val="auto"/>
          <w:highlight w:val="none"/>
          <w:u w:val="single"/>
        </w:rPr>
      </w:pPr>
      <w:r>
        <w:rPr>
          <w:rFonts w:ascii="Arial" w:hAnsi="Arial" w:eastAsia="宋体" w:cs="Arial"/>
          <w:color w:val="auto"/>
          <w:highlight w:val="none"/>
        </w:rPr>
        <w:t>法定代表人、负责人或相应的委托代理人签字：</w:t>
      </w:r>
      <w:r>
        <w:rPr>
          <w:rFonts w:ascii="Arial" w:hAnsi="Arial" w:eastAsia="宋体" w:cs="Arial"/>
          <w:color w:val="auto"/>
          <w:highlight w:val="none"/>
          <w:u w:val="single"/>
        </w:rPr>
        <w:t xml:space="preserve">               </w:t>
      </w:r>
    </w:p>
    <w:p w14:paraId="5252DA28">
      <w:pPr>
        <w:pStyle w:val="14"/>
        <w:spacing w:line="340" w:lineRule="exact"/>
        <w:jc w:val="left"/>
        <w:rPr>
          <w:rFonts w:ascii="Arial" w:hAnsi="Arial" w:eastAsia="宋体" w:cs="Arial"/>
          <w:color w:val="auto"/>
          <w:highlight w:val="none"/>
        </w:rPr>
      </w:pPr>
      <w:r>
        <w:rPr>
          <w:rFonts w:ascii="Arial" w:hAnsi="Arial" w:eastAsia="宋体" w:cs="Arial"/>
          <w:color w:val="auto"/>
          <w:highlight w:val="none"/>
        </w:rPr>
        <w:t>日          期：</w:t>
      </w:r>
      <w:r>
        <w:rPr>
          <w:rFonts w:ascii="Arial" w:hAnsi="Arial" w:eastAsia="宋体" w:cs="Arial"/>
          <w:color w:val="auto"/>
          <w:highlight w:val="none"/>
          <w:u w:val="single"/>
        </w:rPr>
        <w:t xml:space="preserve">                             </w:t>
      </w:r>
    </w:p>
    <w:p w14:paraId="58B7C393">
      <w:pPr>
        <w:spacing w:line="340" w:lineRule="exact"/>
        <w:jc w:val="left"/>
        <w:rPr>
          <w:rFonts w:ascii="Arial" w:hAnsi="Arial" w:eastAsia="宋体" w:cs="Arial"/>
          <w:color w:val="auto"/>
          <w:highlight w:val="none"/>
        </w:rPr>
      </w:pPr>
    </w:p>
    <w:p w14:paraId="6808CCAA">
      <w:pPr>
        <w:tabs>
          <w:tab w:val="left" w:pos="1305"/>
        </w:tabs>
        <w:spacing w:line="360" w:lineRule="exact"/>
        <w:ind w:left="625" w:leftChars="98" w:hanging="420" w:hangingChars="200"/>
        <w:rPr>
          <w:rFonts w:ascii="Arial" w:hAnsi="Arial" w:eastAsia="宋体" w:cs="Arial"/>
          <w:bCs/>
          <w:color w:val="auto"/>
          <w:szCs w:val="21"/>
          <w:highlight w:val="none"/>
        </w:rPr>
      </w:pPr>
      <w:r>
        <w:rPr>
          <w:rFonts w:ascii="Arial" w:hAnsi="Arial" w:eastAsia="宋体" w:cs="Arial"/>
          <w:bCs/>
          <w:color w:val="auto"/>
          <w:szCs w:val="21"/>
          <w:highlight w:val="none"/>
        </w:rPr>
        <w:t>注</w:t>
      </w:r>
      <w:r>
        <w:rPr>
          <w:rFonts w:ascii="Arial" w:hAnsi="Arial" w:eastAsia="宋体" w:cs="Arial"/>
          <w:b/>
          <w:bCs/>
          <w:color w:val="auto"/>
          <w:szCs w:val="21"/>
          <w:highlight w:val="none"/>
        </w:rPr>
        <w:t>：</w:t>
      </w:r>
      <w:r>
        <w:rPr>
          <w:rFonts w:ascii="Arial" w:hAnsi="Arial" w:eastAsia="宋体" w:cs="Arial"/>
          <w:bCs/>
          <w:color w:val="auto"/>
          <w:szCs w:val="21"/>
          <w:highlight w:val="none"/>
        </w:rPr>
        <w:t>1.</w:t>
      </w:r>
      <w:r>
        <w:rPr>
          <w:rFonts w:ascii="Arial" w:hAnsi="Arial" w:eastAsia="宋体" w:cs="Arial"/>
          <w:color w:val="auto"/>
          <w:szCs w:val="21"/>
          <w:highlight w:val="none"/>
        </w:rPr>
        <w:t>供应商必须就“项目采购需求”中的所有内容作完整唯一报价，否则，其响应将被拒绝。</w:t>
      </w:r>
    </w:p>
    <w:p w14:paraId="5F936DC4">
      <w:pPr>
        <w:pStyle w:val="14"/>
        <w:spacing w:line="360" w:lineRule="exact"/>
        <w:ind w:firstLine="630" w:firstLineChars="300"/>
        <w:rPr>
          <w:rFonts w:ascii="Arial" w:hAnsi="Arial" w:eastAsia="宋体" w:cs="Arial"/>
          <w:color w:val="auto"/>
          <w:highlight w:val="none"/>
        </w:rPr>
      </w:pPr>
      <w:r>
        <w:rPr>
          <w:rFonts w:ascii="Arial" w:hAnsi="Arial" w:eastAsia="宋体" w:cs="Arial"/>
          <w:color w:val="auto"/>
          <w:highlight w:val="none"/>
        </w:rPr>
        <w:t>2.</w:t>
      </w:r>
      <w:r>
        <w:rPr>
          <w:rFonts w:ascii="Arial" w:hAnsi="Arial" w:eastAsia="宋体" w:cs="Arial"/>
          <w:color w:val="auto"/>
          <w:szCs w:val="21"/>
          <w:highlight w:val="none"/>
        </w:rPr>
        <w:t>供应商</w:t>
      </w:r>
      <w:r>
        <w:rPr>
          <w:rFonts w:ascii="Arial" w:hAnsi="Arial" w:eastAsia="宋体" w:cs="Arial"/>
          <w:color w:val="auto"/>
          <w:highlight w:val="none"/>
        </w:rPr>
        <w:t>应根据所提供的货物如实填写</w:t>
      </w:r>
      <w:r>
        <w:rPr>
          <w:rFonts w:ascii="Arial" w:hAnsi="Arial" w:eastAsia="宋体" w:cs="Arial"/>
          <w:color w:val="auto"/>
          <w:szCs w:val="21"/>
          <w:highlight w:val="none"/>
        </w:rPr>
        <w:t>谈判</w:t>
      </w:r>
      <w:r>
        <w:rPr>
          <w:rFonts w:ascii="Arial" w:hAnsi="Arial" w:eastAsia="宋体" w:cs="Arial"/>
          <w:color w:val="auto"/>
          <w:highlight w:val="none"/>
        </w:rPr>
        <w:t>报价表</w:t>
      </w:r>
      <w:r>
        <w:rPr>
          <w:rFonts w:ascii="Arial" w:hAnsi="Arial" w:eastAsia="宋体" w:cs="Arial"/>
          <w:bCs/>
          <w:color w:val="auto"/>
          <w:szCs w:val="21"/>
          <w:highlight w:val="none"/>
        </w:rPr>
        <w:t>的各项内容，否则，响应文件无效。</w:t>
      </w:r>
    </w:p>
    <w:p w14:paraId="4B1EA338">
      <w:pPr>
        <w:spacing w:line="360" w:lineRule="exact"/>
        <w:ind w:left="630" w:leftChars="300"/>
        <w:rPr>
          <w:rFonts w:ascii="Arial" w:hAnsi="Arial" w:eastAsia="宋体" w:cs="Arial"/>
          <w:bCs/>
          <w:color w:val="auto"/>
          <w:szCs w:val="21"/>
          <w:highlight w:val="none"/>
        </w:rPr>
      </w:pPr>
      <w:r>
        <w:rPr>
          <w:rFonts w:ascii="Arial" w:hAnsi="Arial" w:eastAsia="宋体" w:cs="Arial"/>
          <w:bCs/>
          <w:color w:val="auto"/>
          <w:szCs w:val="21"/>
          <w:highlight w:val="none"/>
        </w:rPr>
        <w:t>3.</w:t>
      </w:r>
      <w:r>
        <w:rPr>
          <w:rFonts w:ascii="Arial" w:hAnsi="Arial" w:eastAsia="宋体" w:cs="Arial"/>
          <w:color w:val="auto"/>
          <w:szCs w:val="21"/>
          <w:highlight w:val="none"/>
        </w:rPr>
        <w:t>谈判</w:t>
      </w:r>
      <w:r>
        <w:rPr>
          <w:rFonts w:ascii="Arial" w:hAnsi="Arial" w:eastAsia="宋体" w:cs="Arial"/>
          <w:bCs/>
          <w:color w:val="auto"/>
          <w:szCs w:val="21"/>
          <w:highlight w:val="none"/>
        </w:rPr>
        <w:t>报价表须由法定代表人（负责人)</w:t>
      </w:r>
      <w:r>
        <w:rPr>
          <w:rFonts w:ascii="Arial" w:hAnsi="Arial" w:eastAsia="宋体" w:cs="Arial"/>
          <w:color w:val="auto"/>
          <w:highlight w:val="none"/>
        </w:rPr>
        <w:t>或相应的委托代理人签字并加盖供应商公章。当本表由多页构成时，需逐页加盖供应商公章。</w:t>
      </w:r>
    </w:p>
    <w:p w14:paraId="2663D756">
      <w:pPr>
        <w:spacing w:line="360" w:lineRule="exact"/>
        <w:rPr>
          <w:rFonts w:ascii="Arial" w:hAnsi="Arial" w:eastAsia="宋体" w:cs="Arial"/>
          <w:color w:val="auto"/>
          <w:highlight w:val="none"/>
        </w:rPr>
        <w:sectPr>
          <w:pgSz w:w="11906" w:h="16838"/>
          <w:pgMar w:top="1440" w:right="935" w:bottom="1440" w:left="779" w:header="851" w:footer="992" w:gutter="0"/>
          <w:cols w:space="720" w:num="1"/>
          <w:docGrid w:type="linesAndChars" w:linePitch="312" w:charSpace="0"/>
        </w:sectPr>
      </w:pPr>
    </w:p>
    <w:p w14:paraId="72D03ACB">
      <w:pPr>
        <w:pStyle w:val="14"/>
        <w:spacing w:line="340" w:lineRule="exact"/>
        <w:rPr>
          <w:rFonts w:ascii="Arial" w:hAnsi="Arial" w:eastAsia="宋体" w:cs="Arial"/>
          <w:b/>
          <w:color w:val="auto"/>
          <w:sz w:val="28"/>
          <w:szCs w:val="28"/>
          <w:highlight w:val="none"/>
        </w:rPr>
      </w:pPr>
      <w:bookmarkStart w:id="36" w:name="_Toc31146"/>
      <w:bookmarkStart w:id="37" w:name="_Toc4669"/>
      <w:bookmarkStart w:id="38" w:name="_Toc20974"/>
      <w:r>
        <w:rPr>
          <w:rFonts w:ascii="Arial" w:hAnsi="Arial" w:eastAsia="宋体" w:cs="Arial"/>
          <w:b/>
          <w:color w:val="auto"/>
          <w:sz w:val="28"/>
          <w:szCs w:val="28"/>
          <w:highlight w:val="none"/>
        </w:rPr>
        <w:t>2.技术响应表（必须提供）</w:t>
      </w:r>
      <w:bookmarkEnd w:id="36"/>
      <w:bookmarkEnd w:id="37"/>
      <w:bookmarkEnd w:id="38"/>
    </w:p>
    <w:p w14:paraId="03D1F9E4">
      <w:pPr>
        <w:pStyle w:val="14"/>
        <w:ind w:firstLine="472" w:firstLineChars="147"/>
        <w:rPr>
          <w:rFonts w:ascii="Arial" w:hAnsi="Arial" w:eastAsia="宋体" w:cs="Arial"/>
          <w:b/>
          <w:color w:val="auto"/>
          <w:sz w:val="24"/>
          <w:szCs w:val="24"/>
          <w:highlight w:val="none"/>
        </w:rPr>
      </w:pPr>
      <w:bookmarkStart w:id="39" w:name="_Toc7329"/>
      <w:bookmarkStart w:id="40" w:name="_Toc19638"/>
      <w:bookmarkStart w:id="41" w:name="_Toc23422"/>
      <w:r>
        <w:rPr>
          <w:rFonts w:ascii="Arial" w:hAnsi="Arial" w:eastAsia="宋体" w:cs="Arial"/>
          <w:b/>
          <w:bCs/>
          <w:color w:val="auto"/>
          <w:sz w:val="32"/>
          <w:szCs w:val="32"/>
          <w:highlight w:val="none"/>
        </w:rPr>
        <w:t>附件：</w:t>
      </w:r>
      <w:bookmarkEnd w:id="39"/>
      <w:bookmarkEnd w:id="40"/>
      <w:bookmarkEnd w:id="41"/>
      <w:r>
        <w:rPr>
          <w:rFonts w:ascii="Arial" w:hAnsi="Arial" w:eastAsia="宋体" w:cs="Arial"/>
          <w:b/>
          <w:bCs/>
          <w:color w:val="auto"/>
          <w:sz w:val="32"/>
          <w:szCs w:val="32"/>
          <w:highlight w:val="none"/>
        </w:rPr>
        <w:t xml:space="preserve"> </w:t>
      </w:r>
      <w:r>
        <w:rPr>
          <w:rFonts w:ascii="Arial" w:hAnsi="Arial" w:eastAsia="宋体" w:cs="Arial"/>
          <w:b/>
          <w:color w:val="auto"/>
          <w:sz w:val="24"/>
          <w:szCs w:val="24"/>
          <w:highlight w:val="none"/>
        </w:rPr>
        <w:t xml:space="preserve">           </w:t>
      </w:r>
    </w:p>
    <w:p w14:paraId="5B67C2DD">
      <w:pPr>
        <w:pStyle w:val="14"/>
        <w:ind w:firstLine="472" w:firstLineChars="147"/>
        <w:jc w:val="center"/>
        <w:rPr>
          <w:rFonts w:ascii="Arial" w:hAnsi="Arial" w:eastAsia="宋体" w:cs="Arial"/>
          <w:b/>
          <w:bCs/>
          <w:color w:val="auto"/>
          <w:sz w:val="32"/>
          <w:highlight w:val="none"/>
        </w:rPr>
      </w:pPr>
      <w:r>
        <w:rPr>
          <w:rFonts w:ascii="Arial" w:hAnsi="Arial" w:eastAsia="宋体" w:cs="Arial"/>
          <w:b/>
          <w:bCs/>
          <w:color w:val="auto"/>
          <w:sz w:val="32"/>
          <w:highlight w:val="none"/>
        </w:rPr>
        <w:t>技术响应表（格式）</w:t>
      </w: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079"/>
        <w:gridCol w:w="2326"/>
        <w:gridCol w:w="1771"/>
        <w:gridCol w:w="2014"/>
      </w:tblGrid>
      <w:tr w14:paraId="0A1D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35" w:type="dxa"/>
            <w:vAlign w:val="center"/>
          </w:tcPr>
          <w:p w14:paraId="294E5186">
            <w:pPr>
              <w:pStyle w:val="14"/>
              <w:spacing w:line="400" w:lineRule="exact"/>
              <w:jc w:val="center"/>
              <w:rPr>
                <w:rFonts w:ascii="Arial" w:hAnsi="Arial" w:eastAsia="宋体" w:cs="Arial"/>
                <w:color w:val="auto"/>
                <w:highlight w:val="none"/>
              </w:rPr>
            </w:pPr>
            <w:r>
              <w:rPr>
                <w:rFonts w:ascii="Arial" w:hAnsi="Arial" w:eastAsia="宋体" w:cs="Arial"/>
                <w:color w:val="auto"/>
                <w:highlight w:val="none"/>
              </w:rPr>
              <w:t>项号</w:t>
            </w:r>
          </w:p>
        </w:tc>
        <w:tc>
          <w:tcPr>
            <w:tcW w:w="2079" w:type="dxa"/>
            <w:vAlign w:val="center"/>
          </w:tcPr>
          <w:p w14:paraId="7CA80EFF">
            <w:pPr>
              <w:pStyle w:val="14"/>
              <w:spacing w:line="400" w:lineRule="exact"/>
              <w:jc w:val="center"/>
              <w:rPr>
                <w:rFonts w:ascii="Arial" w:hAnsi="Arial" w:eastAsia="宋体" w:cs="Arial"/>
                <w:color w:val="auto"/>
                <w:highlight w:val="none"/>
              </w:rPr>
            </w:pPr>
            <w:r>
              <w:rPr>
                <w:rFonts w:ascii="Arial" w:hAnsi="Arial" w:eastAsia="宋体" w:cs="Arial"/>
                <w:color w:val="auto"/>
                <w:highlight w:val="none"/>
              </w:rPr>
              <w:t>货物服务名称</w:t>
            </w:r>
          </w:p>
        </w:tc>
        <w:tc>
          <w:tcPr>
            <w:tcW w:w="2326" w:type="dxa"/>
            <w:vAlign w:val="center"/>
          </w:tcPr>
          <w:p w14:paraId="5D79DD82">
            <w:pPr>
              <w:pStyle w:val="14"/>
              <w:spacing w:line="400" w:lineRule="exact"/>
              <w:jc w:val="center"/>
              <w:rPr>
                <w:rFonts w:ascii="Arial" w:hAnsi="Arial" w:eastAsia="宋体" w:cs="Arial"/>
                <w:color w:val="auto"/>
                <w:highlight w:val="none"/>
              </w:rPr>
            </w:pPr>
            <w:r>
              <w:rPr>
                <w:rFonts w:ascii="Arial" w:hAnsi="Arial" w:eastAsia="宋体" w:cs="Arial"/>
                <w:color w:val="auto"/>
                <w:highlight w:val="none"/>
              </w:rPr>
              <w:t>项目要求及技术需求</w:t>
            </w:r>
          </w:p>
        </w:tc>
        <w:tc>
          <w:tcPr>
            <w:tcW w:w="1771" w:type="dxa"/>
            <w:vAlign w:val="center"/>
          </w:tcPr>
          <w:p w14:paraId="0A3B8EA6">
            <w:pPr>
              <w:pStyle w:val="14"/>
              <w:spacing w:line="300" w:lineRule="exact"/>
              <w:jc w:val="center"/>
              <w:rPr>
                <w:rFonts w:ascii="Arial" w:hAnsi="Arial" w:eastAsia="宋体" w:cs="Arial"/>
                <w:color w:val="auto"/>
                <w:highlight w:val="none"/>
              </w:rPr>
            </w:pPr>
            <w:r>
              <w:rPr>
                <w:rFonts w:ascii="Arial" w:hAnsi="Arial" w:eastAsia="宋体" w:cs="Arial"/>
                <w:color w:val="auto"/>
                <w:szCs w:val="21"/>
                <w:highlight w:val="none"/>
              </w:rPr>
              <w:t>响应文件的响应情况</w:t>
            </w:r>
          </w:p>
        </w:tc>
        <w:tc>
          <w:tcPr>
            <w:tcW w:w="2014" w:type="dxa"/>
            <w:vAlign w:val="center"/>
          </w:tcPr>
          <w:p w14:paraId="0B51E24F">
            <w:pPr>
              <w:pStyle w:val="14"/>
              <w:spacing w:line="400" w:lineRule="exact"/>
              <w:jc w:val="center"/>
              <w:rPr>
                <w:rFonts w:ascii="Arial" w:hAnsi="Arial" w:eastAsia="宋体" w:cs="Arial"/>
                <w:color w:val="auto"/>
                <w:highlight w:val="none"/>
              </w:rPr>
            </w:pPr>
            <w:bookmarkStart w:id="42" w:name="_Toc254970560"/>
            <w:bookmarkStart w:id="43" w:name="_Toc254970701"/>
            <w:r>
              <w:rPr>
                <w:rFonts w:ascii="Arial" w:hAnsi="Arial" w:eastAsia="宋体" w:cs="Arial"/>
                <w:color w:val="auto"/>
                <w:highlight w:val="none"/>
              </w:rPr>
              <w:t>偏离情况</w:t>
            </w:r>
            <w:bookmarkEnd w:id="42"/>
            <w:bookmarkEnd w:id="43"/>
            <w:r>
              <w:rPr>
                <w:rFonts w:ascii="Arial" w:hAnsi="Arial" w:eastAsia="宋体" w:cs="Arial"/>
                <w:color w:val="auto"/>
                <w:highlight w:val="none"/>
              </w:rPr>
              <w:t>说明</w:t>
            </w:r>
          </w:p>
        </w:tc>
      </w:tr>
      <w:tr w14:paraId="01F2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14:paraId="5FEE2D09">
            <w:pPr>
              <w:spacing w:line="340" w:lineRule="exact"/>
              <w:jc w:val="center"/>
              <w:rPr>
                <w:rFonts w:ascii="Arial" w:hAnsi="Arial" w:eastAsia="宋体" w:cs="Arial"/>
                <w:color w:val="auto"/>
                <w:szCs w:val="21"/>
                <w:highlight w:val="none"/>
              </w:rPr>
            </w:pPr>
            <w:r>
              <w:rPr>
                <w:rFonts w:ascii="Arial" w:hAnsi="Arial" w:eastAsia="宋体" w:cs="Arial"/>
                <w:color w:val="auto"/>
                <w:szCs w:val="21"/>
                <w:highlight w:val="none"/>
              </w:rPr>
              <w:t>1</w:t>
            </w:r>
          </w:p>
        </w:tc>
        <w:tc>
          <w:tcPr>
            <w:tcW w:w="2079" w:type="dxa"/>
            <w:vAlign w:val="center"/>
          </w:tcPr>
          <w:p w14:paraId="45CE5AF7">
            <w:pPr>
              <w:jc w:val="center"/>
              <w:rPr>
                <w:rFonts w:ascii="Arial" w:hAnsi="Arial" w:eastAsia="宋体" w:cs="Arial"/>
                <w:color w:val="auto"/>
                <w:szCs w:val="21"/>
                <w:highlight w:val="none"/>
              </w:rPr>
            </w:pPr>
          </w:p>
        </w:tc>
        <w:tc>
          <w:tcPr>
            <w:tcW w:w="2326" w:type="dxa"/>
            <w:vAlign w:val="center"/>
          </w:tcPr>
          <w:p w14:paraId="691DD7E9">
            <w:pPr>
              <w:rPr>
                <w:rFonts w:ascii="Arial" w:hAnsi="Arial" w:eastAsia="宋体" w:cs="Arial"/>
                <w:color w:val="auto"/>
                <w:highlight w:val="none"/>
              </w:rPr>
            </w:pPr>
          </w:p>
        </w:tc>
        <w:tc>
          <w:tcPr>
            <w:tcW w:w="1771" w:type="dxa"/>
          </w:tcPr>
          <w:p w14:paraId="1AE9AF12">
            <w:pPr>
              <w:pStyle w:val="14"/>
              <w:spacing w:line="600" w:lineRule="exact"/>
              <w:jc w:val="center"/>
              <w:rPr>
                <w:rFonts w:ascii="Arial" w:hAnsi="Arial" w:eastAsia="宋体" w:cs="Arial"/>
                <w:color w:val="auto"/>
                <w:highlight w:val="none"/>
              </w:rPr>
            </w:pPr>
          </w:p>
        </w:tc>
        <w:tc>
          <w:tcPr>
            <w:tcW w:w="2014" w:type="dxa"/>
            <w:vAlign w:val="center"/>
          </w:tcPr>
          <w:p w14:paraId="5E086885">
            <w:pPr>
              <w:pStyle w:val="14"/>
              <w:spacing w:line="600" w:lineRule="exact"/>
              <w:jc w:val="center"/>
              <w:rPr>
                <w:rFonts w:ascii="Arial" w:hAnsi="Arial" w:eastAsia="宋体" w:cs="Arial"/>
                <w:color w:val="auto"/>
                <w:highlight w:val="none"/>
              </w:rPr>
            </w:pPr>
          </w:p>
        </w:tc>
      </w:tr>
      <w:tr w14:paraId="3DD7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14:paraId="2929BF8B">
            <w:pPr>
              <w:spacing w:line="340" w:lineRule="exact"/>
              <w:jc w:val="center"/>
              <w:rPr>
                <w:rFonts w:ascii="Arial" w:hAnsi="Arial" w:eastAsia="宋体" w:cs="Arial"/>
                <w:color w:val="auto"/>
                <w:szCs w:val="21"/>
                <w:highlight w:val="none"/>
              </w:rPr>
            </w:pPr>
            <w:r>
              <w:rPr>
                <w:rFonts w:ascii="Arial" w:hAnsi="Arial" w:eastAsia="宋体" w:cs="Arial"/>
                <w:color w:val="auto"/>
                <w:szCs w:val="21"/>
                <w:highlight w:val="none"/>
              </w:rPr>
              <w:t>2</w:t>
            </w:r>
          </w:p>
        </w:tc>
        <w:tc>
          <w:tcPr>
            <w:tcW w:w="2079" w:type="dxa"/>
            <w:vAlign w:val="center"/>
          </w:tcPr>
          <w:p w14:paraId="588FCA42">
            <w:pPr>
              <w:jc w:val="center"/>
              <w:rPr>
                <w:rFonts w:ascii="Arial" w:hAnsi="Arial" w:eastAsia="宋体" w:cs="Arial"/>
                <w:color w:val="auto"/>
                <w:szCs w:val="21"/>
                <w:highlight w:val="none"/>
              </w:rPr>
            </w:pPr>
          </w:p>
        </w:tc>
        <w:tc>
          <w:tcPr>
            <w:tcW w:w="2326" w:type="dxa"/>
            <w:vAlign w:val="center"/>
          </w:tcPr>
          <w:p w14:paraId="6B8247E5">
            <w:pPr>
              <w:rPr>
                <w:rFonts w:ascii="Arial" w:hAnsi="Arial" w:eastAsia="宋体" w:cs="Arial"/>
                <w:color w:val="auto"/>
                <w:highlight w:val="none"/>
              </w:rPr>
            </w:pPr>
          </w:p>
        </w:tc>
        <w:tc>
          <w:tcPr>
            <w:tcW w:w="1771" w:type="dxa"/>
          </w:tcPr>
          <w:p w14:paraId="437F8992">
            <w:pPr>
              <w:pStyle w:val="14"/>
              <w:spacing w:line="600" w:lineRule="exact"/>
              <w:jc w:val="center"/>
              <w:rPr>
                <w:rFonts w:ascii="Arial" w:hAnsi="Arial" w:eastAsia="宋体" w:cs="Arial"/>
                <w:color w:val="auto"/>
                <w:highlight w:val="none"/>
              </w:rPr>
            </w:pPr>
          </w:p>
        </w:tc>
        <w:tc>
          <w:tcPr>
            <w:tcW w:w="2014" w:type="dxa"/>
            <w:vAlign w:val="center"/>
          </w:tcPr>
          <w:p w14:paraId="5D3431D9">
            <w:pPr>
              <w:pStyle w:val="14"/>
              <w:spacing w:line="600" w:lineRule="exact"/>
              <w:jc w:val="center"/>
              <w:rPr>
                <w:rFonts w:ascii="Arial" w:hAnsi="Arial" w:eastAsia="宋体" w:cs="Arial"/>
                <w:color w:val="auto"/>
                <w:highlight w:val="none"/>
              </w:rPr>
            </w:pPr>
          </w:p>
        </w:tc>
      </w:tr>
      <w:tr w14:paraId="0DAA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14:paraId="5D4E5052">
            <w:pPr>
              <w:spacing w:line="340" w:lineRule="exact"/>
              <w:jc w:val="center"/>
              <w:rPr>
                <w:rFonts w:ascii="Arial" w:hAnsi="Arial" w:eastAsia="宋体" w:cs="Arial"/>
                <w:color w:val="auto"/>
                <w:szCs w:val="21"/>
                <w:highlight w:val="none"/>
              </w:rPr>
            </w:pPr>
            <w:r>
              <w:rPr>
                <w:rFonts w:ascii="Arial" w:hAnsi="Arial" w:eastAsia="宋体" w:cs="Arial"/>
                <w:color w:val="auto"/>
                <w:szCs w:val="21"/>
                <w:highlight w:val="none"/>
              </w:rPr>
              <w:t>3</w:t>
            </w:r>
          </w:p>
        </w:tc>
        <w:tc>
          <w:tcPr>
            <w:tcW w:w="2079" w:type="dxa"/>
            <w:vAlign w:val="center"/>
          </w:tcPr>
          <w:p w14:paraId="1570D803">
            <w:pPr>
              <w:jc w:val="center"/>
              <w:rPr>
                <w:rFonts w:ascii="Arial" w:hAnsi="Arial" w:eastAsia="宋体" w:cs="Arial"/>
                <w:bCs/>
                <w:color w:val="auto"/>
                <w:szCs w:val="21"/>
                <w:highlight w:val="none"/>
              </w:rPr>
            </w:pPr>
          </w:p>
        </w:tc>
        <w:tc>
          <w:tcPr>
            <w:tcW w:w="2326" w:type="dxa"/>
            <w:vAlign w:val="center"/>
          </w:tcPr>
          <w:p w14:paraId="762DF8DB">
            <w:pPr>
              <w:rPr>
                <w:rFonts w:ascii="Arial" w:hAnsi="Arial" w:eastAsia="宋体" w:cs="Arial"/>
                <w:color w:val="auto"/>
                <w:highlight w:val="none"/>
              </w:rPr>
            </w:pPr>
          </w:p>
        </w:tc>
        <w:tc>
          <w:tcPr>
            <w:tcW w:w="1771" w:type="dxa"/>
          </w:tcPr>
          <w:p w14:paraId="13B3F2ED">
            <w:pPr>
              <w:pStyle w:val="14"/>
              <w:spacing w:line="600" w:lineRule="exact"/>
              <w:jc w:val="center"/>
              <w:rPr>
                <w:rFonts w:ascii="Arial" w:hAnsi="Arial" w:eastAsia="宋体" w:cs="Arial"/>
                <w:color w:val="auto"/>
                <w:highlight w:val="none"/>
              </w:rPr>
            </w:pPr>
          </w:p>
        </w:tc>
        <w:tc>
          <w:tcPr>
            <w:tcW w:w="2014" w:type="dxa"/>
            <w:vAlign w:val="center"/>
          </w:tcPr>
          <w:p w14:paraId="15CB871F">
            <w:pPr>
              <w:pStyle w:val="14"/>
              <w:spacing w:line="600" w:lineRule="exact"/>
              <w:jc w:val="center"/>
              <w:rPr>
                <w:rFonts w:ascii="Arial" w:hAnsi="Arial" w:eastAsia="宋体" w:cs="Arial"/>
                <w:color w:val="auto"/>
                <w:highlight w:val="none"/>
              </w:rPr>
            </w:pPr>
          </w:p>
        </w:tc>
      </w:tr>
      <w:tr w14:paraId="4231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14:paraId="4E1261F3">
            <w:pPr>
              <w:spacing w:line="340" w:lineRule="exact"/>
              <w:jc w:val="center"/>
              <w:rPr>
                <w:rFonts w:ascii="Arial" w:hAnsi="Arial" w:eastAsia="宋体" w:cs="Arial"/>
                <w:color w:val="auto"/>
                <w:szCs w:val="21"/>
                <w:highlight w:val="none"/>
              </w:rPr>
            </w:pPr>
            <w:r>
              <w:rPr>
                <w:rFonts w:ascii="Arial" w:hAnsi="Arial" w:eastAsia="宋体" w:cs="Arial"/>
                <w:color w:val="auto"/>
                <w:szCs w:val="21"/>
                <w:highlight w:val="none"/>
              </w:rPr>
              <w:t>...</w:t>
            </w:r>
          </w:p>
        </w:tc>
        <w:tc>
          <w:tcPr>
            <w:tcW w:w="2079" w:type="dxa"/>
            <w:vAlign w:val="center"/>
          </w:tcPr>
          <w:p w14:paraId="25242BE2">
            <w:pPr>
              <w:jc w:val="center"/>
              <w:rPr>
                <w:rFonts w:ascii="Arial" w:hAnsi="Arial" w:eastAsia="宋体" w:cs="Arial"/>
                <w:bCs/>
                <w:color w:val="auto"/>
                <w:szCs w:val="21"/>
                <w:highlight w:val="none"/>
              </w:rPr>
            </w:pPr>
          </w:p>
        </w:tc>
        <w:tc>
          <w:tcPr>
            <w:tcW w:w="2326" w:type="dxa"/>
            <w:vAlign w:val="center"/>
          </w:tcPr>
          <w:p w14:paraId="63793B18">
            <w:pPr>
              <w:rPr>
                <w:rFonts w:ascii="Arial" w:hAnsi="Arial" w:eastAsia="宋体" w:cs="Arial"/>
                <w:color w:val="auto"/>
                <w:highlight w:val="none"/>
              </w:rPr>
            </w:pPr>
          </w:p>
        </w:tc>
        <w:tc>
          <w:tcPr>
            <w:tcW w:w="1771" w:type="dxa"/>
          </w:tcPr>
          <w:p w14:paraId="1896807F">
            <w:pPr>
              <w:pStyle w:val="14"/>
              <w:spacing w:line="600" w:lineRule="exact"/>
              <w:jc w:val="center"/>
              <w:rPr>
                <w:rFonts w:ascii="Arial" w:hAnsi="Arial" w:eastAsia="宋体" w:cs="Arial"/>
                <w:color w:val="auto"/>
                <w:highlight w:val="none"/>
              </w:rPr>
            </w:pPr>
          </w:p>
        </w:tc>
        <w:tc>
          <w:tcPr>
            <w:tcW w:w="2014" w:type="dxa"/>
            <w:vAlign w:val="center"/>
          </w:tcPr>
          <w:p w14:paraId="33922D64">
            <w:pPr>
              <w:pStyle w:val="14"/>
              <w:spacing w:line="600" w:lineRule="exact"/>
              <w:jc w:val="center"/>
              <w:rPr>
                <w:rFonts w:ascii="Arial" w:hAnsi="Arial" w:eastAsia="宋体" w:cs="Arial"/>
                <w:color w:val="auto"/>
                <w:highlight w:val="none"/>
              </w:rPr>
            </w:pPr>
          </w:p>
        </w:tc>
      </w:tr>
      <w:tr w14:paraId="167A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14:paraId="123BCCE8">
            <w:pPr>
              <w:spacing w:line="340" w:lineRule="exact"/>
              <w:jc w:val="center"/>
              <w:rPr>
                <w:rFonts w:ascii="Arial" w:hAnsi="Arial" w:eastAsia="宋体" w:cs="Arial"/>
                <w:color w:val="auto"/>
                <w:szCs w:val="21"/>
                <w:highlight w:val="none"/>
              </w:rPr>
            </w:pPr>
            <w:r>
              <w:rPr>
                <w:rFonts w:ascii="Arial" w:hAnsi="Arial" w:eastAsia="宋体" w:cs="Arial"/>
                <w:color w:val="auto"/>
                <w:szCs w:val="21"/>
                <w:highlight w:val="none"/>
              </w:rPr>
              <w:t>...</w:t>
            </w:r>
          </w:p>
        </w:tc>
        <w:tc>
          <w:tcPr>
            <w:tcW w:w="2079" w:type="dxa"/>
            <w:vAlign w:val="center"/>
          </w:tcPr>
          <w:p w14:paraId="35EF6F0C">
            <w:pPr>
              <w:jc w:val="center"/>
              <w:rPr>
                <w:rFonts w:ascii="Arial" w:hAnsi="Arial" w:eastAsia="宋体" w:cs="Arial"/>
                <w:bCs/>
                <w:color w:val="auto"/>
                <w:szCs w:val="21"/>
                <w:highlight w:val="none"/>
              </w:rPr>
            </w:pPr>
          </w:p>
        </w:tc>
        <w:tc>
          <w:tcPr>
            <w:tcW w:w="2326" w:type="dxa"/>
            <w:vAlign w:val="center"/>
          </w:tcPr>
          <w:p w14:paraId="4C539C9A">
            <w:pPr>
              <w:rPr>
                <w:rFonts w:ascii="Arial" w:hAnsi="Arial" w:eastAsia="宋体" w:cs="Arial"/>
                <w:color w:val="auto"/>
                <w:highlight w:val="none"/>
              </w:rPr>
            </w:pPr>
          </w:p>
        </w:tc>
        <w:tc>
          <w:tcPr>
            <w:tcW w:w="1771" w:type="dxa"/>
          </w:tcPr>
          <w:p w14:paraId="3A1C1B06">
            <w:pPr>
              <w:pStyle w:val="14"/>
              <w:spacing w:line="600" w:lineRule="exact"/>
              <w:jc w:val="center"/>
              <w:rPr>
                <w:rFonts w:ascii="Arial" w:hAnsi="Arial" w:eastAsia="宋体" w:cs="Arial"/>
                <w:color w:val="auto"/>
                <w:highlight w:val="none"/>
              </w:rPr>
            </w:pPr>
          </w:p>
        </w:tc>
        <w:tc>
          <w:tcPr>
            <w:tcW w:w="2014" w:type="dxa"/>
            <w:vAlign w:val="center"/>
          </w:tcPr>
          <w:p w14:paraId="395AB0F9">
            <w:pPr>
              <w:pStyle w:val="14"/>
              <w:spacing w:line="600" w:lineRule="exact"/>
              <w:jc w:val="center"/>
              <w:rPr>
                <w:rFonts w:ascii="Arial" w:hAnsi="Arial" w:eastAsia="宋体" w:cs="Arial"/>
                <w:color w:val="auto"/>
                <w:highlight w:val="none"/>
              </w:rPr>
            </w:pPr>
          </w:p>
        </w:tc>
      </w:tr>
    </w:tbl>
    <w:p w14:paraId="72DC90AA">
      <w:pPr>
        <w:pStyle w:val="14"/>
        <w:rPr>
          <w:rFonts w:ascii="Arial" w:hAnsi="Arial" w:eastAsia="宋体" w:cs="Arial"/>
          <w:color w:val="auto"/>
          <w:highlight w:val="none"/>
          <w:u w:val="single"/>
        </w:rPr>
      </w:pPr>
    </w:p>
    <w:p w14:paraId="3DBC0E51">
      <w:pPr>
        <w:snapToGrid w:val="0"/>
        <w:spacing w:line="400" w:lineRule="exact"/>
        <w:ind w:firstLine="3570" w:firstLineChars="1700"/>
        <w:rPr>
          <w:rFonts w:ascii="Arial" w:hAnsi="Arial" w:eastAsia="宋体" w:cs="Arial"/>
          <w:color w:val="auto"/>
          <w:highlight w:val="none"/>
          <w:u w:val="single"/>
        </w:rPr>
      </w:pPr>
      <w:r>
        <w:rPr>
          <w:rFonts w:ascii="Arial" w:hAnsi="Arial" w:eastAsia="宋体" w:cs="Arial"/>
          <w:color w:val="auto"/>
          <w:highlight w:val="none"/>
        </w:rPr>
        <w:t>供应商（公章）：</w:t>
      </w:r>
      <w:r>
        <w:rPr>
          <w:rFonts w:ascii="Arial" w:hAnsi="Arial" w:eastAsia="宋体" w:cs="Arial"/>
          <w:color w:val="auto"/>
          <w:highlight w:val="none"/>
          <w:u w:val="single"/>
        </w:rPr>
        <w:t xml:space="preserve">                                         </w:t>
      </w:r>
    </w:p>
    <w:p w14:paraId="68A00FBF">
      <w:pPr>
        <w:pStyle w:val="14"/>
        <w:spacing w:line="400" w:lineRule="exact"/>
        <w:ind w:left="3570" w:leftChars="1700"/>
        <w:rPr>
          <w:rFonts w:ascii="Arial" w:hAnsi="Arial" w:eastAsia="宋体" w:cs="Arial"/>
          <w:color w:val="auto"/>
          <w:highlight w:val="none"/>
          <w:u w:val="single"/>
        </w:rPr>
      </w:pPr>
      <w:r>
        <w:rPr>
          <w:rFonts w:ascii="Arial" w:hAnsi="Arial" w:eastAsia="宋体" w:cs="Arial"/>
          <w:color w:val="auto"/>
          <w:highlight w:val="none"/>
        </w:rPr>
        <w:t>法定代表人、负责人或相应的委托代理人签字：</w:t>
      </w:r>
      <w:r>
        <w:rPr>
          <w:rFonts w:ascii="Arial" w:hAnsi="Arial" w:eastAsia="宋体" w:cs="Arial"/>
          <w:color w:val="auto"/>
          <w:highlight w:val="none"/>
          <w:u w:val="single"/>
        </w:rPr>
        <w:t xml:space="preserve">               </w:t>
      </w:r>
    </w:p>
    <w:p w14:paraId="253BEF2B">
      <w:pPr>
        <w:pStyle w:val="14"/>
        <w:spacing w:line="340" w:lineRule="exact"/>
        <w:ind w:firstLine="3570" w:firstLineChars="1700"/>
        <w:rPr>
          <w:rFonts w:ascii="Arial" w:hAnsi="Arial" w:eastAsia="宋体" w:cs="Arial"/>
          <w:color w:val="auto"/>
          <w:highlight w:val="none"/>
        </w:rPr>
      </w:pPr>
      <w:r>
        <w:rPr>
          <w:rFonts w:ascii="Arial" w:hAnsi="Arial" w:eastAsia="宋体" w:cs="Arial"/>
          <w:color w:val="auto"/>
          <w:highlight w:val="none"/>
        </w:rPr>
        <w:t>日          期：</w:t>
      </w:r>
      <w:r>
        <w:rPr>
          <w:rFonts w:ascii="Arial" w:hAnsi="Arial" w:eastAsia="宋体" w:cs="Arial"/>
          <w:color w:val="auto"/>
          <w:highlight w:val="none"/>
          <w:u w:val="single"/>
        </w:rPr>
        <w:t xml:space="preserve">                             </w:t>
      </w:r>
    </w:p>
    <w:p w14:paraId="2D4BE782">
      <w:pPr>
        <w:pStyle w:val="14"/>
        <w:spacing w:line="360" w:lineRule="exact"/>
        <w:ind w:left="420" w:hanging="420" w:hangingChars="200"/>
        <w:rPr>
          <w:rFonts w:ascii="Arial" w:hAnsi="Arial" w:eastAsia="宋体" w:cs="Arial"/>
          <w:bCs/>
          <w:color w:val="auto"/>
          <w:szCs w:val="21"/>
          <w:highlight w:val="none"/>
        </w:rPr>
      </w:pPr>
    </w:p>
    <w:p w14:paraId="6CD2E4FD">
      <w:pPr>
        <w:pStyle w:val="14"/>
        <w:spacing w:line="360" w:lineRule="exact"/>
        <w:ind w:left="420" w:hanging="420" w:hangingChars="200"/>
        <w:rPr>
          <w:rFonts w:ascii="Arial" w:hAnsi="Arial" w:eastAsia="宋体" w:cs="Arial"/>
          <w:bCs/>
          <w:color w:val="auto"/>
          <w:szCs w:val="21"/>
          <w:highlight w:val="none"/>
        </w:rPr>
      </w:pPr>
    </w:p>
    <w:p w14:paraId="6B17AB1C">
      <w:pPr>
        <w:pStyle w:val="14"/>
        <w:spacing w:line="360" w:lineRule="exact"/>
        <w:ind w:left="420" w:hanging="420" w:hangingChars="200"/>
        <w:rPr>
          <w:rFonts w:ascii="Arial" w:hAnsi="Arial" w:eastAsia="宋体" w:cs="Arial"/>
          <w:bCs/>
          <w:color w:val="auto"/>
          <w:szCs w:val="21"/>
          <w:highlight w:val="none"/>
        </w:rPr>
      </w:pPr>
      <w:r>
        <w:rPr>
          <w:rFonts w:ascii="Arial" w:hAnsi="Arial" w:eastAsia="宋体" w:cs="Arial"/>
          <w:bCs/>
          <w:color w:val="auto"/>
          <w:szCs w:val="21"/>
          <w:highlight w:val="none"/>
        </w:rPr>
        <w:t>注：1.</w:t>
      </w:r>
      <w:r>
        <w:rPr>
          <w:rFonts w:ascii="Arial" w:hAnsi="Arial" w:eastAsia="宋体" w:cs="Arial"/>
          <w:color w:val="auto"/>
          <w:highlight w:val="none"/>
        </w:rPr>
        <w:t xml:space="preserve"> 供应商应根据提供货物的性能指标承诺（即：谈判报价表）、对照“项目采购需求”详细注明响应情况，并按格式填写此表，当所提供货物的技术参数性能指标等承诺出现“正偏离”情况时，应详</w:t>
      </w:r>
      <w:r>
        <w:rPr>
          <w:rFonts w:ascii="Arial" w:hAnsi="Arial" w:eastAsia="宋体" w:cs="Arial"/>
          <w:bCs/>
          <w:color w:val="auto"/>
          <w:szCs w:val="21"/>
          <w:highlight w:val="none"/>
        </w:rPr>
        <w:t>细填写偏离情况说明及提供相应有效的证明材料；经谈判小组审核确定“正偏离”情况。</w:t>
      </w:r>
    </w:p>
    <w:p w14:paraId="30E766FE">
      <w:pPr>
        <w:pStyle w:val="14"/>
        <w:spacing w:line="400" w:lineRule="exact"/>
        <w:ind w:left="420" w:leftChars="200"/>
        <w:rPr>
          <w:rFonts w:ascii="Arial" w:hAnsi="Arial" w:eastAsia="宋体" w:cs="Arial"/>
          <w:bCs/>
          <w:color w:val="auto"/>
          <w:szCs w:val="21"/>
          <w:highlight w:val="none"/>
        </w:rPr>
      </w:pPr>
    </w:p>
    <w:p w14:paraId="502A3F32">
      <w:pPr>
        <w:adjustRightInd w:val="0"/>
        <w:spacing w:line="460" w:lineRule="exact"/>
        <w:rPr>
          <w:rFonts w:ascii="Arial" w:hAnsi="Arial" w:eastAsia="宋体" w:cs="Arial"/>
          <w:b/>
          <w:color w:val="auto"/>
          <w:sz w:val="28"/>
          <w:szCs w:val="28"/>
          <w:highlight w:val="none"/>
        </w:rPr>
      </w:pPr>
      <w:r>
        <w:rPr>
          <w:rFonts w:ascii="Arial" w:hAnsi="Arial" w:eastAsia="宋体" w:cs="Arial"/>
          <w:color w:val="auto"/>
          <w:highlight w:val="none"/>
        </w:rPr>
        <w:br w:type="page"/>
      </w:r>
      <w:r>
        <w:rPr>
          <w:rFonts w:ascii="Arial" w:hAnsi="Arial" w:eastAsia="宋体" w:cs="Arial"/>
          <w:b/>
          <w:color w:val="auto"/>
          <w:sz w:val="28"/>
          <w:szCs w:val="28"/>
          <w:highlight w:val="none"/>
        </w:rPr>
        <w:t>3.</w:t>
      </w:r>
      <w:r>
        <w:rPr>
          <w:rFonts w:ascii="Arial" w:hAnsi="Arial" w:eastAsia="宋体" w:cs="Arial"/>
          <w:color w:val="auto"/>
          <w:highlight w:val="none"/>
        </w:rPr>
        <w:t xml:space="preserve"> </w:t>
      </w:r>
      <w:r>
        <w:rPr>
          <w:rFonts w:ascii="Arial" w:hAnsi="Arial" w:eastAsia="宋体" w:cs="Arial"/>
          <w:b/>
          <w:color w:val="auto"/>
          <w:sz w:val="28"/>
          <w:szCs w:val="28"/>
          <w:highlight w:val="none"/>
        </w:rPr>
        <w:t>供应商的项目实施方案（必须提供）</w:t>
      </w:r>
    </w:p>
    <w:p w14:paraId="31129060">
      <w:pPr>
        <w:adjustRightInd w:val="0"/>
        <w:spacing w:line="460" w:lineRule="exact"/>
        <w:rPr>
          <w:rFonts w:ascii="Arial" w:hAnsi="Arial" w:eastAsia="宋体" w:cs="Arial"/>
          <w:b/>
          <w:bCs/>
          <w:color w:val="auto"/>
          <w:sz w:val="32"/>
          <w:szCs w:val="32"/>
          <w:highlight w:val="none"/>
        </w:rPr>
      </w:pPr>
      <w:bookmarkStart w:id="44" w:name="_Toc7206"/>
      <w:bookmarkStart w:id="45" w:name="_Toc24467"/>
      <w:bookmarkStart w:id="46" w:name="_Toc30843"/>
      <w:r>
        <w:rPr>
          <w:rFonts w:ascii="Arial" w:hAnsi="Arial" w:eastAsia="宋体" w:cs="Arial"/>
          <w:b/>
          <w:bCs/>
          <w:color w:val="auto"/>
          <w:sz w:val="32"/>
          <w:szCs w:val="32"/>
          <w:highlight w:val="none"/>
        </w:rPr>
        <w:t>附件：</w:t>
      </w:r>
      <w:bookmarkEnd w:id="44"/>
      <w:bookmarkEnd w:id="45"/>
      <w:bookmarkEnd w:id="46"/>
    </w:p>
    <w:p w14:paraId="72E01EBD">
      <w:pPr>
        <w:pStyle w:val="14"/>
        <w:ind w:firstLine="3213" w:firstLineChars="1000"/>
        <w:rPr>
          <w:rFonts w:ascii="Arial" w:hAnsi="Arial" w:eastAsia="宋体" w:cs="Arial"/>
          <w:b/>
          <w:bCs/>
          <w:color w:val="auto"/>
          <w:sz w:val="32"/>
          <w:szCs w:val="32"/>
          <w:highlight w:val="none"/>
        </w:rPr>
      </w:pPr>
      <w:r>
        <w:rPr>
          <w:rFonts w:ascii="Arial" w:hAnsi="Arial" w:eastAsia="宋体" w:cs="Arial"/>
          <w:b/>
          <w:bCs/>
          <w:color w:val="auto"/>
          <w:sz w:val="32"/>
          <w:szCs w:val="32"/>
          <w:highlight w:val="none"/>
        </w:rPr>
        <w:t>项目实施方案（格式）</w:t>
      </w:r>
    </w:p>
    <w:p w14:paraId="4213CD61">
      <w:pPr>
        <w:pStyle w:val="33"/>
        <w:rPr>
          <w:rFonts w:ascii="Arial" w:hAnsi="Arial" w:cs="Arial"/>
          <w:b/>
          <w:bCs w:val="0"/>
          <w:color w:val="auto"/>
          <w:sz w:val="28"/>
          <w:szCs w:val="28"/>
          <w:highlight w:val="none"/>
        </w:rPr>
      </w:pPr>
    </w:p>
    <w:p w14:paraId="7580D110">
      <w:pPr>
        <w:pStyle w:val="33"/>
        <w:rPr>
          <w:rFonts w:ascii="Arial" w:hAnsi="Arial" w:cs="Arial"/>
          <w:b/>
          <w:bCs w:val="0"/>
          <w:color w:val="auto"/>
          <w:sz w:val="28"/>
          <w:szCs w:val="28"/>
          <w:highlight w:val="none"/>
        </w:rPr>
      </w:pPr>
    </w:p>
    <w:p w14:paraId="47EA9349">
      <w:pPr>
        <w:snapToGrid w:val="0"/>
        <w:spacing w:line="400" w:lineRule="exact"/>
        <w:ind w:firstLine="3570" w:firstLineChars="1700"/>
        <w:rPr>
          <w:rFonts w:ascii="Arial" w:hAnsi="Arial" w:eastAsia="宋体" w:cs="Arial"/>
          <w:color w:val="auto"/>
          <w:highlight w:val="none"/>
          <w:u w:val="single"/>
        </w:rPr>
      </w:pPr>
      <w:r>
        <w:rPr>
          <w:rFonts w:ascii="Arial" w:hAnsi="Arial" w:eastAsia="宋体" w:cs="Arial"/>
          <w:color w:val="auto"/>
          <w:highlight w:val="none"/>
        </w:rPr>
        <w:t>供应商（公章）：</w:t>
      </w:r>
      <w:r>
        <w:rPr>
          <w:rFonts w:ascii="Arial" w:hAnsi="Arial" w:eastAsia="宋体" w:cs="Arial"/>
          <w:color w:val="auto"/>
          <w:highlight w:val="none"/>
          <w:u w:val="single"/>
        </w:rPr>
        <w:t xml:space="preserve">                                         </w:t>
      </w:r>
    </w:p>
    <w:p w14:paraId="56329D04">
      <w:pPr>
        <w:pStyle w:val="14"/>
        <w:spacing w:line="400" w:lineRule="exact"/>
        <w:ind w:left="3570" w:leftChars="1700"/>
        <w:rPr>
          <w:rFonts w:ascii="Arial" w:hAnsi="Arial" w:eastAsia="宋体" w:cs="Arial"/>
          <w:color w:val="auto"/>
          <w:highlight w:val="none"/>
          <w:u w:val="single"/>
        </w:rPr>
      </w:pPr>
      <w:r>
        <w:rPr>
          <w:rFonts w:ascii="Arial" w:hAnsi="Arial" w:eastAsia="宋体" w:cs="Arial"/>
          <w:color w:val="auto"/>
          <w:highlight w:val="none"/>
        </w:rPr>
        <w:t>法定代表人、负责人或相应的委托代理人签字：</w:t>
      </w:r>
      <w:r>
        <w:rPr>
          <w:rFonts w:ascii="Arial" w:hAnsi="Arial" w:eastAsia="宋体" w:cs="Arial"/>
          <w:color w:val="auto"/>
          <w:highlight w:val="none"/>
          <w:u w:val="single"/>
        </w:rPr>
        <w:t xml:space="preserve">               </w:t>
      </w:r>
    </w:p>
    <w:p w14:paraId="1F444486">
      <w:pPr>
        <w:pStyle w:val="14"/>
        <w:spacing w:line="340" w:lineRule="exact"/>
        <w:ind w:firstLine="3570" w:firstLineChars="1700"/>
        <w:rPr>
          <w:rFonts w:ascii="Arial" w:hAnsi="Arial" w:eastAsia="宋体" w:cs="Arial"/>
          <w:color w:val="auto"/>
          <w:highlight w:val="none"/>
        </w:rPr>
      </w:pPr>
      <w:r>
        <w:rPr>
          <w:rFonts w:ascii="Arial" w:hAnsi="Arial" w:eastAsia="宋体" w:cs="Arial"/>
          <w:color w:val="auto"/>
          <w:highlight w:val="none"/>
        </w:rPr>
        <w:t>日          期：</w:t>
      </w:r>
      <w:r>
        <w:rPr>
          <w:rFonts w:ascii="Arial" w:hAnsi="Arial" w:eastAsia="宋体" w:cs="Arial"/>
          <w:color w:val="auto"/>
          <w:highlight w:val="none"/>
          <w:u w:val="single"/>
        </w:rPr>
        <w:t xml:space="preserve">                             </w:t>
      </w:r>
    </w:p>
    <w:p w14:paraId="3BD355C9">
      <w:pPr>
        <w:pStyle w:val="14"/>
        <w:spacing w:line="340" w:lineRule="exact"/>
        <w:rPr>
          <w:rFonts w:ascii="Arial" w:hAnsi="Arial" w:eastAsia="宋体" w:cs="Arial"/>
          <w:b/>
          <w:color w:val="auto"/>
          <w:sz w:val="28"/>
          <w:szCs w:val="28"/>
          <w:highlight w:val="none"/>
        </w:rPr>
      </w:pPr>
    </w:p>
    <w:p w14:paraId="5ADE1228">
      <w:pPr>
        <w:pStyle w:val="14"/>
        <w:spacing w:line="340" w:lineRule="exact"/>
        <w:rPr>
          <w:rFonts w:ascii="Arial" w:hAnsi="Arial" w:eastAsia="宋体" w:cs="Arial"/>
          <w:b/>
          <w:color w:val="auto"/>
          <w:sz w:val="28"/>
          <w:szCs w:val="28"/>
          <w:highlight w:val="none"/>
        </w:rPr>
      </w:pPr>
    </w:p>
    <w:p w14:paraId="2C9C5E01">
      <w:pPr>
        <w:pStyle w:val="14"/>
        <w:spacing w:line="340" w:lineRule="exact"/>
        <w:rPr>
          <w:rFonts w:ascii="Arial" w:hAnsi="Arial" w:eastAsia="宋体" w:cs="Arial"/>
          <w:b/>
          <w:color w:val="auto"/>
          <w:sz w:val="28"/>
          <w:szCs w:val="28"/>
          <w:highlight w:val="none"/>
        </w:rPr>
      </w:pPr>
    </w:p>
    <w:p w14:paraId="2EFCEECF">
      <w:pPr>
        <w:pStyle w:val="14"/>
        <w:spacing w:line="340" w:lineRule="exact"/>
        <w:rPr>
          <w:rFonts w:ascii="Arial" w:hAnsi="Arial" w:eastAsia="宋体" w:cs="Arial"/>
          <w:b/>
          <w:color w:val="auto"/>
          <w:sz w:val="28"/>
          <w:szCs w:val="28"/>
          <w:highlight w:val="none"/>
        </w:rPr>
      </w:pPr>
    </w:p>
    <w:p w14:paraId="58A9FAB6">
      <w:pPr>
        <w:pStyle w:val="14"/>
        <w:spacing w:line="34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4.供应商的售后服务承诺书（必须提供）</w:t>
      </w:r>
    </w:p>
    <w:p w14:paraId="7B001B8C">
      <w:pPr>
        <w:pStyle w:val="14"/>
        <w:rPr>
          <w:rFonts w:ascii="Arial" w:hAnsi="Arial" w:eastAsia="宋体" w:cs="Arial"/>
          <w:b/>
          <w:bCs/>
          <w:color w:val="auto"/>
          <w:sz w:val="32"/>
          <w:szCs w:val="32"/>
          <w:highlight w:val="none"/>
        </w:rPr>
      </w:pPr>
      <w:bookmarkStart w:id="47" w:name="_Toc3847"/>
      <w:bookmarkStart w:id="48" w:name="_Toc9802"/>
      <w:bookmarkStart w:id="49" w:name="_Toc16312"/>
      <w:r>
        <w:rPr>
          <w:rFonts w:ascii="Arial" w:hAnsi="Arial" w:eastAsia="宋体" w:cs="Arial"/>
          <w:b/>
          <w:bCs/>
          <w:color w:val="auto"/>
          <w:sz w:val="32"/>
          <w:szCs w:val="32"/>
          <w:highlight w:val="none"/>
        </w:rPr>
        <w:t>附件：</w:t>
      </w:r>
      <w:bookmarkEnd w:id="47"/>
      <w:bookmarkEnd w:id="48"/>
      <w:bookmarkEnd w:id="49"/>
    </w:p>
    <w:p w14:paraId="0F563BF5">
      <w:pPr>
        <w:pStyle w:val="14"/>
        <w:ind w:firstLine="2731" w:firstLineChars="850"/>
        <w:rPr>
          <w:rFonts w:ascii="Arial" w:hAnsi="Arial" w:eastAsia="宋体" w:cs="Arial"/>
          <w:b/>
          <w:bCs/>
          <w:color w:val="auto"/>
          <w:sz w:val="32"/>
          <w:szCs w:val="32"/>
          <w:highlight w:val="none"/>
        </w:rPr>
      </w:pPr>
      <w:r>
        <w:rPr>
          <w:rFonts w:ascii="Arial" w:hAnsi="Arial" w:eastAsia="宋体" w:cs="Arial"/>
          <w:b/>
          <w:bCs/>
          <w:color w:val="auto"/>
          <w:sz w:val="32"/>
          <w:szCs w:val="32"/>
          <w:highlight w:val="none"/>
        </w:rPr>
        <w:t>售后服务承诺书（格式）</w:t>
      </w:r>
    </w:p>
    <w:p w14:paraId="74207964">
      <w:pPr>
        <w:pStyle w:val="14"/>
        <w:ind w:firstLine="2731" w:firstLineChars="850"/>
        <w:rPr>
          <w:rFonts w:ascii="Arial" w:hAnsi="Arial" w:eastAsia="宋体" w:cs="Arial"/>
          <w:b/>
          <w:bCs/>
          <w:color w:val="auto"/>
          <w:sz w:val="32"/>
          <w:szCs w:val="32"/>
          <w:highlight w:val="none"/>
        </w:rPr>
      </w:pPr>
    </w:p>
    <w:p w14:paraId="69A4869C">
      <w:pPr>
        <w:snapToGrid w:val="0"/>
        <w:spacing w:line="400" w:lineRule="exact"/>
        <w:rPr>
          <w:rFonts w:ascii="Arial" w:hAnsi="Arial" w:eastAsia="宋体" w:cs="Arial"/>
          <w:color w:val="auto"/>
          <w:kern w:val="0"/>
          <w:szCs w:val="21"/>
          <w:highlight w:val="none"/>
        </w:rPr>
      </w:pPr>
      <w:r>
        <w:rPr>
          <w:rFonts w:ascii="Arial" w:hAnsi="Arial" w:eastAsia="宋体" w:cs="Arial"/>
          <w:color w:val="auto"/>
          <w:kern w:val="0"/>
          <w:szCs w:val="21"/>
          <w:highlight w:val="none"/>
        </w:rPr>
        <w:t xml:space="preserve"> 1.三包及质保期要求：按国家有关产品“三包”规定执行“三包”，质保期</w:t>
      </w:r>
      <w:r>
        <w:rPr>
          <w:rFonts w:ascii="Arial" w:hAnsi="Arial" w:eastAsia="宋体" w:cs="Arial"/>
          <w:color w:val="auto"/>
          <w:kern w:val="0"/>
          <w:szCs w:val="21"/>
          <w:highlight w:val="none"/>
          <w:u w:val="single"/>
        </w:rPr>
        <w:t xml:space="preserve">        </w:t>
      </w:r>
      <w:r>
        <w:rPr>
          <w:rFonts w:ascii="Arial" w:hAnsi="Arial" w:eastAsia="宋体" w:cs="Arial"/>
          <w:color w:val="auto"/>
          <w:kern w:val="0"/>
          <w:szCs w:val="21"/>
          <w:highlight w:val="none"/>
        </w:rPr>
        <w:t>年（质保期从设备验收合格之日起计算，项目要求及技术需求中规定的，按规定执行）。</w:t>
      </w:r>
      <w:r>
        <w:rPr>
          <w:rFonts w:ascii="Arial" w:hAnsi="Arial" w:eastAsia="宋体" w:cs="Arial"/>
          <w:color w:val="auto"/>
          <w:highlight w:val="none"/>
        </w:rPr>
        <w:t>质保期内提供上门维修（免收维修费和元器件费）、更换零部件，并提供终身维修服务。</w:t>
      </w:r>
    </w:p>
    <w:p w14:paraId="1C24C38D">
      <w:pPr>
        <w:snapToGrid w:val="0"/>
        <w:spacing w:line="400" w:lineRule="exact"/>
        <w:ind w:firstLine="210" w:firstLineChars="100"/>
        <w:rPr>
          <w:rFonts w:ascii="Arial" w:hAnsi="Arial" w:eastAsia="宋体" w:cs="Arial"/>
          <w:color w:val="auto"/>
          <w:kern w:val="0"/>
          <w:szCs w:val="21"/>
          <w:highlight w:val="none"/>
        </w:rPr>
      </w:pPr>
      <w:r>
        <w:rPr>
          <w:rFonts w:ascii="Arial" w:hAnsi="Arial" w:eastAsia="宋体" w:cs="Arial"/>
          <w:color w:val="auto"/>
          <w:kern w:val="0"/>
          <w:szCs w:val="21"/>
          <w:highlight w:val="none"/>
        </w:rPr>
        <w:t>2.送货上门，按采购人要求安装调试，提供技术培训直至操作人员熟练操作产品的各项功能。</w:t>
      </w:r>
    </w:p>
    <w:p w14:paraId="10A5CF5A">
      <w:pPr>
        <w:snapToGrid w:val="0"/>
        <w:spacing w:line="400" w:lineRule="exact"/>
        <w:ind w:firstLine="210" w:firstLineChars="100"/>
        <w:rPr>
          <w:rFonts w:ascii="Arial" w:hAnsi="Arial" w:eastAsia="宋体" w:cs="Arial"/>
          <w:color w:val="auto"/>
          <w:kern w:val="0"/>
          <w:szCs w:val="21"/>
          <w:highlight w:val="none"/>
        </w:rPr>
      </w:pPr>
      <w:r>
        <w:rPr>
          <w:rFonts w:ascii="Arial" w:hAnsi="Arial" w:eastAsia="宋体" w:cs="Arial"/>
          <w:color w:val="auto"/>
          <w:kern w:val="0"/>
          <w:szCs w:val="21"/>
          <w:highlight w:val="none"/>
        </w:rPr>
        <w:t>3.售后服务要求：①质保期内接到报障电话在承诺时间内派工程技术人员上门维修解决问题，如果需要更换配件的，要求更换的配件应跟被更换的品牌、类型相一致或者是同类同档次的替代品，后者需征得</w:t>
      </w:r>
      <w:r>
        <w:rPr>
          <w:rFonts w:hint="eastAsia" w:ascii="Arial" w:hAnsi="Arial" w:eastAsia="宋体" w:cs="Arial"/>
          <w:color w:val="auto"/>
          <w:kern w:val="0"/>
          <w:szCs w:val="21"/>
          <w:highlight w:val="none"/>
        </w:rPr>
        <w:t>采购人</w:t>
      </w:r>
      <w:r>
        <w:rPr>
          <w:rFonts w:ascii="Arial" w:hAnsi="Arial" w:eastAsia="宋体" w:cs="Arial"/>
          <w:color w:val="auto"/>
          <w:kern w:val="0"/>
          <w:szCs w:val="21"/>
          <w:highlight w:val="none"/>
        </w:rPr>
        <w:t>方管理人员同意；②若产品自带软件的，则须提供质保期内不收取费用升级服务。③其余按厂家承诺执行。</w:t>
      </w:r>
    </w:p>
    <w:p w14:paraId="65A999AC">
      <w:pPr>
        <w:snapToGrid w:val="0"/>
        <w:spacing w:line="300" w:lineRule="exact"/>
        <w:ind w:firstLine="3570" w:firstLineChars="1700"/>
        <w:rPr>
          <w:rFonts w:ascii="Arial" w:hAnsi="Arial" w:eastAsia="宋体" w:cs="Arial"/>
          <w:color w:val="auto"/>
          <w:kern w:val="0"/>
          <w:szCs w:val="21"/>
          <w:highlight w:val="none"/>
        </w:rPr>
      </w:pPr>
    </w:p>
    <w:p w14:paraId="4A63B2BD">
      <w:pPr>
        <w:snapToGrid w:val="0"/>
        <w:spacing w:line="300" w:lineRule="exact"/>
        <w:ind w:firstLine="3570" w:firstLineChars="1700"/>
        <w:rPr>
          <w:rFonts w:ascii="Arial" w:hAnsi="Arial" w:eastAsia="宋体" w:cs="Arial"/>
          <w:color w:val="auto"/>
          <w:kern w:val="0"/>
          <w:szCs w:val="21"/>
          <w:highlight w:val="none"/>
        </w:rPr>
      </w:pPr>
    </w:p>
    <w:p w14:paraId="36FF2C86">
      <w:pPr>
        <w:snapToGrid w:val="0"/>
        <w:spacing w:line="400" w:lineRule="exact"/>
        <w:ind w:firstLine="3570" w:firstLineChars="1700"/>
        <w:rPr>
          <w:rFonts w:ascii="Arial" w:hAnsi="Arial" w:eastAsia="宋体" w:cs="Arial"/>
          <w:color w:val="auto"/>
          <w:highlight w:val="none"/>
          <w:u w:val="single"/>
        </w:rPr>
      </w:pPr>
      <w:r>
        <w:rPr>
          <w:rFonts w:ascii="Arial" w:hAnsi="Arial" w:eastAsia="宋体" w:cs="Arial"/>
          <w:color w:val="auto"/>
          <w:highlight w:val="none"/>
        </w:rPr>
        <w:t>供应商（公章）：</w:t>
      </w:r>
      <w:r>
        <w:rPr>
          <w:rFonts w:ascii="Arial" w:hAnsi="Arial" w:eastAsia="宋体" w:cs="Arial"/>
          <w:color w:val="auto"/>
          <w:highlight w:val="none"/>
          <w:u w:val="single"/>
        </w:rPr>
        <w:t xml:space="preserve">                                         </w:t>
      </w:r>
    </w:p>
    <w:p w14:paraId="0681D964">
      <w:pPr>
        <w:pStyle w:val="14"/>
        <w:spacing w:line="400" w:lineRule="exact"/>
        <w:ind w:left="3570" w:leftChars="1700"/>
        <w:rPr>
          <w:rFonts w:ascii="Arial" w:hAnsi="Arial" w:eastAsia="宋体" w:cs="Arial"/>
          <w:color w:val="auto"/>
          <w:highlight w:val="none"/>
          <w:u w:val="single"/>
        </w:rPr>
      </w:pPr>
      <w:r>
        <w:rPr>
          <w:rFonts w:ascii="Arial" w:hAnsi="Arial" w:eastAsia="宋体" w:cs="Arial"/>
          <w:color w:val="auto"/>
          <w:highlight w:val="none"/>
        </w:rPr>
        <w:t>法定代表人、负责人或相应的委托代理人签字：</w:t>
      </w:r>
      <w:r>
        <w:rPr>
          <w:rFonts w:ascii="Arial" w:hAnsi="Arial" w:eastAsia="宋体" w:cs="Arial"/>
          <w:color w:val="auto"/>
          <w:highlight w:val="none"/>
          <w:u w:val="single"/>
        </w:rPr>
        <w:t xml:space="preserve">               </w:t>
      </w:r>
    </w:p>
    <w:p w14:paraId="30AD5963">
      <w:pPr>
        <w:pStyle w:val="14"/>
        <w:spacing w:line="340" w:lineRule="exact"/>
        <w:ind w:firstLine="3570" w:firstLineChars="1700"/>
        <w:rPr>
          <w:rFonts w:ascii="Arial" w:hAnsi="Arial" w:eastAsia="宋体" w:cs="Arial"/>
          <w:color w:val="auto"/>
          <w:highlight w:val="none"/>
        </w:rPr>
      </w:pPr>
      <w:r>
        <w:rPr>
          <w:rFonts w:ascii="Arial" w:hAnsi="Arial" w:eastAsia="宋体" w:cs="Arial"/>
          <w:color w:val="auto"/>
          <w:highlight w:val="none"/>
        </w:rPr>
        <w:t>日          期：</w:t>
      </w:r>
      <w:r>
        <w:rPr>
          <w:rFonts w:ascii="Arial" w:hAnsi="Arial" w:eastAsia="宋体" w:cs="Arial"/>
          <w:color w:val="auto"/>
          <w:highlight w:val="none"/>
          <w:u w:val="single"/>
        </w:rPr>
        <w:t xml:space="preserve">                             </w:t>
      </w:r>
    </w:p>
    <w:p w14:paraId="791D9539">
      <w:pPr>
        <w:rPr>
          <w:rFonts w:ascii="Arial" w:hAnsi="Arial" w:eastAsia="宋体" w:cs="Arial"/>
          <w:b/>
          <w:color w:val="auto"/>
          <w:sz w:val="28"/>
          <w:szCs w:val="28"/>
          <w:highlight w:val="none"/>
        </w:rPr>
      </w:pPr>
      <w:r>
        <w:rPr>
          <w:rFonts w:ascii="Arial" w:hAnsi="Arial" w:eastAsia="宋体" w:cs="Arial"/>
          <w:b/>
          <w:color w:val="auto"/>
          <w:sz w:val="28"/>
          <w:szCs w:val="28"/>
          <w:highlight w:val="none"/>
        </w:rPr>
        <w:br w:type="page"/>
      </w:r>
    </w:p>
    <w:p w14:paraId="47C8C51F">
      <w:pPr>
        <w:pStyle w:val="14"/>
        <w:spacing w:line="34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5.商务响应表（必须提供）</w:t>
      </w:r>
    </w:p>
    <w:p w14:paraId="52113F34">
      <w:pPr>
        <w:pStyle w:val="14"/>
        <w:spacing w:line="340" w:lineRule="exact"/>
        <w:rPr>
          <w:rFonts w:ascii="Arial" w:hAnsi="Arial" w:eastAsia="宋体" w:cs="Arial"/>
          <w:b/>
          <w:color w:val="auto"/>
          <w:sz w:val="28"/>
          <w:szCs w:val="28"/>
          <w:highlight w:val="none"/>
        </w:rPr>
      </w:pPr>
    </w:p>
    <w:p w14:paraId="32B96609">
      <w:pPr>
        <w:pStyle w:val="14"/>
        <w:rPr>
          <w:rFonts w:ascii="Arial" w:hAnsi="Arial" w:eastAsia="宋体" w:cs="Arial"/>
          <w:b/>
          <w:bCs/>
          <w:color w:val="auto"/>
          <w:sz w:val="32"/>
          <w:szCs w:val="32"/>
          <w:highlight w:val="none"/>
        </w:rPr>
      </w:pPr>
      <w:bookmarkStart w:id="50" w:name="_Toc8710"/>
      <w:bookmarkStart w:id="51" w:name="_Toc11787"/>
      <w:bookmarkStart w:id="52" w:name="_Toc374"/>
      <w:r>
        <w:rPr>
          <w:rFonts w:ascii="Arial" w:hAnsi="Arial" w:eastAsia="宋体" w:cs="Arial"/>
          <w:b/>
          <w:bCs/>
          <w:color w:val="auto"/>
          <w:sz w:val="32"/>
          <w:szCs w:val="32"/>
          <w:highlight w:val="none"/>
        </w:rPr>
        <w:t>附件：</w:t>
      </w:r>
      <w:bookmarkEnd w:id="50"/>
      <w:bookmarkEnd w:id="51"/>
      <w:bookmarkEnd w:id="52"/>
    </w:p>
    <w:p w14:paraId="263A431D">
      <w:pPr>
        <w:pStyle w:val="14"/>
        <w:ind w:firstLine="2731" w:firstLineChars="850"/>
        <w:rPr>
          <w:rFonts w:ascii="Arial" w:hAnsi="Arial" w:eastAsia="宋体" w:cs="Arial"/>
          <w:b/>
          <w:bCs/>
          <w:color w:val="auto"/>
          <w:sz w:val="32"/>
          <w:szCs w:val="32"/>
          <w:highlight w:val="none"/>
        </w:rPr>
      </w:pPr>
      <w:r>
        <w:rPr>
          <w:rFonts w:ascii="Arial" w:hAnsi="Arial" w:eastAsia="宋体" w:cs="Arial"/>
          <w:b/>
          <w:bCs/>
          <w:color w:val="auto"/>
          <w:sz w:val="32"/>
          <w:szCs w:val="32"/>
          <w:highlight w:val="none"/>
        </w:rPr>
        <w:t>商务响应表（格式）</w:t>
      </w:r>
    </w:p>
    <w:p w14:paraId="4EE8F86F">
      <w:pPr>
        <w:pStyle w:val="7"/>
        <w:ind w:left="2940"/>
        <w:jc w:val="center"/>
        <w:rPr>
          <w:rFonts w:ascii="Arial" w:hAnsi="Arial" w:eastAsia="宋体" w:cs="Arial"/>
          <w:color w:val="auto"/>
          <w:highlight w:val="none"/>
        </w:rPr>
      </w:pPr>
      <w:r>
        <w:rPr>
          <w:rFonts w:ascii="Arial" w:hAnsi="Arial" w:eastAsia="宋体" w:cs="Arial"/>
          <w:b/>
          <w:color w:val="auto"/>
          <w:sz w:val="24"/>
          <w:highlight w:val="none"/>
        </w:rPr>
        <w:t xml:space="preserve">                     </w:t>
      </w:r>
    </w:p>
    <w:tbl>
      <w:tblPr>
        <w:tblStyle w:val="24"/>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8"/>
        <w:gridCol w:w="2962"/>
        <w:gridCol w:w="1420"/>
        <w:gridCol w:w="2938"/>
      </w:tblGrid>
      <w:tr w14:paraId="6D6AF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46E5C25D">
            <w:pPr>
              <w:snapToGrid w:val="0"/>
              <w:spacing w:line="300" w:lineRule="exact"/>
              <w:jc w:val="center"/>
              <w:rPr>
                <w:rFonts w:ascii="Arial" w:hAnsi="Arial" w:eastAsia="宋体" w:cs="Arial"/>
                <w:color w:val="auto"/>
                <w:highlight w:val="none"/>
              </w:rPr>
            </w:pPr>
            <w:r>
              <w:rPr>
                <w:rFonts w:ascii="Arial" w:hAnsi="Arial" w:eastAsia="宋体" w:cs="Arial"/>
                <w:color w:val="auto"/>
                <w:highlight w:val="none"/>
              </w:rPr>
              <w:t>项目</w:t>
            </w:r>
          </w:p>
        </w:tc>
        <w:tc>
          <w:tcPr>
            <w:tcW w:w="2962" w:type="dxa"/>
            <w:tcBorders>
              <w:top w:val="single" w:color="auto" w:sz="4" w:space="0"/>
              <w:left w:val="single" w:color="auto" w:sz="4" w:space="0"/>
              <w:bottom w:val="single" w:color="auto" w:sz="4" w:space="0"/>
              <w:right w:val="single" w:color="auto" w:sz="4" w:space="0"/>
            </w:tcBorders>
            <w:vAlign w:val="center"/>
          </w:tcPr>
          <w:p w14:paraId="71C3E0E0">
            <w:pPr>
              <w:snapToGrid w:val="0"/>
              <w:spacing w:line="300" w:lineRule="exact"/>
              <w:jc w:val="center"/>
              <w:rPr>
                <w:rFonts w:ascii="Arial" w:hAnsi="Arial" w:eastAsia="宋体" w:cs="Arial"/>
                <w:color w:val="auto"/>
                <w:highlight w:val="none"/>
              </w:rPr>
            </w:pPr>
            <w:r>
              <w:rPr>
                <w:rFonts w:ascii="Arial" w:hAnsi="Arial" w:eastAsia="宋体" w:cs="Arial"/>
                <w:color w:val="auto"/>
                <w:highlight w:val="none"/>
              </w:rPr>
              <w:t>竞争性谈判文件要求</w:t>
            </w:r>
          </w:p>
        </w:tc>
        <w:tc>
          <w:tcPr>
            <w:tcW w:w="1420" w:type="dxa"/>
            <w:tcBorders>
              <w:top w:val="single" w:color="auto" w:sz="4" w:space="0"/>
              <w:left w:val="single" w:color="auto" w:sz="4" w:space="0"/>
              <w:bottom w:val="single" w:color="auto" w:sz="4" w:space="0"/>
              <w:right w:val="single" w:color="auto" w:sz="4" w:space="0"/>
            </w:tcBorders>
            <w:vAlign w:val="center"/>
          </w:tcPr>
          <w:p w14:paraId="08ADC65E">
            <w:pPr>
              <w:snapToGrid w:val="0"/>
              <w:spacing w:line="300" w:lineRule="exact"/>
              <w:jc w:val="center"/>
              <w:rPr>
                <w:rFonts w:ascii="Arial" w:hAnsi="Arial" w:eastAsia="宋体" w:cs="Arial"/>
                <w:color w:val="auto"/>
                <w:highlight w:val="none"/>
              </w:rPr>
            </w:pPr>
            <w:r>
              <w:rPr>
                <w:rFonts w:ascii="Arial" w:hAnsi="Arial" w:eastAsia="宋体" w:cs="Arial"/>
                <w:color w:val="auto"/>
                <w:highlight w:val="none"/>
              </w:rPr>
              <w:t>供应商的承诺或说明</w:t>
            </w:r>
          </w:p>
        </w:tc>
        <w:tc>
          <w:tcPr>
            <w:tcW w:w="2938" w:type="dxa"/>
            <w:tcBorders>
              <w:top w:val="single" w:color="auto" w:sz="4" w:space="0"/>
              <w:left w:val="single" w:color="auto" w:sz="4" w:space="0"/>
              <w:bottom w:val="single" w:color="auto" w:sz="4" w:space="0"/>
              <w:right w:val="single" w:color="auto" w:sz="4" w:space="0"/>
            </w:tcBorders>
            <w:vAlign w:val="center"/>
          </w:tcPr>
          <w:p w14:paraId="028255A0">
            <w:pPr>
              <w:snapToGrid w:val="0"/>
              <w:spacing w:line="300" w:lineRule="exact"/>
              <w:jc w:val="center"/>
              <w:rPr>
                <w:rFonts w:ascii="Arial" w:hAnsi="Arial" w:eastAsia="宋体" w:cs="Arial"/>
                <w:color w:val="auto"/>
                <w:highlight w:val="none"/>
              </w:rPr>
            </w:pPr>
            <w:r>
              <w:rPr>
                <w:rFonts w:ascii="Arial" w:hAnsi="Arial" w:eastAsia="宋体" w:cs="Arial"/>
                <w:color w:val="auto"/>
                <w:highlight w:val="none"/>
              </w:rPr>
              <w:t>是否响应</w:t>
            </w:r>
          </w:p>
        </w:tc>
      </w:tr>
      <w:tr w14:paraId="57859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25864AEF">
            <w:pPr>
              <w:snapToGrid w:val="0"/>
              <w:spacing w:line="360" w:lineRule="exact"/>
              <w:jc w:val="center"/>
              <w:rPr>
                <w:rFonts w:ascii="Arial" w:hAnsi="Arial" w:eastAsia="宋体" w:cs="Arial"/>
                <w:color w:val="auto"/>
                <w:highlight w:val="none"/>
              </w:rPr>
            </w:pPr>
            <w:r>
              <w:rPr>
                <w:rFonts w:ascii="Arial" w:hAnsi="Arial" w:eastAsia="宋体" w:cs="Arial"/>
                <w:bCs/>
                <w:color w:val="auto"/>
                <w:szCs w:val="21"/>
                <w:highlight w:val="none"/>
              </w:rPr>
              <w:t>（一）免费保修期</w:t>
            </w:r>
          </w:p>
        </w:tc>
        <w:tc>
          <w:tcPr>
            <w:tcW w:w="2962" w:type="dxa"/>
            <w:tcBorders>
              <w:top w:val="single" w:color="auto" w:sz="4" w:space="0"/>
              <w:left w:val="single" w:color="auto" w:sz="4" w:space="0"/>
              <w:bottom w:val="single" w:color="auto" w:sz="4" w:space="0"/>
              <w:right w:val="single" w:color="auto" w:sz="4" w:space="0"/>
            </w:tcBorders>
            <w:vAlign w:val="center"/>
          </w:tcPr>
          <w:p w14:paraId="72B85DCC">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5B1E9F47">
            <w:pPr>
              <w:pStyle w:val="14"/>
              <w:snapToGrid w:val="0"/>
              <w:spacing w:before="295" w:after="295" w:line="300" w:lineRule="exact"/>
              <w:ind w:left="840" w:hanging="420"/>
              <w:jc w:val="center"/>
              <w:rPr>
                <w:rFonts w:ascii="Arial" w:hAnsi="Arial" w:eastAsia="宋体"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4CD27E58">
            <w:pPr>
              <w:snapToGrid w:val="0"/>
              <w:spacing w:line="300" w:lineRule="exact"/>
              <w:rPr>
                <w:rFonts w:ascii="Arial" w:hAnsi="Arial" w:eastAsia="宋体" w:cs="Arial"/>
                <w:color w:val="auto"/>
                <w:highlight w:val="none"/>
              </w:rPr>
            </w:pPr>
          </w:p>
        </w:tc>
      </w:tr>
      <w:tr w14:paraId="30B0F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0B076188">
            <w:pPr>
              <w:snapToGrid w:val="0"/>
              <w:spacing w:line="360" w:lineRule="exact"/>
              <w:jc w:val="center"/>
              <w:rPr>
                <w:rFonts w:ascii="Arial" w:hAnsi="Arial" w:eastAsia="宋体" w:cs="Arial"/>
                <w:color w:val="auto"/>
                <w:highlight w:val="none"/>
              </w:rPr>
            </w:pPr>
            <w:r>
              <w:rPr>
                <w:rFonts w:ascii="Arial" w:hAnsi="Arial" w:eastAsia="宋体" w:cs="Arial"/>
                <w:color w:val="auto"/>
                <w:szCs w:val="21"/>
                <w:highlight w:val="none"/>
              </w:rPr>
              <w:t>（二）售后服务要求</w:t>
            </w:r>
          </w:p>
        </w:tc>
        <w:tc>
          <w:tcPr>
            <w:tcW w:w="2962" w:type="dxa"/>
            <w:tcBorders>
              <w:top w:val="single" w:color="auto" w:sz="4" w:space="0"/>
              <w:left w:val="single" w:color="auto" w:sz="4" w:space="0"/>
              <w:bottom w:val="single" w:color="auto" w:sz="4" w:space="0"/>
              <w:right w:val="single" w:color="auto" w:sz="4" w:space="0"/>
            </w:tcBorders>
            <w:vAlign w:val="center"/>
          </w:tcPr>
          <w:p w14:paraId="2DDD8076">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3AB6B3AB">
            <w:pPr>
              <w:pStyle w:val="14"/>
              <w:snapToGrid w:val="0"/>
              <w:spacing w:before="295" w:after="295" w:line="300" w:lineRule="exact"/>
              <w:ind w:left="840" w:hanging="420"/>
              <w:jc w:val="center"/>
              <w:rPr>
                <w:rFonts w:ascii="Arial" w:hAnsi="Arial" w:eastAsia="宋体"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tcPr>
          <w:p w14:paraId="205C2E86">
            <w:pPr>
              <w:snapToGrid w:val="0"/>
              <w:spacing w:line="300" w:lineRule="exact"/>
              <w:rPr>
                <w:rFonts w:ascii="Arial" w:hAnsi="Arial" w:eastAsia="宋体" w:cs="Arial"/>
                <w:color w:val="auto"/>
                <w:highlight w:val="none"/>
              </w:rPr>
            </w:pPr>
          </w:p>
        </w:tc>
      </w:tr>
      <w:tr w14:paraId="1AC8E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0130723C">
            <w:pPr>
              <w:snapToGrid w:val="0"/>
              <w:spacing w:line="360" w:lineRule="exact"/>
              <w:jc w:val="center"/>
              <w:rPr>
                <w:rFonts w:ascii="Arial" w:hAnsi="Arial" w:eastAsia="宋体" w:cs="Arial"/>
                <w:color w:val="auto"/>
                <w:highlight w:val="none"/>
              </w:rPr>
            </w:pPr>
            <w:r>
              <w:rPr>
                <w:rFonts w:ascii="Arial" w:hAnsi="Arial" w:eastAsia="宋体" w:cs="Arial"/>
                <w:color w:val="auto"/>
                <w:szCs w:val="21"/>
                <w:highlight w:val="none"/>
              </w:rPr>
              <w:t>（三）合同签订时间</w:t>
            </w:r>
          </w:p>
        </w:tc>
        <w:tc>
          <w:tcPr>
            <w:tcW w:w="2962" w:type="dxa"/>
            <w:tcBorders>
              <w:top w:val="single" w:color="auto" w:sz="4" w:space="0"/>
              <w:left w:val="single" w:color="auto" w:sz="4" w:space="0"/>
              <w:bottom w:val="single" w:color="auto" w:sz="4" w:space="0"/>
              <w:right w:val="single" w:color="auto" w:sz="4" w:space="0"/>
            </w:tcBorders>
            <w:vAlign w:val="center"/>
          </w:tcPr>
          <w:p w14:paraId="52185B3F">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1B4BDFD0">
            <w:pPr>
              <w:pStyle w:val="14"/>
              <w:snapToGrid w:val="0"/>
              <w:spacing w:before="295" w:after="295" w:line="300" w:lineRule="exact"/>
              <w:ind w:left="840" w:hanging="420"/>
              <w:jc w:val="center"/>
              <w:rPr>
                <w:rFonts w:ascii="Arial" w:hAnsi="Arial" w:eastAsia="宋体"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tcPr>
          <w:p w14:paraId="46F8F0AD">
            <w:pPr>
              <w:snapToGrid w:val="0"/>
              <w:spacing w:line="300" w:lineRule="exact"/>
              <w:rPr>
                <w:rFonts w:ascii="Arial" w:hAnsi="Arial" w:eastAsia="宋体" w:cs="Arial"/>
                <w:color w:val="auto"/>
                <w:highlight w:val="none"/>
              </w:rPr>
            </w:pPr>
          </w:p>
        </w:tc>
      </w:tr>
      <w:tr w14:paraId="0ADBC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33CAC707">
            <w:pPr>
              <w:spacing w:line="360" w:lineRule="exact"/>
              <w:jc w:val="center"/>
              <w:rPr>
                <w:rFonts w:ascii="Arial" w:hAnsi="Arial" w:eastAsia="宋体" w:cs="Arial"/>
                <w:color w:val="auto"/>
                <w:highlight w:val="none"/>
              </w:rPr>
            </w:pPr>
            <w:r>
              <w:rPr>
                <w:rFonts w:ascii="Arial" w:hAnsi="Arial" w:eastAsia="宋体" w:cs="Arial"/>
                <w:color w:val="auto"/>
                <w:szCs w:val="21"/>
                <w:highlight w:val="none"/>
              </w:rPr>
              <w:t>（四）交货期及地点</w:t>
            </w:r>
          </w:p>
        </w:tc>
        <w:tc>
          <w:tcPr>
            <w:tcW w:w="2962" w:type="dxa"/>
            <w:tcBorders>
              <w:top w:val="single" w:color="auto" w:sz="4" w:space="0"/>
              <w:left w:val="single" w:color="auto" w:sz="4" w:space="0"/>
              <w:bottom w:val="single" w:color="auto" w:sz="4" w:space="0"/>
              <w:right w:val="single" w:color="auto" w:sz="4" w:space="0"/>
            </w:tcBorders>
            <w:vAlign w:val="center"/>
          </w:tcPr>
          <w:p w14:paraId="45D60261">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8537433">
            <w:pPr>
              <w:pStyle w:val="14"/>
              <w:snapToGrid w:val="0"/>
              <w:spacing w:before="295" w:after="295" w:line="300" w:lineRule="exact"/>
              <w:ind w:left="840" w:hanging="420"/>
              <w:jc w:val="center"/>
              <w:rPr>
                <w:rFonts w:ascii="Arial" w:hAnsi="Arial" w:eastAsia="宋体"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tcPr>
          <w:p w14:paraId="5F106122">
            <w:pPr>
              <w:snapToGrid w:val="0"/>
              <w:spacing w:line="300" w:lineRule="exact"/>
              <w:rPr>
                <w:rFonts w:ascii="Arial" w:hAnsi="Arial" w:eastAsia="宋体" w:cs="Arial"/>
                <w:color w:val="auto"/>
                <w:highlight w:val="none"/>
              </w:rPr>
            </w:pPr>
          </w:p>
        </w:tc>
      </w:tr>
      <w:tr w14:paraId="4C68D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0B5D746A">
            <w:pPr>
              <w:spacing w:line="360" w:lineRule="exact"/>
              <w:jc w:val="center"/>
              <w:rPr>
                <w:rFonts w:ascii="Arial" w:hAnsi="Arial" w:eastAsia="宋体" w:cs="Arial"/>
                <w:color w:val="auto"/>
                <w:highlight w:val="none"/>
              </w:rPr>
            </w:pPr>
            <w:r>
              <w:rPr>
                <w:rFonts w:ascii="Arial" w:hAnsi="Arial" w:eastAsia="宋体" w:cs="Arial"/>
                <w:color w:val="auto"/>
                <w:szCs w:val="21"/>
                <w:highlight w:val="none"/>
              </w:rPr>
              <w:t>（五）付款方式</w:t>
            </w:r>
          </w:p>
        </w:tc>
        <w:tc>
          <w:tcPr>
            <w:tcW w:w="2962" w:type="dxa"/>
            <w:tcBorders>
              <w:top w:val="single" w:color="auto" w:sz="4" w:space="0"/>
              <w:left w:val="single" w:color="auto" w:sz="4" w:space="0"/>
              <w:bottom w:val="single" w:color="auto" w:sz="4" w:space="0"/>
              <w:right w:val="single" w:color="auto" w:sz="4" w:space="0"/>
            </w:tcBorders>
            <w:vAlign w:val="center"/>
          </w:tcPr>
          <w:p w14:paraId="6DFEE546">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2FE73082">
            <w:pPr>
              <w:pStyle w:val="14"/>
              <w:snapToGrid w:val="0"/>
              <w:spacing w:before="295" w:after="295" w:line="300" w:lineRule="exact"/>
              <w:ind w:left="840" w:hanging="420"/>
              <w:jc w:val="center"/>
              <w:rPr>
                <w:rFonts w:ascii="Arial" w:hAnsi="Arial" w:eastAsia="宋体"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tcPr>
          <w:p w14:paraId="4551D763">
            <w:pPr>
              <w:snapToGrid w:val="0"/>
              <w:spacing w:line="300" w:lineRule="exact"/>
              <w:rPr>
                <w:rFonts w:ascii="Arial" w:hAnsi="Arial" w:eastAsia="宋体" w:cs="Arial"/>
                <w:color w:val="auto"/>
                <w:highlight w:val="none"/>
              </w:rPr>
            </w:pPr>
          </w:p>
        </w:tc>
      </w:tr>
      <w:tr w14:paraId="5D5D4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exact"/>
          <w:jc w:val="center"/>
        </w:trPr>
        <w:tc>
          <w:tcPr>
            <w:tcW w:w="2138" w:type="dxa"/>
            <w:tcBorders>
              <w:top w:val="single" w:color="auto" w:sz="4" w:space="0"/>
              <w:left w:val="single" w:color="auto" w:sz="4" w:space="0"/>
              <w:bottom w:val="single" w:color="auto" w:sz="4" w:space="0"/>
              <w:right w:val="single" w:color="auto" w:sz="4" w:space="0"/>
            </w:tcBorders>
            <w:vAlign w:val="center"/>
          </w:tcPr>
          <w:p w14:paraId="67B74C20">
            <w:pPr>
              <w:snapToGrid w:val="0"/>
              <w:spacing w:line="300" w:lineRule="exact"/>
              <w:jc w:val="center"/>
              <w:rPr>
                <w:rFonts w:ascii="Arial" w:hAnsi="Arial" w:eastAsia="宋体" w:cs="Arial"/>
                <w:color w:val="auto"/>
                <w:highlight w:val="none"/>
              </w:rPr>
            </w:pPr>
            <w:r>
              <w:rPr>
                <w:rFonts w:ascii="Arial" w:hAnsi="Arial" w:eastAsia="宋体" w:cs="Arial"/>
                <w:color w:val="auto"/>
                <w:highlight w:val="none"/>
              </w:rPr>
              <w:t>......</w:t>
            </w:r>
          </w:p>
        </w:tc>
        <w:tc>
          <w:tcPr>
            <w:tcW w:w="2962" w:type="dxa"/>
            <w:tcBorders>
              <w:top w:val="single" w:color="auto" w:sz="4" w:space="0"/>
              <w:left w:val="single" w:color="auto" w:sz="4" w:space="0"/>
              <w:bottom w:val="single" w:color="auto" w:sz="4" w:space="0"/>
              <w:right w:val="single" w:color="auto" w:sz="4" w:space="0"/>
            </w:tcBorders>
            <w:vAlign w:val="center"/>
          </w:tcPr>
          <w:p w14:paraId="04602D1C">
            <w:pPr>
              <w:snapToGrid w:val="0"/>
              <w:spacing w:line="300" w:lineRule="exact"/>
              <w:rPr>
                <w:rFonts w:ascii="Arial" w:hAnsi="Arial" w:eastAsia="宋体" w:cs="Arial"/>
                <w:color w:val="auto"/>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209FE657">
            <w:pPr>
              <w:pStyle w:val="14"/>
              <w:snapToGrid w:val="0"/>
              <w:spacing w:before="295" w:after="295" w:line="300" w:lineRule="exact"/>
              <w:ind w:left="840" w:hanging="420"/>
              <w:jc w:val="center"/>
              <w:rPr>
                <w:rFonts w:ascii="Arial" w:hAnsi="Arial" w:eastAsia="宋体" w:cs="Arial"/>
                <w:color w:val="auto"/>
                <w:szCs w:val="24"/>
                <w:highlight w:val="none"/>
              </w:rPr>
            </w:pPr>
          </w:p>
        </w:tc>
        <w:tc>
          <w:tcPr>
            <w:tcW w:w="2938" w:type="dxa"/>
            <w:tcBorders>
              <w:top w:val="single" w:color="auto" w:sz="4" w:space="0"/>
              <w:left w:val="single" w:color="auto" w:sz="4" w:space="0"/>
              <w:bottom w:val="single" w:color="auto" w:sz="4" w:space="0"/>
              <w:right w:val="single" w:color="auto" w:sz="4" w:space="0"/>
            </w:tcBorders>
          </w:tcPr>
          <w:p w14:paraId="7CE22796">
            <w:pPr>
              <w:snapToGrid w:val="0"/>
              <w:spacing w:line="300" w:lineRule="exact"/>
              <w:rPr>
                <w:rFonts w:ascii="Arial" w:hAnsi="Arial" w:eastAsia="宋体" w:cs="Arial"/>
                <w:color w:val="auto"/>
                <w:highlight w:val="none"/>
              </w:rPr>
            </w:pPr>
          </w:p>
        </w:tc>
      </w:tr>
    </w:tbl>
    <w:p w14:paraId="3D74755B">
      <w:pPr>
        <w:snapToGrid w:val="0"/>
        <w:spacing w:line="400" w:lineRule="exact"/>
        <w:ind w:firstLine="3570" w:firstLineChars="1700"/>
        <w:rPr>
          <w:rFonts w:ascii="Arial" w:hAnsi="Arial" w:eastAsia="宋体" w:cs="Arial"/>
          <w:color w:val="auto"/>
          <w:highlight w:val="none"/>
        </w:rPr>
      </w:pPr>
    </w:p>
    <w:p w14:paraId="4EF115BF">
      <w:pPr>
        <w:snapToGrid w:val="0"/>
        <w:spacing w:line="400" w:lineRule="exact"/>
        <w:ind w:firstLine="3570" w:firstLineChars="1700"/>
        <w:rPr>
          <w:rFonts w:ascii="Arial" w:hAnsi="Arial" w:eastAsia="宋体" w:cs="Arial"/>
          <w:color w:val="auto"/>
          <w:highlight w:val="none"/>
        </w:rPr>
      </w:pPr>
    </w:p>
    <w:p w14:paraId="7F6AA61A">
      <w:pPr>
        <w:snapToGrid w:val="0"/>
        <w:spacing w:line="400" w:lineRule="exact"/>
        <w:ind w:firstLine="3570" w:firstLineChars="1700"/>
        <w:rPr>
          <w:rFonts w:ascii="Arial" w:hAnsi="Arial" w:eastAsia="宋体" w:cs="Arial"/>
          <w:color w:val="auto"/>
          <w:highlight w:val="none"/>
          <w:u w:val="single"/>
        </w:rPr>
      </w:pPr>
      <w:r>
        <w:rPr>
          <w:rFonts w:ascii="Arial" w:hAnsi="Arial" w:eastAsia="宋体" w:cs="Arial"/>
          <w:color w:val="auto"/>
          <w:highlight w:val="none"/>
        </w:rPr>
        <w:t>供应商（公章）：</w:t>
      </w:r>
      <w:r>
        <w:rPr>
          <w:rFonts w:ascii="Arial" w:hAnsi="Arial" w:eastAsia="宋体" w:cs="Arial"/>
          <w:color w:val="auto"/>
          <w:highlight w:val="none"/>
          <w:u w:val="single"/>
        </w:rPr>
        <w:t xml:space="preserve">                                         </w:t>
      </w:r>
    </w:p>
    <w:p w14:paraId="2BC90C79">
      <w:pPr>
        <w:pStyle w:val="14"/>
        <w:spacing w:line="400" w:lineRule="exact"/>
        <w:ind w:left="3570" w:leftChars="1700"/>
        <w:rPr>
          <w:rFonts w:ascii="Arial" w:hAnsi="Arial" w:eastAsia="宋体" w:cs="Arial"/>
          <w:color w:val="auto"/>
          <w:highlight w:val="none"/>
          <w:u w:val="single"/>
        </w:rPr>
      </w:pPr>
      <w:r>
        <w:rPr>
          <w:rFonts w:ascii="Arial" w:hAnsi="Arial" w:eastAsia="宋体" w:cs="Arial"/>
          <w:color w:val="auto"/>
          <w:highlight w:val="none"/>
        </w:rPr>
        <w:t>法定代表人、负责人或相应的委托代理人签字：</w:t>
      </w:r>
      <w:r>
        <w:rPr>
          <w:rFonts w:ascii="Arial" w:hAnsi="Arial" w:eastAsia="宋体" w:cs="Arial"/>
          <w:color w:val="auto"/>
          <w:highlight w:val="none"/>
          <w:u w:val="single"/>
        </w:rPr>
        <w:t xml:space="preserve">               </w:t>
      </w:r>
    </w:p>
    <w:p w14:paraId="64272BD7">
      <w:pPr>
        <w:pStyle w:val="14"/>
        <w:spacing w:line="340" w:lineRule="exact"/>
        <w:ind w:firstLine="3570" w:firstLineChars="1700"/>
        <w:rPr>
          <w:rFonts w:ascii="Arial" w:hAnsi="Arial" w:eastAsia="宋体" w:cs="Arial"/>
          <w:color w:val="auto"/>
          <w:highlight w:val="none"/>
        </w:rPr>
      </w:pPr>
      <w:r>
        <w:rPr>
          <w:rFonts w:ascii="Arial" w:hAnsi="Arial" w:eastAsia="宋体" w:cs="Arial"/>
          <w:color w:val="auto"/>
          <w:highlight w:val="none"/>
        </w:rPr>
        <w:t>日          期：</w:t>
      </w:r>
      <w:r>
        <w:rPr>
          <w:rFonts w:ascii="Arial" w:hAnsi="Arial" w:eastAsia="宋体" w:cs="Arial"/>
          <w:color w:val="auto"/>
          <w:highlight w:val="none"/>
          <w:u w:val="single"/>
        </w:rPr>
        <w:t xml:space="preserve">                             </w:t>
      </w:r>
    </w:p>
    <w:p w14:paraId="4968B0F0">
      <w:pPr>
        <w:rPr>
          <w:rFonts w:ascii="Arial" w:hAnsi="Arial" w:eastAsia="宋体" w:cs="Arial"/>
          <w:b/>
          <w:color w:val="auto"/>
          <w:sz w:val="28"/>
          <w:szCs w:val="28"/>
          <w:highlight w:val="none"/>
        </w:rPr>
      </w:pPr>
    </w:p>
    <w:p w14:paraId="3AE6C6E0">
      <w:pPr>
        <w:pStyle w:val="32"/>
        <w:rPr>
          <w:rFonts w:ascii="Arial" w:hAnsi="Arial" w:cs="Arial"/>
          <w:color w:val="auto"/>
          <w:highlight w:val="none"/>
        </w:rPr>
      </w:pPr>
    </w:p>
    <w:p w14:paraId="320CAE52">
      <w:pPr>
        <w:rPr>
          <w:rFonts w:ascii="Arial" w:hAnsi="Arial" w:eastAsia="宋体" w:cs="Arial"/>
          <w:b/>
          <w:color w:val="auto"/>
          <w:sz w:val="32"/>
          <w:szCs w:val="32"/>
          <w:highlight w:val="none"/>
        </w:rPr>
      </w:pPr>
      <w:r>
        <w:rPr>
          <w:rFonts w:ascii="Arial" w:hAnsi="Arial" w:eastAsia="宋体" w:cs="Arial"/>
          <w:b/>
          <w:color w:val="auto"/>
          <w:sz w:val="32"/>
          <w:szCs w:val="32"/>
          <w:highlight w:val="none"/>
        </w:rPr>
        <w:br w:type="page"/>
      </w:r>
    </w:p>
    <w:p w14:paraId="0E3FD47B">
      <w:pPr>
        <w:spacing w:line="400" w:lineRule="exact"/>
        <w:jc w:val="center"/>
        <w:rPr>
          <w:rFonts w:ascii="Arial" w:hAnsi="Arial" w:eastAsia="宋体" w:cs="Arial"/>
          <w:b/>
          <w:color w:val="auto"/>
          <w:sz w:val="32"/>
          <w:szCs w:val="32"/>
          <w:highlight w:val="none"/>
        </w:rPr>
      </w:pPr>
      <w:r>
        <w:rPr>
          <w:rFonts w:ascii="Arial" w:hAnsi="Arial" w:eastAsia="宋体" w:cs="Arial"/>
          <w:b/>
          <w:color w:val="auto"/>
          <w:sz w:val="32"/>
          <w:szCs w:val="32"/>
          <w:highlight w:val="none"/>
        </w:rPr>
        <w:t>（三）其它有效证明材料目录</w:t>
      </w:r>
    </w:p>
    <w:p w14:paraId="5B6D69EE">
      <w:pPr>
        <w:tabs>
          <w:tab w:val="left" w:pos="1305"/>
        </w:tabs>
        <w:spacing w:line="440" w:lineRule="exact"/>
        <w:ind w:firstLine="420" w:firstLineChars="200"/>
        <w:rPr>
          <w:rFonts w:ascii="Arial" w:hAnsi="Arial" w:eastAsia="宋体" w:cs="Arial"/>
          <w:color w:val="auto"/>
          <w:szCs w:val="21"/>
          <w:highlight w:val="none"/>
        </w:rPr>
      </w:pPr>
    </w:p>
    <w:p w14:paraId="0711B3F0">
      <w:pPr>
        <w:tabs>
          <w:tab w:val="left" w:pos="1305"/>
        </w:tabs>
        <w:spacing w:line="520" w:lineRule="exact"/>
        <w:ind w:firstLine="720" w:firstLineChars="300"/>
        <w:rPr>
          <w:rFonts w:ascii="Arial" w:hAnsi="Arial" w:eastAsia="宋体" w:cs="Arial"/>
          <w:color w:val="auto"/>
          <w:sz w:val="24"/>
          <w:highlight w:val="none"/>
        </w:rPr>
      </w:pPr>
      <w:r>
        <w:rPr>
          <w:rFonts w:ascii="Arial" w:hAnsi="Arial" w:eastAsia="宋体" w:cs="Arial"/>
          <w:color w:val="auto"/>
          <w:sz w:val="24"/>
          <w:highlight w:val="none"/>
        </w:rPr>
        <w:t>1.项目实施人员一览表【如有，请提供，并一起提供由县级以上（含县级）社会养老保险经办机构出具的供应商为项目实施人员交纳社保证明复印件】；</w:t>
      </w:r>
    </w:p>
    <w:p w14:paraId="0D095805">
      <w:pPr>
        <w:tabs>
          <w:tab w:val="left" w:pos="1305"/>
        </w:tabs>
        <w:spacing w:line="520" w:lineRule="exact"/>
        <w:ind w:firstLine="720" w:firstLineChars="300"/>
        <w:rPr>
          <w:rFonts w:ascii="Arial" w:hAnsi="Arial" w:eastAsia="宋体" w:cs="Arial"/>
          <w:color w:val="auto"/>
          <w:sz w:val="24"/>
          <w:highlight w:val="none"/>
        </w:rPr>
      </w:pPr>
      <w:r>
        <w:rPr>
          <w:rFonts w:ascii="Arial" w:hAnsi="Arial" w:eastAsia="宋体" w:cs="Arial"/>
          <w:color w:val="auto"/>
          <w:sz w:val="24"/>
          <w:highlight w:val="none"/>
        </w:rPr>
        <w:t>2.供应商具有同类产品的销售业绩的相关证明材料（无不良记录，以中标、成交通知书或签订的销售合同为准，并能清晰反映所销售的货物名称、种类、金额）（如有，请提供）；</w:t>
      </w:r>
    </w:p>
    <w:p w14:paraId="2688DAFB">
      <w:pPr>
        <w:tabs>
          <w:tab w:val="left" w:pos="1305"/>
        </w:tabs>
        <w:spacing w:line="520" w:lineRule="exact"/>
        <w:ind w:firstLine="720" w:firstLineChars="300"/>
        <w:rPr>
          <w:rFonts w:ascii="Arial" w:hAnsi="Arial" w:eastAsia="宋体" w:cs="Arial"/>
          <w:color w:val="auto"/>
          <w:sz w:val="24"/>
          <w:highlight w:val="none"/>
        </w:rPr>
      </w:pPr>
      <w:r>
        <w:rPr>
          <w:rFonts w:ascii="Arial" w:hAnsi="Arial" w:eastAsia="宋体" w:cs="Arial"/>
          <w:color w:val="auto"/>
          <w:sz w:val="24"/>
          <w:highlight w:val="none"/>
        </w:rPr>
        <w:t>3.供应商相关获奖证书、认证证书等复印件（如有，请提供）；</w:t>
      </w:r>
    </w:p>
    <w:p w14:paraId="3B8ECC7C">
      <w:pPr>
        <w:tabs>
          <w:tab w:val="left" w:pos="1305"/>
        </w:tabs>
        <w:spacing w:line="520" w:lineRule="exact"/>
        <w:ind w:firstLine="720" w:firstLineChars="300"/>
        <w:rPr>
          <w:rFonts w:ascii="Arial" w:hAnsi="Arial" w:eastAsia="宋体" w:cs="Arial"/>
          <w:color w:val="auto"/>
          <w:sz w:val="24"/>
          <w:highlight w:val="none"/>
        </w:rPr>
      </w:pPr>
      <w:r>
        <w:rPr>
          <w:rFonts w:ascii="Arial" w:hAnsi="Arial" w:eastAsia="宋体" w:cs="Arial"/>
          <w:color w:val="auto"/>
          <w:sz w:val="24"/>
          <w:highlight w:val="none"/>
        </w:rPr>
        <w:t>4.供应商可结合本项目自身情况自行提交其它相关证明材料（如有，请提供）。</w:t>
      </w:r>
    </w:p>
    <w:p w14:paraId="5617D93C">
      <w:pPr>
        <w:pStyle w:val="32"/>
        <w:rPr>
          <w:rFonts w:ascii="Arial" w:hAnsi="Arial" w:cs="Arial"/>
          <w:color w:val="auto"/>
          <w:highlight w:val="none"/>
        </w:rPr>
      </w:pPr>
    </w:p>
    <w:p w14:paraId="396C249B">
      <w:pPr>
        <w:snapToGrid w:val="0"/>
        <w:spacing w:line="600" w:lineRule="exact"/>
        <w:rPr>
          <w:rFonts w:ascii="Arial" w:hAnsi="Arial" w:eastAsia="宋体" w:cs="Arial"/>
          <w:color w:val="auto"/>
          <w:sz w:val="24"/>
          <w:highlight w:val="none"/>
        </w:rPr>
      </w:pPr>
      <w:r>
        <w:rPr>
          <w:rFonts w:ascii="Arial" w:hAnsi="Arial" w:eastAsia="宋体" w:cs="Arial"/>
          <w:b/>
          <w:color w:val="auto"/>
          <w:sz w:val="28"/>
          <w:szCs w:val="28"/>
          <w:highlight w:val="none"/>
        </w:rPr>
        <w:br w:type="page"/>
      </w:r>
    </w:p>
    <w:p w14:paraId="2C106AEB">
      <w:pPr>
        <w:pStyle w:val="14"/>
        <w:spacing w:line="34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1.项目实施人员一览表 【如有，请提供，并一起提供由县级以上（含县级）社会养老保险经办机构出具的供应商为项目实施人员交纳社保证明复印件】</w:t>
      </w:r>
    </w:p>
    <w:p w14:paraId="1F00481A">
      <w:pPr>
        <w:pStyle w:val="14"/>
        <w:rPr>
          <w:rFonts w:ascii="Arial" w:hAnsi="Arial" w:eastAsia="宋体" w:cs="Arial"/>
          <w:b/>
          <w:bCs/>
          <w:color w:val="auto"/>
          <w:sz w:val="32"/>
          <w:szCs w:val="32"/>
          <w:highlight w:val="none"/>
        </w:rPr>
      </w:pPr>
    </w:p>
    <w:p w14:paraId="547B0F9E">
      <w:pPr>
        <w:pStyle w:val="14"/>
        <w:ind w:firstLine="472" w:firstLineChars="147"/>
        <w:rPr>
          <w:rFonts w:ascii="Arial" w:hAnsi="Arial" w:eastAsia="宋体" w:cs="Arial"/>
          <w:b/>
          <w:color w:val="auto"/>
          <w:szCs w:val="21"/>
          <w:highlight w:val="none"/>
        </w:rPr>
      </w:pPr>
      <w:bookmarkStart w:id="53" w:name="_Toc9810"/>
      <w:bookmarkStart w:id="54" w:name="_Toc31480"/>
      <w:r>
        <w:rPr>
          <w:rFonts w:ascii="Arial" w:hAnsi="Arial" w:eastAsia="宋体" w:cs="Arial"/>
          <w:b/>
          <w:color w:val="auto"/>
          <w:sz w:val="32"/>
          <w:szCs w:val="32"/>
          <w:highlight w:val="none"/>
        </w:rPr>
        <w:t>附件：</w:t>
      </w:r>
      <w:bookmarkEnd w:id="53"/>
      <w:bookmarkEnd w:id="54"/>
      <w:r>
        <w:rPr>
          <w:rFonts w:ascii="Arial" w:hAnsi="Arial" w:eastAsia="宋体" w:cs="Arial"/>
          <w:b/>
          <w:color w:val="auto"/>
          <w:sz w:val="32"/>
          <w:szCs w:val="32"/>
          <w:highlight w:val="none"/>
        </w:rPr>
        <w:t xml:space="preserve">       </w:t>
      </w:r>
      <w:r>
        <w:rPr>
          <w:rFonts w:ascii="Arial" w:hAnsi="Arial" w:eastAsia="宋体" w:cs="Arial"/>
          <w:b/>
          <w:color w:val="auto"/>
          <w:szCs w:val="21"/>
          <w:highlight w:val="none"/>
        </w:rPr>
        <w:t xml:space="preserve">                     </w:t>
      </w:r>
    </w:p>
    <w:p w14:paraId="4F1D08DC">
      <w:pPr>
        <w:pStyle w:val="14"/>
        <w:ind w:firstLine="472" w:firstLineChars="147"/>
        <w:jc w:val="center"/>
        <w:rPr>
          <w:rFonts w:ascii="Arial" w:hAnsi="Arial" w:eastAsia="宋体" w:cs="Arial"/>
          <w:b/>
          <w:bCs/>
          <w:color w:val="auto"/>
          <w:sz w:val="32"/>
          <w:szCs w:val="32"/>
          <w:highlight w:val="none"/>
        </w:rPr>
      </w:pPr>
      <w:r>
        <w:rPr>
          <w:rFonts w:ascii="Arial" w:hAnsi="Arial" w:eastAsia="宋体" w:cs="Arial"/>
          <w:b/>
          <w:bCs/>
          <w:color w:val="auto"/>
          <w:sz w:val="32"/>
          <w:szCs w:val="32"/>
          <w:highlight w:val="none"/>
        </w:rPr>
        <w:t>项目实施人员一览表（格式）</w:t>
      </w:r>
    </w:p>
    <w:p w14:paraId="5B9560DF">
      <w:pPr>
        <w:ind w:firstLine="435"/>
        <w:rPr>
          <w:rFonts w:ascii="Arial" w:hAnsi="Arial" w:eastAsia="宋体" w:cs="Arial"/>
          <w:color w:val="auto"/>
          <w:szCs w:val="21"/>
          <w:highlight w:val="none"/>
        </w:rPr>
      </w:pP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06"/>
        <w:gridCol w:w="1537"/>
        <w:gridCol w:w="1371"/>
        <w:gridCol w:w="2163"/>
        <w:gridCol w:w="2000"/>
      </w:tblGrid>
      <w:tr w14:paraId="57AB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79C562AA">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姓 名</w:t>
            </w:r>
          </w:p>
        </w:tc>
        <w:tc>
          <w:tcPr>
            <w:tcW w:w="806" w:type="dxa"/>
            <w:vAlign w:val="center"/>
          </w:tcPr>
          <w:p w14:paraId="77486DF1">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职务</w:t>
            </w:r>
          </w:p>
        </w:tc>
        <w:tc>
          <w:tcPr>
            <w:tcW w:w="1537" w:type="dxa"/>
            <w:vAlign w:val="center"/>
          </w:tcPr>
          <w:p w14:paraId="12E2EBAF">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专业技术资格</w:t>
            </w:r>
          </w:p>
        </w:tc>
        <w:tc>
          <w:tcPr>
            <w:tcW w:w="1371" w:type="dxa"/>
            <w:vAlign w:val="center"/>
          </w:tcPr>
          <w:p w14:paraId="07F6009F">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证书编号</w:t>
            </w:r>
          </w:p>
        </w:tc>
        <w:tc>
          <w:tcPr>
            <w:tcW w:w="2163" w:type="dxa"/>
            <w:vAlign w:val="center"/>
          </w:tcPr>
          <w:p w14:paraId="11C1021C">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参加本单位</w:t>
            </w:r>
          </w:p>
          <w:p w14:paraId="1D138146">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工作时间</w:t>
            </w:r>
          </w:p>
        </w:tc>
        <w:tc>
          <w:tcPr>
            <w:tcW w:w="2000" w:type="dxa"/>
            <w:vAlign w:val="center"/>
          </w:tcPr>
          <w:p w14:paraId="1E0E6780">
            <w:pPr>
              <w:spacing w:line="400" w:lineRule="exact"/>
              <w:jc w:val="center"/>
              <w:rPr>
                <w:rFonts w:ascii="Arial" w:hAnsi="Arial" w:eastAsia="宋体" w:cs="Arial"/>
                <w:color w:val="auto"/>
                <w:szCs w:val="21"/>
                <w:highlight w:val="none"/>
              </w:rPr>
            </w:pPr>
            <w:r>
              <w:rPr>
                <w:rFonts w:ascii="Arial" w:hAnsi="Arial" w:eastAsia="宋体" w:cs="Arial"/>
                <w:color w:val="auto"/>
                <w:szCs w:val="21"/>
                <w:highlight w:val="none"/>
              </w:rPr>
              <w:t>劳动合同编号</w:t>
            </w:r>
          </w:p>
        </w:tc>
      </w:tr>
      <w:tr w14:paraId="0629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1421C395">
            <w:pPr>
              <w:spacing w:line="400" w:lineRule="exact"/>
              <w:rPr>
                <w:rFonts w:ascii="Arial" w:hAnsi="Arial" w:eastAsia="宋体" w:cs="Arial"/>
                <w:color w:val="auto"/>
                <w:szCs w:val="21"/>
                <w:highlight w:val="none"/>
              </w:rPr>
            </w:pPr>
          </w:p>
        </w:tc>
        <w:tc>
          <w:tcPr>
            <w:tcW w:w="806" w:type="dxa"/>
          </w:tcPr>
          <w:p w14:paraId="4C59347F">
            <w:pPr>
              <w:spacing w:line="400" w:lineRule="exact"/>
              <w:rPr>
                <w:rFonts w:ascii="Arial" w:hAnsi="Arial" w:eastAsia="宋体" w:cs="Arial"/>
                <w:color w:val="auto"/>
                <w:szCs w:val="21"/>
                <w:highlight w:val="none"/>
              </w:rPr>
            </w:pPr>
          </w:p>
        </w:tc>
        <w:tc>
          <w:tcPr>
            <w:tcW w:w="1537" w:type="dxa"/>
          </w:tcPr>
          <w:p w14:paraId="0A7845A8">
            <w:pPr>
              <w:spacing w:line="400" w:lineRule="exact"/>
              <w:rPr>
                <w:rFonts w:ascii="Arial" w:hAnsi="Arial" w:eastAsia="宋体" w:cs="Arial"/>
                <w:color w:val="auto"/>
                <w:szCs w:val="21"/>
                <w:highlight w:val="none"/>
              </w:rPr>
            </w:pPr>
          </w:p>
        </w:tc>
        <w:tc>
          <w:tcPr>
            <w:tcW w:w="1371" w:type="dxa"/>
          </w:tcPr>
          <w:p w14:paraId="197E8C61">
            <w:pPr>
              <w:spacing w:line="400" w:lineRule="exact"/>
              <w:rPr>
                <w:rFonts w:ascii="Arial" w:hAnsi="Arial" w:eastAsia="宋体" w:cs="Arial"/>
                <w:color w:val="auto"/>
                <w:szCs w:val="21"/>
                <w:highlight w:val="none"/>
              </w:rPr>
            </w:pPr>
          </w:p>
        </w:tc>
        <w:tc>
          <w:tcPr>
            <w:tcW w:w="2163" w:type="dxa"/>
          </w:tcPr>
          <w:p w14:paraId="078FCBCB">
            <w:pPr>
              <w:spacing w:line="400" w:lineRule="exact"/>
              <w:rPr>
                <w:rFonts w:ascii="Arial" w:hAnsi="Arial" w:eastAsia="宋体" w:cs="Arial"/>
                <w:color w:val="auto"/>
                <w:szCs w:val="21"/>
                <w:highlight w:val="none"/>
              </w:rPr>
            </w:pPr>
          </w:p>
        </w:tc>
        <w:tc>
          <w:tcPr>
            <w:tcW w:w="2000" w:type="dxa"/>
          </w:tcPr>
          <w:p w14:paraId="6D6AD2FA">
            <w:pPr>
              <w:spacing w:line="400" w:lineRule="exact"/>
              <w:rPr>
                <w:rFonts w:ascii="Arial" w:hAnsi="Arial" w:eastAsia="宋体" w:cs="Arial"/>
                <w:color w:val="auto"/>
                <w:szCs w:val="21"/>
                <w:highlight w:val="none"/>
              </w:rPr>
            </w:pPr>
          </w:p>
        </w:tc>
      </w:tr>
      <w:tr w14:paraId="1791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14:paraId="037E9BB3">
            <w:pPr>
              <w:spacing w:line="400" w:lineRule="exact"/>
              <w:rPr>
                <w:rFonts w:ascii="Arial" w:hAnsi="Arial" w:eastAsia="宋体" w:cs="Arial"/>
                <w:color w:val="auto"/>
                <w:szCs w:val="21"/>
                <w:highlight w:val="none"/>
              </w:rPr>
            </w:pPr>
          </w:p>
        </w:tc>
        <w:tc>
          <w:tcPr>
            <w:tcW w:w="806" w:type="dxa"/>
          </w:tcPr>
          <w:p w14:paraId="1CAF4AED">
            <w:pPr>
              <w:spacing w:line="400" w:lineRule="exact"/>
              <w:rPr>
                <w:rFonts w:ascii="Arial" w:hAnsi="Arial" w:eastAsia="宋体" w:cs="Arial"/>
                <w:color w:val="auto"/>
                <w:szCs w:val="21"/>
                <w:highlight w:val="none"/>
              </w:rPr>
            </w:pPr>
          </w:p>
        </w:tc>
        <w:tc>
          <w:tcPr>
            <w:tcW w:w="1537" w:type="dxa"/>
          </w:tcPr>
          <w:p w14:paraId="205F5738">
            <w:pPr>
              <w:spacing w:line="400" w:lineRule="exact"/>
              <w:rPr>
                <w:rFonts w:ascii="Arial" w:hAnsi="Arial" w:eastAsia="宋体" w:cs="Arial"/>
                <w:color w:val="auto"/>
                <w:szCs w:val="21"/>
                <w:highlight w:val="none"/>
              </w:rPr>
            </w:pPr>
          </w:p>
        </w:tc>
        <w:tc>
          <w:tcPr>
            <w:tcW w:w="1371" w:type="dxa"/>
          </w:tcPr>
          <w:p w14:paraId="3B8440D5">
            <w:pPr>
              <w:spacing w:line="400" w:lineRule="exact"/>
              <w:rPr>
                <w:rFonts w:ascii="Arial" w:hAnsi="Arial" w:eastAsia="宋体" w:cs="Arial"/>
                <w:color w:val="auto"/>
                <w:szCs w:val="21"/>
                <w:highlight w:val="none"/>
              </w:rPr>
            </w:pPr>
          </w:p>
        </w:tc>
        <w:tc>
          <w:tcPr>
            <w:tcW w:w="2163" w:type="dxa"/>
          </w:tcPr>
          <w:p w14:paraId="3574652F">
            <w:pPr>
              <w:spacing w:line="400" w:lineRule="exact"/>
              <w:rPr>
                <w:rFonts w:ascii="Arial" w:hAnsi="Arial" w:eastAsia="宋体" w:cs="Arial"/>
                <w:color w:val="auto"/>
                <w:szCs w:val="21"/>
                <w:highlight w:val="none"/>
              </w:rPr>
            </w:pPr>
          </w:p>
        </w:tc>
        <w:tc>
          <w:tcPr>
            <w:tcW w:w="2000" w:type="dxa"/>
          </w:tcPr>
          <w:p w14:paraId="4F9134CC">
            <w:pPr>
              <w:spacing w:line="400" w:lineRule="exact"/>
              <w:rPr>
                <w:rFonts w:ascii="Arial" w:hAnsi="Arial" w:eastAsia="宋体" w:cs="Arial"/>
                <w:color w:val="auto"/>
                <w:szCs w:val="21"/>
                <w:highlight w:val="none"/>
              </w:rPr>
            </w:pPr>
          </w:p>
        </w:tc>
      </w:tr>
    </w:tbl>
    <w:p w14:paraId="506373A2">
      <w:pPr>
        <w:spacing w:line="400" w:lineRule="exact"/>
        <w:rPr>
          <w:rFonts w:ascii="Arial" w:hAnsi="Arial" w:eastAsia="宋体" w:cs="Arial"/>
          <w:color w:val="auto"/>
          <w:szCs w:val="21"/>
          <w:highlight w:val="none"/>
        </w:rPr>
      </w:pPr>
    </w:p>
    <w:p w14:paraId="5F026E63">
      <w:pPr>
        <w:spacing w:line="400" w:lineRule="exact"/>
        <w:rPr>
          <w:rFonts w:ascii="Arial" w:hAnsi="Arial" w:eastAsia="宋体" w:cs="Arial"/>
          <w:color w:val="auto"/>
          <w:szCs w:val="21"/>
          <w:highlight w:val="none"/>
        </w:rPr>
      </w:pPr>
      <w:r>
        <w:rPr>
          <w:rFonts w:ascii="Arial" w:hAnsi="Arial" w:eastAsia="宋体" w:cs="Arial"/>
          <w:color w:val="auto"/>
          <w:szCs w:val="21"/>
          <w:highlight w:val="none"/>
        </w:rPr>
        <w:t>注：1.在填写时，如本表格不适合供应商的实际情况，可根据本表格式自行制表填写。</w:t>
      </w:r>
    </w:p>
    <w:p w14:paraId="527B6FD0">
      <w:pPr>
        <w:spacing w:line="400" w:lineRule="exact"/>
        <w:ind w:left="420" w:leftChars="200"/>
        <w:rPr>
          <w:rFonts w:ascii="Arial" w:hAnsi="Arial" w:eastAsia="宋体" w:cs="Arial"/>
          <w:color w:val="auto"/>
          <w:szCs w:val="21"/>
          <w:highlight w:val="none"/>
        </w:rPr>
      </w:pPr>
      <w:r>
        <w:rPr>
          <w:rFonts w:ascii="Arial" w:hAnsi="Arial" w:eastAsia="宋体" w:cs="Arial"/>
          <w:color w:val="auto"/>
          <w:szCs w:val="21"/>
          <w:highlight w:val="none"/>
        </w:rPr>
        <w:t>2.项目实施人员一览表须由法定代表人或相应的委托代理人签字并加盖供应商公章。</w:t>
      </w:r>
    </w:p>
    <w:p w14:paraId="0179950A">
      <w:pPr>
        <w:spacing w:line="400" w:lineRule="exact"/>
        <w:rPr>
          <w:rFonts w:ascii="Arial" w:hAnsi="Arial" w:eastAsia="宋体" w:cs="Arial"/>
          <w:color w:val="auto"/>
          <w:szCs w:val="21"/>
          <w:highlight w:val="none"/>
        </w:rPr>
      </w:pPr>
    </w:p>
    <w:p w14:paraId="630989FA">
      <w:pPr>
        <w:snapToGrid w:val="0"/>
        <w:spacing w:line="400" w:lineRule="exact"/>
        <w:ind w:firstLine="3570" w:firstLineChars="1700"/>
        <w:rPr>
          <w:rFonts w:ascii="Arial" w:hAnsi="Arial" w:eastAsia="宋体" w:cs="Arial"/>
          <w:color w:val="auto"/>
          <w:highlight w:val="none"/>
          <w:u w:val="single"/>
        </w:rPr>
      </w:pPr>
      <w:r>
        <w:rPr>
          <w:rFonts w:ascii="Arial" w:hAnsi="Arial" w:eastAsia="宋体" w:cs="Arial"/>
          <w:color w:val="auto"/>
          <w:highlight w:val="none"/>
        </w:rPr>
        <w:t>供应商（公章）：</w:t>
      </w:r>
      <w:r>
        <w:rPr>
          <w:rFonts w:ascii="Arial" w:hAnsi="Arial" w:eastAsia="宋体" w:cs="Arial"/>
          <w:color w:val="auto"/>
          <w:highlight w:val="none"/>
          <w:u w:val="single"/>
        </w:rPr>
        <w:t xml:space="preserve">                                         </w:t>
      </w:r>
    </w:p>
    <w:p w14:paraId="2ED3649B">
      <w:pPr>
        <w:pStyle w:val="14"/>
        <w:spacing w:line="400" w:lineRule="exact"/>
        <w:ind w:left="3570" w:leftChars="1700"/>
        <w:rPr>
          <w:rFonts w:ascii="Arial" w:hAnsi="Arial" w:eastAsia="宋体" w:cs="Arial"/>
          <w:color w:val="auto"/>
          <w:highlight w:val="none"/>
          <w:u w:val="single"/>
        </w:rPr>
      </w:pPr>
      <w:r>
        <w:rPr>
          <w:rFonts w:ascii="Arial" w:hAnsi="Arial" w:eastAsia="宋体" w:cs="Arial"/>
          <w:color w:val="auto"/>
          <w:highlight w:val="none"/>
        </w:rPr>
        <w:t>法定代表人、负责人或相应的委托代理人签字：</w:t>
      </w:r>
      <w:r>
        <w:rPr>
          <w:rFonts w:ascii="Arial" w:hAnsi="Arial" w:eastAsia="宋体" w:cs="Arial"/>
          <w:color w:val="auto"/>
          <w:highlight w:val="none"/>
          <w:u w:val="single"/>
        </w:rPr>
        <w:t xml:space="preserve">               </w:t>
      </w:r>
    </w:p>
    <w:p w14:paraId="7D9E7EF8">
      <w:pPr>
        <w:pStyle w:val="14"/>
        <w:spacing w:line="340" w:lineRule="exact"/>
        <w:ind w:firstLine="3570" w:firstLineChars="1700"/>
        <w:rPr>
          <w:rFonts w:ascii="Arial" w:hAnsi="Arial" w:eastAsia="宋体" w:cs="Arial"/>
          <w:color w:val="auto"/>
          <w:highlight w:val="none"/>
        </w:rPr>
      </w:pPr>
      <w:r>
        <w:rPr>
          <w:rFonts w:ascii="Arial" w:hAnsi="Arial" w:eastAsia="宋体" w:cs="Arial"/>
          <w:color w:val="auto"/>
          <w:highlight w:val="none"/>
        </w:rPr>
        <w:t>日          期：</w:t>
      </w:r>
      <w:r>
        <w:rPr>
          <w:rFonts w:ascii="Arial" w:hAnsi="Arial" w:eastAsia="宋体" w:cs="Arial"/>
          <w:color w:val="auto"/>
          <w:highlight w:val="none"/>
          <w:u w:val="single"/>
        </w:rPr>
        <w:t xml:space="preserve">                             </w:t>
      </w:r>
    </w:p>
    <w:p w14:paraId="0BE71E13">
      <w:pPr>
        <w:pStyle w:val="14"/>
        <w:spacing w:line="340" w:lineRule="exact"/>
        <w:rPr>
          <w:rFonts w:ascii="Arial" w:hAnsi="Arial" w:eastAsia="宋体" w:cs="Arial"/>
          <w:b/>
          <w:color w:val="auto"/>
          <w:sz w:val="28"/>
          <w:szCs w:val="28"/>
          <w:highlight w:val="none"/>
        </w:rPr>
      </w:pPr>
    </w:p>
    <w:p w14:paraId="2AC2B5A8">
      <w:pPr>
        <w:pStyle w:val="7"/>
        <w:ind w:left="2940"/>
        <w:rPr>
          <w:rFonts w:ascii="Arial" w:hAnsi="Arial" w:eastAsia="宋体" w:cs="Arial"/>
          <w:color w:val="auto"/>
          <w:highlight w:val="none"/>
        </w:rPr>
      </w:pPr>
    </w:p>
    <w:p w14:paraId="47421A48">
      <w:pPr>
        <w:pStyle w:val="14"/>
        <w:spacing w:line="340" w:lineRule="exact"/>
        <w:rPr>
          <w:rFonts w:ascii="Arial" w:hAnsi="Arial" w:eastAsia="宋体" w:cs="Arial"/>
          <w:b/>
          <w:color w:val="auto"/>
          <w:sz w:val="28"/>
          <w:szCs w:val="28"/>
          <w:highlight w:val="none"/>
        </w:rPr>
      </w:pPr>
    </w:p>
    <w:p w14:paraId="202A5F78">
      <w:pPr>
        <w:pStyle w:val="14"/>
        <w:spacing w:line="34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2.供应商具有同类产品的销售业绩的相关证明材料（无不良记录，以中标、成交通知书或签订的销售合同为准，并能清晰反映所销售的货物名称、种类、金额）（如有，请提供）；</w:t>
      </w:r>
    </w:p>
    <w:p w14:paraId="18267F59">
      <w:pPr>
        <w:pStyle w:val="14"/>
        <w:spacing w:line="340" w:lineRule="exact"/>
        <w:rPr>
          <w:rFonts w:ascii="Arial" w:hAnsi="Arial" w:eastAsia="宋体" w:cs="Arial"/>
          <w:b/>
          <w:color w:val="auto"/>
          <w:sz w:val="28"/>
          <w:szCs w:val="28"/>
          <w:highlight w:val="none"/>
        </w:rPr>
      </w:pPr>
    </w:p>
    <w:p w14:paraId="49906033">
      <w:pPr>
        <w:tabs>
          <w:tab w:val="left" w:pos="1305"/>
        </w:tabs>
        <w:spacing w:line="520" w:lineRule="exact"/>
        <w:rPr>
          <w:rFonts w:ascii="Arial" w:hAnsi="Arial" w:eastAsia="宋体" w:cs="Arial"/>
          <w:b/>
          <w:color w:val="auto"/>
          <w:sz w:val="28"/>
          <w:szCs w:val="28"/>
          <w:highlight w:val="none"/>
        </w:rPr>
      </w:pPr>
    </w:p>
    <w:p w14:paraId="11339E88">
      <w:pPr>
        <w:tabs>
          <w:tab w:val="left" w:pos="1305"/>
        </w:tabs>
        <w:spacing w:line="52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3.供应商相关获奖证书、认证证书等复印件（如有，请提供）；</w:t>
      </w:r>
    </w:p>
    <w:p w14:paraId="01805A5A">
      <w:pPr>
        <w:pStyle w:val="14"/>
        <w:spacing w:line="340" w:lineRule="exact"/>
        <w:rPr>
          <w:rFonts w:ascii="Arial" w:hAnsi="Arial" w:eastAsia="宋体" w:cs="Arial"/>
          <w:b/>
          <w:color w:val="auto"/>
          <w:sz w:val="28"/>
          <w:szCs w:val="28"/>
          <w:highlight w:val="none"/>
        </w:rPr>
      </w:pPr>
    </w:p>
    <w:p w14:paraId="59267193">
      <w:pPr>
        <w:pStyle w:val="7"/>
        <w:ind w:left="2940"/>
        <w:rPr>
          <w:rFonts w:hint="eastAsia"/>
          <w:color w:val="auto"/>
          <w:highlight w:val="none"/>
        </w:rPr>
      </w:pPr>
    </w:p>
    <w:p w14:paraId="386BA8AB">
      <w:pPr>
        <w:pStyle w:val="14"/>
        <w:spacing w:line="340" w:lineRule="exact"/>
        <w:rPr>
          <w:rFonts w:ascii="Arial" w:hAnsi="Arial" w:eastAsia="宋体" w:cs="Arial"/>
          <w:b/>
          <w:color w:val="auto"/>
          <w:sz w:val="28"/>
          <w:szCs w:val="28"/>
          <w:highlight w:val="none"/>
        </w:rPr>
      </w:pPr>
    </w:p>
    <w:p w14:paraId="2D6D4A75">
      <w:pPr>
        <w:pStyle w:val="14"/>
        <w:spacing w:line="340" w:lineRule="exact"/>
        <w:rPr>
          <w:rFonts w:ascii="Arial" w:hAnsi="Arial" w:eastAsia="宋体" w:cs="Arial"/>
          <w:b/>
          <w:color w:val="auto"/>
          <w:sz w:val="28"/>
          <w:szCs w:val="28"/>
          <w:highlight w:val="none"/>
        </w:rPr>
      </w:pPr>
      <w:r>
        <w:rPr>
          <w:rFonts w:ascii="Arial" w:hAnsi="Arial" w:eastAsia="宋体" w:cs="Arial"/>
          <w:b/>
          <w:color w:val="auto"/>
          <w:sz w:val="28"/>
          <w:szCs w:val="28"/>
          <w:highlight w:val="none"/>
        </w:rPr>
        <w:t>4.供应商可结合本项目自身情况自行提交其它相关证明材料（如有，请提供）</w:t>
      </w:r>
    </w:p>
    <w:p w14:paraId="25C01AA0">
      <w:pPr>
        <w:rPr>
          <w:rFonts w:ascii="Arial" w:hAnsi="Arial" w:eastAsia="宋体" w:cs="Arial"/>
          <w:color w:val="auto"/>
          <w:highlight w:val="none"/>
        </w:rPr>
      </w:pPr>
      <w:r>
        <w:rPr>
          <w:rFonts w:ascii="Arial" w:hAnsi="Arial" w:eastAsia="宋体" w:cs="Arial"/>
          <w:color w:val="auto"/>
          <w:highlight w:val="none"/>
        </w:rPr>
        <w:br w:type="page"/>
      </w:r>
    </w:p>
    <w:p w14:paraId="1865A69B">
      <w:pPr>
        <w:rPr>
          <w:rFonts w:ascii="Arial" w:hAnsi="Arial" w:eastAsia="宋体" w:cs="Arial"/>
          <w:color w:val="auto"/>
          <w:sz w:val="28"/>
          <w:szCs w:val="28"/>
          <w:highlight w:val="none"/>
        </w:rPr>
      </w:pPr>
      <w:r>
        <w:rPr>
          <w:rFonts w:ascii="Arial" w:hAnsi="Arial" w:eastAsia="宋体" w:cs="Arial"/>
          <w:b/>
          <w:color w:val="auto"/>
          <w:sz w:val="28"/>
          <w:szCs w:val="28"/>
          <w:highlight w:val="none"/>
        </w:rPr>
        <w:t>附件（如有，请提供）：</w:t>
      </w:r>
    </w:p>
    <w:p w14:paraId="0A5C8354">
      <w:pPr>
        <w:rPr>
          <w:rFonts w:ascii="Arial" w:hAnsi="Arial" w:eastAsia="宋体" w:cs="Arial"/>
          <w:b/>
          <w:color w:val="auto"/>
          <w:szCs w:val="21"/>
          <w:highlight w:val="none"/>
        </w:rPr>
      </w:pPr>
      <w:r>
        <w:rPr>
          <w:rFonts w:ascii="Arial" w:hAnsi="Arial" w:eastAsia="宋体" w:cs="Arial"/>
          <w:color w:val="auto"/>
          <w:szCs w:val="21"/>
          <w:highlight w:val="none"/>
        </w:rPr>
        <w:t>1</w:t>
      </w:r>
      <w:r>
        <w:rPr>
          <w:rFonts w:hint="eastAsia" w:ascii="Arial" w:hAnsi="Arial" w:eastAsia="宋体" w:cs="Arial"/>
          <w:color w:val="auto"/>
          <w:szCs w:val="21"/>
          <w:highlight w:val="none"/>
        </w:rPr>
        <w:t>.</w:t>
      </w:r>
      <w:r>
        <w:rPr>
          <w:rFonts w:ascii="Arial" w:hAnsi="Arial" w:eastAsia="宋体" w:cs="Arial"/>
          <w:bCs/>
          <w:color w:val="auto"/>
          <w:szCs w:val="21"/>
          <w:highlight w:val="none"/>
        </w:rPr>
        <w:t>中小企业声明函</w:t>
      </w:r>
      <w:r>
        <w:rPr>
          <w:rFonts w:ascii="Arial" w:hAnsi="Arial" w:eastAsia="宋体" w:cs="Arial"/>
          <w:color w:val="auto"/>
          <w:szCs w:val="21"/>
          <w:highlight w:val="none"/>
        </w:rPr>
        <w:t>。</w:t>
      </w:r>
      <w:bookmarkStart w:id="55" w:name="_Hlk60651253"/>
    </w:p>
    <w:bookmarkEnd w:id="55"/>
    <w:p w14:paraId="708A30CC">
      <w:pPr>
        <w:spacing w:line="360" w:lineRule="auto"/>
        <w:ind w:firstLine="3584" w:firstLineChars="1700"/>
        <w:rPr>
          <w:rFonts w:ascii="Arial" w:hAnsi="Arial" w:eastAsia="宋体" w:cs="Arial"/>
          <w:b/>
          <w:color w:val="auto"/>
          <w:szCs w:val="21"/>
          <w:highlight w:val="none"/>
        </w:rPr>
      </w:pPr>
      <w:bookmarkStart w:id="56" w:name="_Hlk60653683"/>
      <w:bookmarkStart w:id="57" w:name="_Hlk60649458"/>
      <w:bookmarkStart w:id="58" w:name="_Hlk19115884"/>
      <w:bookmarkStart w:id="59" w:name="_Hlk65852042"/>
      <w:r>
        <w:rPr>
          <w:rFonts w:ascii="Arial" w:hAnsi="Arial" w:eastAsia="宋体" w:cs="Arial"/>
          <w:b/>
          <w:color w:val="auto"/>
          <w:szCs w:val="21"/>
          <w:highlight w:val="none"/>
        </w:rPr>
        <w:t>中小企业声明函（货物）</w:t>
      </w:r>
    </w:p>
    <w:p w14:paraId="163600F8">
      <w:pPr>
        <w:spacing w:line="360" w:lineRule="auto"/>
        <w:ind w:firstLine="420"/>
        <w:rPr>
          <w:rFonts w:ascii="Arial" w:hAnsi="Arial" w:eastAsia="宋体" w:cs="Arial"/>
          <w:bCs/>
          <w:color w:val="auto"/>
          <w:szCs w:val="21"/>
          <w:highlight w:val="none"/>
        </w:rPr>
      </w:pPr>
      <w:r>
        <w:rPr>
          <w:rFonts w:ascii="Arial" w:hAnsi="Arial" w:eastAsia="宋体" w:cs="Arial"/>
          <w:bCs/>
          <w:color w:val="auto"/>
          <w:szCs w:val="21"/>
          <w:highlight w:val="none"/>
        </w:rPr>
        <w:t>本公司（联合体）郑重声明，根据《政府采购促进中小企业发展管理办法》（财库﹝2020﹞46 号）的规定，本公司（联合体）参加</w:t>
      </w:r>
      <w:r>
        <w:rPr>
          <w:rFonts w:ascii="Arial" w:hAnsi="Arial" w:eastAsia="宋体" w:cs="Arial"/>
          <w:bCs/>
          <w:color w:val="auto"/>
          <w:szCs w:val="21"/>
          <w:highlight w:val="none"/>
          <w:u w:val="single"/>
        </w:rPr>
        <w:t>（单位名称）</w:t>
      </w:r>
      <w:r>
        <w:rPr>
          <w:rFonts w:ascii="Arial" w:hAnsi="Arial" w:eastAsia="宋体" w:cs="Arial"/>
          <w:bCs/>
          <w:color w:val="auto"/>
          <w:szCs w:val="21"/>
          <w:highlight w:val="none"/>
        </w:rPr>
        <w:t>的</w:t>
      </w:r>
      <w:r>
        <w:rPr>
          <w:rFonts w:ascii="Arial" w:hAnsi="Arial" w:eastAsia="宋体" w:cs="Arial"/>
          <w:bCs/>
          <w:color w:val="auto"/>
          <w:szCs w:val="21"/>
          <w:highlight w:val="none"/>
          <w:u w:val="single"/>
        </w:rPr>
        <w:t>（项目名称）</w:t>
      </w:r>
      <w:r>
        <w:rPr>
          <w:rFonts w:ascii="Arial" w:hAnsi="Arial" w:eastAsia="宋体" w:cs="Arial"/>
          <w:bCs/>
          <w:color w:val="auto"/>
          <w:szCs w:val="21"/>
          <w:highlight w:val="none"/>
        </w:rPr>
        <w:t>采购活动，提供的货物全部由符合政策要求的中小企业制造。相关企业（含联合体中的中小企业、签订分包意向协议的中小企业）的具体情况如下：</w:t>
      </w:r>
    </w:p>
    <w:p w14:paraId="090BF9A3">
      <w:pPr>
        <w:spacing w:line="360" w:lineRule="auto"/>
        <w:ind w:firstLine="420"/>
        <w:rPr>
          <w:rFonts w:ascii="Arial" w:hAnsi="Arial" w:eastAsia="宋体" w:cs="Arial"/>
          <w:bCs/>
          <w:color w:val="auto"/>
          <w:szCs w:val="21"/>
          <w:highlight w:val="none"/>
        </w:rPr>
      </w:pPr>
      <w:r>
        <w:rPr>
          <w:rFonts w:ascii="Arial" w:hAnsi="Arial" w:eastAsia="宋体" w:cs="Arial"/>
          <w:bCs/>
          <w:color w:val="auto"/>
          <w:szCs w:val="21"/>
          <w:highlight w:val="none"/>
        </w:rPr>
        <w:t>1.</w:t>
      </w:r>
      <w:r>
        <w:rPr>
          <w:rFonts w:ascii="Arial" w:hAnsi="Arial" w:eastAsia="宋体" w:cs="Arial"/>
          <w:bCs/>
          <w:color w:val="auto"/>
          <w:szCs w:val="21"/>
          <w:highlight w:val="none"/>
          <w:u w:val="single"/>
        </w:rPr>
        <w:t>（标的名称）</w:t>
      </w:r>
      <w:r>
        <w:rPr>
          <w:rFonts w:ascii="Arial" w:hAnsi="Arial" w:eastAsia="宋体" w:cs="Arial"/>
          <w:bCs/>
          <w:color w:val="auto"/>
          <w:szCs w:val="21"/>
          <w:highlight w:val="none"/>
        </w:rPr>
        <w:t>，属于</w:t>
      </w:r>
      <w:r>
        <w:rPr>
          <w:rFonts w:ascii="Arial" w:hAnsi="Arial" w:eastAsia="宋体" w:cs="Arial"/>
          <w:bCs/>
          <w:color w:val="auto"/>
          <w:szCs w:val="21"/>
          <w:highlight w:val="none"/>
          <w:u w:val="single"/>
        </w:rPr>
        <w:t>（</w:t>
      </w:r>
      <w:r>
        <w:rPr>
          <w:rFonts w:hint="eastAsia" w:ascii="Arial" w:hAnsi="Arial" w:eastAsia="宋体" w:cs="Arial"/>
          <w:bCs/>
          <w:color w:val="auto"/>
          <w:szCs w:val="21"/>
          <w:highlight w:val="none"/>
          <w:u w:val="single"/>
        </w:rPr>
        <w:t>采购文</w:t>
      </w:r>
      <w:r>
        <w:rPr>
          <w:rFonts w:ascii="Arial" w:hAnsi="Arial" w:eastAsia="宋体" w:cs="Arial"/>
          <w:bCs/>
          <w:color w:val="auto"/>
          <w:szCs w:val="21"/>
          <w:highlight w:val="none"/>
          <w:u w:val="single"/>
        </w:rPr>
        <w:t>件中明确的所属行业）</w:t>
      </w:r>
      <w:r>
        <w:rPr>
          <w:rFonts w:ascii="Arial" w:hAnsi="Arial" w:eastAsia="宋体" w:cs="Arial"/>
          <w:bCs/>
          <w:color w:val="auto"/>
          <w:szCs w:val="21"/>
          <w:highlight w:val="none"/>
        </w:rPr>
        <w:t>行业；制造商为</w:t>
      </w:r>
      <w:r>
        <w:rPr>
          <w:rFonts w:ascii="Arial" w:hAnsi="Arial" w:eastAsia="宋体" w:cs="Arial"/>
          <w:bCs/>
          <w:color w:val="auto"/>
          <w:szCs w:val="21"/>
          <w:highlight w:val="none"/>
          <w:u w:val="single"/>
        </w:rPr>
        <w:t>（企业名称）</w:t>
      </w:r>
      <w:r>
        <w:rPr>
          <w:rFonts w:ascii="Arial" w:hAnsi="Arial" w:eastAsia="宋体" w:cs="Arial"/>
          <w:bCs/>
          <w:color w:val="auto"/>
          <w:szCs w:val="21"/>
          <w:highlight w:val="none"/>
        </w:rPr>
        <w:t>，从业人员</w:t>
      </w:r>
    </w:p>
    <w:p w14:paraId="41C6D8BD">
      <w:pPr>
        <w:spacing w:line="360" w:lineRule="auto"/>
        <w:rPr>
          <w:rFonts w:ascii="Arial" w:hAnsi="Arial" w:eastAsia="宋体" w:cs="Arial"/>
          <w:bCs/>
          <w:color w:val="auto"/>
          <w:szCs w:val="21"/>
          <w:highlight w:val="none"/>
        </w:rPr>
      </w:pP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人，营业收入为</w:t>
      </w: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万元，资产总额为</w:t>
      </w: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万元，属于</w:t>
      </w:r>
      <w:r>
        <w:rPr>
          <w:rFonts w:ascii="Arial" w:hAnsi="Arial" w:eastAsia="宋体" w:cs="Arial"/>
          <w:bCs/>
          <w:color w:val="auto"/>
          <w:szCs w:val="21"/>
          <w:highlight w:val="none"/>
          <w:u w:val="single"/>
        </w:rPr>
        <w:t>（中型企业、小型企业、微型企业）</w:t>
      </w:r>
      <w:r>
        <w:rPr>
          <w:rFonts w:ascii="Arial" w:hAnsi="Arial" w:eastAsia="宋体" w:cs="Arial"/>
          <w:bCs/>
          <w:color w:val="auto"/>
          <w:szCs w:val="21"/>
          <w:highlight w:val="none"/>
        </w:rPr>
        <w:t>；</w:t>
      </w:r>
    </w:p>
    <w:p w14:paraId="13A735DA">
      <w:pPr>
        <w:spacing w:line="360" w:lineRule="auto"/>
        <w:ind w:firstLine="210" w:firstLineChars="100"/>
        <w:rPr>
          <w:rFonts w:ascii="Arial" w:hAnsi="Arial" w:eastAsia="宋体" w:cs="Arial"/>
          <w:bCs/>
          <w:color w:val="auto"/>
          <w:szCs w:val="21"/>
          <w:highlight w:val="none"/>
        </w:rPr>
      </w:pPr>
      <w:r>
        <w:rPr>
          <w:rFonts w:hint="eastAsia" w:ascii="Arial" w:hAnsi="Arial" w:eastAsia="宋体" w:cs="Arial"/>
          <w:bCs/>
          <w:color w:val="auto"/>
          <w:szCs w:val="21"/>
          <w:highlight w:val="none"/>
        </w:rPr>
        <w:t>2.</w:t>
      </w:r>
      <w:r>
        <w:rPr>
          <w:rFonts w:ascii="Arial" w:hAnsi="Arial" w:eastAsia="宋体" w:cs="Arial"/>
          <w:bCs/>
          <w:color w:val="auto"/>
          <w:szCs w:val="21"/>
          <w:highlight w:val="none"/>
          <w:u w:val="single"/>
        </w:rPr>
        <w:t>（标的名称）</w:t>
      </w:r>
      <w:r>
        <w:rPr>
          <w:rFonts w:ascii="Arial" w:hAnsi="Arial" w:eastAsia="宋体" w:cs="Arial"/>
          <w:bCs/>
          <w:color w:val="auto"/>
          <w:szCs w:val="21"/>
          <w:highlight w:val="none"/>
        </w:rPr>
        <w:t>，属于</w:t>
      </w:r>
      <w:r>
        <w:rPr>
          <w:rFonts w:ascii="Arial" w:hAnsi="Arial" w:eastAsia="宋体" w:cs="Arial"/>
          <w:bCs/>
          <w:color w:val="auto"/>
          <w:szCs w:val="21"/>
          <w:highlight w:val="none"/>
          <w:u w:val="single"/>
        </w:rPr>
        <w:t>（</w:t>
      </w:r>
      <w:r>
        <w:rPr>
          <w:rFonts w:hint="eastAsia" w:ascii="Arial" w:hAnsi="Arial" w:eastAsia="宋体" w:cs="Arial"/>
          <w:bCs/>
          <w:color w:val="auto"/>
          <w:szCs w:val="21"/>
          <w:highlight w:val="none"/>
          <w:u w:val="single"/>
        </w:rPr>
        <w:t>采购文</w:t>
      </w:r>
      <w:r>
        <w:rPr>
          <w:rFonts w:ascii="Arial" w:hAnsi="Arial" w:eastAsia="宋体" w:cs="Arial"/>
          <w:bCs/>
          <w:color w:val="auto"/>
          <w:szCs w:val="21"/>
          <w:highlight w:val="none"/>
          <w:u w:val="single"/>
        </w:rPr>
        <w:t>件中明确的所属行业）</w:t>
      </w:r>
      <w:r>
        <w:rPr>
          <w:rFonts w:ascii="Arial" w:hAnsi="Arial" w:eastAsia="宋体" w:cs="Arial"/>
          <w:bCs/>
          <w:color w:val="auto"/>
          <w:szCs w:val="21"/>
          <w:highlight w:val="none"/>
        </w:rPr>
        <w:t>行业；制造商为</w:t>
      </w:r>
      <w:r>
        <w:rPr>
          <w:rFonts w:ascii="Arial" w:hAnsi="Arial" w:eastAsia="宋体" w:cs="Arial"/>
          <w:bCs/>
          <w:color w:val="auto"/>
          <w:szCs w:val="21"/>
          <w:highlight w:val="none"/>
          <w:u w:val="single"/>
        </w:rPr>
        <w:t>（企业名称）</w:t>
      </w:r>
      <w:r>
        <w:rPr>
          <w:rFonts w:ascii="Arial" w:hAnsi="Arial" w:eastAsia="宋体" w:cs="Arial"/>
          <w:bCs/>
          <w:color w:val="auto"/>
          <w:szCs w:val="21"/>
          <w:highlight w:val="none"/>
        </w:rPr>
        <w:t>，从业人员</w:t>
      </w: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人，营业收入为</w:t>
      </w: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万元，资产总额为</w:t>
      </w:r>
      <w:r>
        <w:rPr>
          <w:rFonts w:ascii="Arial" w:hAnsi="Arial" w:eastAsia="宋体" w:cs="Arial"/>
          <w:bCs/>
          <w:color w:val="auto"/>
          <w:szCs w:val="21"/>
          <w:highlight w:val="none"/>
          <w:u w:val="single"/>
        </w:rPr>
        <w:t xml:space="preserve">       </w:t>
      </w:r>
      <w:r>
        <w:rPr>
          <w:rFonts w:ascii="Arial" w:hAnsi="Arial" w:eastAsia="宋体" w:cs="Arial"/>
          <w:bCs/>
          <w:color w:val="auto"/>
          <w:szCs w:val="21"/>
          <w:highlight w:val="none"/>
        </w:rPr>
        <w:t>万元，属于</w:t>
      </w:r>
      <w:r>
        <w:rPr>
          <w:rFonts w:ascii="Arial" w:hAnsi="Arial" w:eastAsia="宋体" w:cs="Arial"/>
          <w:bCs/>
          <w:color w:val="auto"/>
          <w:szCs w:val="21"/>
          <w:highlight w:val="none"/>
          <w:u w:val="single"/>
        </w:rPr>
        <w:t>（中型企业、小型企业、微型企业）</w:t>
      </w:r>
      <w:r>
        <w:rPr>
          <w:rFonts w:ascii="Arial" w:hAnsi="Arial" w:eastAsia="宋体" w:cs="Arial"/>
          <w:bCs/>
          <w:color w:val="auto"/>
          <w:szCs w:val="21"/>
          <w:highlight w:val="none"/>
        </w:rPr>
        <w:t>；</w:t>
      </w:r>
    </w:p>
    <w:p w14:paraId="32B89F35">
      <w:pPr>
        <w:spacing w:line="360" w:lineRule="auto"/>
        <w:ind w:firstLine="420"/>
        <w:rPr>
          <w:rFonts w:ascii="Arial" w:hAnsi="Arial" w:eastAsia="宋体" w:cs="Arial"/>
          <w:bCs/>
          <w:color w:val="auto"/>
          <w:szCs w:val="21"/>
          <w:highlight w:val="none"/>
        </w:rPr>
      </w:pPr>
      <w:r>
        <w:rPr>
          <w:rFonts w:ascii="Arial" w:hAnsi="Arial" w:eastAsia="宋体" w:cs="Arial"/>
          <w:bCs/>
          <w:color w:val="auto"/>
          <w:szCs w:val="21"/>
          <w:highlight w:val="none"/>
        </w:rPr>
        <w:t>……</w:t>
      </w:r>
    </w:p>
    <w:p w14:paraId="704F04E6">
      <w:pPr>
        <w:spacing w:line="360" w:lineRule="auto"/>
        <w:ind w:firstLine="420"/>
        <w:rPr>
          <w:rFonts w:ascii="Arial" w:hAnsi="Arial" w:eastAsia="宋体" w:cs="Arial"/>
          <w:bCs/>
          <w:color w:val="auto"/>
          <w:szCs w:val="21"/>
          <w:highlight w:val="none"/>
        </w:rPr>
      </w:pPr>
      <w:r>
        <w:rPr>
          <w:rFonts w:ascii="Arial" w:hAnsi="Arial" w:eastAsia="宋体" w:cs="Arial"/>
          <w:bCs/>
          <w:color w:val="auto"/>
          <w:szCs w:val="21"/>
          <w:highlight w:val="none"/>
        </w:rPr>
        <w:t>以上企业，不属于大企业的分支机构，不存在控股股东为大企业的情形，也不存在与大企业的负责人为同一人的情形。</w:t>
      </w:r>
    </w:p>
    <w:p w14:paraId="6BAC6009">
      <w:pPr>
        <w:spacing w:line="360" w:lineRule="auto"/>
        <w:ind w:firstLine="420"/>
        <w:rPr>
          <w:rFonts w:ascii="Arial" w:hAnsi="Arial" w:eastAsia="宋体" w:cs="Arial"/>
          <w:bCs/>
          <w:color w:val="auto"/>
          <w:szCs w:val="21"/>
          <w:highlight w:val="none"/>
        </w:rPr>
      </w:pPr>
      <w:r>
        <w:rPr>
          <w:rFonts w:ascii="Arial" w:hAnsi="Arial" w:eastAsia="宋体" w:cs="Arial"/>
          <w:bCs/>
          <w:color w:val="auto"/>
          <w:szCs w:val="21"/>
          <w:highlight w:val="none"/>
        </w:rPr>
        <w:t>本企业对上述声明内容的真实性负责。如有虚假，将依法承担相应责任。</w:t>
      </w:r>
    </w:p>
    <w:p w14:paraId="23431DFD">
      <w:pPr>
        <w:spacing w:line="360" w:lineRule="auto"/>
        <w:ind w:firstLine="4830" w:firstLineChars="2300"/>
        <w:rPr>
          <w:rFonts w:ascii="Arial" w:hAnsi="Arial" w:eastAsia="宋体" w:cs="Arial"/>
          <w:bCs/>
          <w:color w:val="auto"/>
          <w:szCs w:val="21"/>
          <w:highlight w:val="none"/>
        </w:rPr>
      </w:pPr>
      <w:r>
        <w:rPr>
          <w:rFonts w:ascii="Arial" w:hAnsi="Arial" w:eastAsia="宋体" w:cs="Arial"/>
          <w:color w:val="auto"/>
          <w:highlight w:val="none"/>
        </w:rPr>
        <w:t>供应商（公章）</w:t>
      </w:r>
      <w:r>
        <w:rPr>
          <w:rFonts w:ascii="Arial" w:hAnsi="Arial" w:eastAsia="宋体" w:cs="Arial"/>
          <w:bCs/>
          <w:color w:val="auto"/>
          <w:szCs w:val="21"/>
          <w:highlight w:val="none"/>
        </w:rPr>
        <w:t>：    日期：</w:t>
      </w:r>
    </w:p>
    <w:p w14:paraId="25F97FDA">
      <w:pPr>
        <w:spacing w:line="360" w:lineRule="auto"/>
        <w:jc w:val="left"/>
        <w:rPr>
          <w:rFonts w:ascii="Arial" w:hAnsi="Arial" w:eastAsia="宋体" w:cs="Arial"/>
          <w:bCs/>
          <w:color w:val="auto"/>
          <w:szCs w:val="21"/>
          <w:highlight w:val="none"/>
        </w:rPr>
      </w:pPr>
      <w:bookmarkStart w:id="60" w:name="_Hlk65852026"/>
      <w:r>
        <w:rPr>
          <w:rFonts w:ascii="Arial" w:hAnsi="Arial" w:eastAsia="宋体" w:cs="Arial"/>
          <w:bCs/>
          <w:color w:val="auto"/>
          <w:szCs w:val="21"/>
          <w:highlight w:val="none"/>
        </w:rPr>
        <w:t>注：</w:t>
      </w:r>
    </w:p>
    <w:bookmarkEnd w:id="56"/>
    <w:bookmarkEnd w:id="57"/>
    <w:bookmarkEnd w:id="60"/>
    <w:p w14:paraId="1EE22555">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（1）标的名称按照第三章项目采购需求中的货物名称填写，</w:t>
      </w:r>
      <w:r>
        <w:rPr>
          <w:rFonts w:hint="eastAsia" w:ascii="Arial" w:hAnsi="Arial" w:eastAsia="宋体" w:cs="Arial"/>
          <w:b/>
          <w:color w:val="auto"/>
          <w:szCs w:val="21"/>
          <w:highlight w:val="none"/>
        </w:rPr>
        <w:t>本项目所属行业为：</w:t>
      </w:r>
      <w:r>
        <w:rPr>
          <w:rFonts w:hint="eastAsia" w:ascii="Arial" w:hAnsi="Arial" w:eastAsia="宋体" w:cs="Arial"/>
          <w:b/>
          <w:color w:val="auto"/>
          <w:szCs w:val="21"/>
          <w:highlight w:val="none"/>
          <w:lang w:val="en-US" w:eastAsia="zh-CN"/>
        </w:rPr>
        <w:t>工业；序号5线路改造、序号6地面改造翻新、序号7房间清理及垃圾下楼无需填写</w:t>
      </w:r>
      <w:r>
        <w:rPr>
          <w:rFonts w:ascii="Arial" w:hAnsi="Arial" w:eastAsia="宋体" w:cs="Arial"/>
          <w:b/>
          <w:color w:val="auto"/>
          <w:szCs w:val="21"/>
          <w:highlight w:val="none"/>
        </w:rPr>
        <w:t>。</w:t>
      </w:r>
    </w:p>
    <w:p w14:paraId="6A540AD0">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（2）如供应商为联合体或分包的，声明函中“项目名称”应填写联合体中小微企业承担的具体内容或者小微企业具体分包内容。</w:t>
      </w:r>
    </w:p>
    <w:p w14:paraId="6D5BC6F3">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（3）从业人员、营业收入、资产总额填报上一年度数据，无上一年度数据的新成立企业参照国务院批准的中小企业划分标准，根据企业自身情况如实判断。</w:t>
      </w:r>
    </w:p>
    <w:p w14:paraId="623C902B">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2B621D03">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52B9C623">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（6）本声明函由供应商填写，供应商应按中小企业划分标准《关于印发中小企业划型标准规定的通知》（工信部联企业〔2011〕300号</w:t>
      </w:r>
      <w:r>
        <w:rPr>
          <w:rFonts w:ascii="Arial" w:hAnsi="Arial" w:eastAsia="宋体" w:cs="Arial"/>
          <w:color w:val="auto"/>
          <w:szCs w:val="21"/>
          <w:highlight w:val="none"/>
        </w:rPr>
        <w:t>以及《金融业企业划型标准规定》（银发〔2015〕309号）</w:t>
      </w:r>
      <w:r>
        <w:rPr>
          <w:rFonts w:ascii="Arial" w:hAnsi="Arial" w:eastAsia="宋体" w:cs="Arial"/>
          <w:bCs/>
          <w:color w:val="auto"/>
          <w:szCs w:val="21"/>
          <w:highlight w:val="none"/>
        </w:rPr>
        <w:t>）判断是否为中小企业。</w:t>
      </w:r>
    </w:p>
    <w:p w14:paraId="29D599E8">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（7）供应商对《中小企业声明函》的真实性负责，如有虚假则需承担不利后果。依法享受中小企业优惠政策的，采购人或采购代理机构在公告中标结果时，同时公告其《中小企业声明函》，接受社会监督。</w:t>
      </w:r>
    </w:p>
    <w:p w14:paraId="3883732F">
      <w:pPr>
        <w:spacing w:line="360" w:lineRule="auto"/>
        <w:jc w:val="left"/>
        <w:rPr>
          <w:rFonts w:ascii="Arial" w:hAnsi="Arial" w:eastAsia="宋体" w:cs="Arial"/>
          <w:bCs/>
          <w:color w:val="auto"/>
          <w:szCs w:val="21"/>
          <w:highlight w:val="none"/>
        </w:rPr>
      </w:pPr>
      <w:r>
        <w:rPr>
          <w:rFonts w:ascii="Arial" w:hAnsi="Arial" w:eastAsia="宋体"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048C113">
      <w:pPr>
        <w:spacing w:line="360" w:lineRule="auto"/>
        <w:jc w:val="left"/>
        <w:rPr>
          <w:rFonts w:ascii="Arial" w:hAnsi="Arial" w:eastAsia="宋体" w:cs="Arial"/>
          <w:bCs/>
          <w:color w:val="auto"/>
          <w:szCs w:val="21"/>
          <w:highlight w:val="none"/>
        </w:rPr>
      </w:pPr>
    </w:p>
    <w:p w14:paraId="528C3B8D">
      <w:pPr>
        <w:snapToGrid w:val="0"/>
        <w:spacing w:before="50" w:after="156" w:afterLines="50"/>
        <w:jc w:val="left"/>
        <w:rPr>
          <w:rFonts w:ascii="Arial" w:hAnsi="Arial" w:eastAsia="宋体" w:cs="Arial"/>
          <w:color w:val="auto"/>
          <w:szCs w:val="21"/>
          <w:highlight w:val="none"/>
        </w:rPr>
      </w:pPr>
      <w:r>
        <w:rPr>
          <w:rFonts w:ascii="Arial" w:hAnsi="Arial" w:eastAsia="宋体" w:cs="Arial"/>
          <w:color w:val="auto"/>
          <w:szCs w:val="21"/>
          <w:highlight w:val="none"/>
        </w:rPr>
        <w:t>2</w:t>
      </w:r>
      <w:r>
        <w:rPr>
          <w:rFonts w:hint="eastAsia" w:ascii="Arial" w:hAnsi="Arial" w:eastAsia="宋体" w:cs="Arial"/>
          <w:color w:val="auto"/>
          <w:szCs w:val="21"/>
          <w:highlight w:val="none"/>
        </w:rPr>
        <w:t>.</w:t>
      </w:r>
      <w:r>
        <w:rPr>
          <w:rFonts w:ascii="Arial" w:hAnsi="Arial" w:eastAsia="宋体" w:cs="Arial"/>
          <w:color w:val="auto"/>
          <w:szCs w:val="21"/>
          <w:highlight w:val="none"/>
        </w:rPr>
        <w:t>监狱企业须提供最新一期《XX省监狱企业产品目录》或其他监狱企业证明材料。（非监狱企业无需提供）</w:t>
      </w:r>
    </w:p>
    <w:p w14:paraId="63DB724E">
      <w:pPr>
        <w:snapToGrid w:val="0"/>
        <w:spacing w:before="50" w:after="156" w:afterLines="50"/>
        <w:jc w:val="left"/>
        <w:rPr>
          <w:rFonts w:ascii="Arial" w:hAnsi="Arial" w:eastAsia="宋体" w:cs="Arial"/>
          <w:color w:val="auto"/>
          <w:szCs w:val="21"/>
          <w:highlight w:val="none"/>
        </w:rPr>
      </w:pPr>
    </w:p>
    <w:p w14:paraId="74CD779D">
      <w:pPr>
        <w:widowControl/>
        <w:jc w:val="left"/>
        <w:rPr>
          <w:rFonts w:ascii="Arial" w:hAnsi="Arial" w:eastAsia="宋体" w:cs="Arial"/>
          <w:color w:val="auto"/>
          <w:szCs w:val="21"/>
          <w:highlight w:val="none"/>
        </w:rPr>
      </w:pPr>
      <w:r>
        <w:rPr>
          <w:rFonts w:ascii="Arial" w:hAnsi="Arial" w:eastAsia="宋体" w:cs="Arial"/>
          <w:color w:val="auto"/>
          <w:szCs w:val="21"/>
          <w:highlight w:val="none"/>
        </w:rPr>
        <w:t>3</w:t>
      </w:r>
      <w:bookmarkStart w:id="61" w:name="_Hlk19051624"/>
      <w:r>
        <w:rPr>
          <w:rFonts w:hint="eastAsia" w:ascii="Arial" w:hAnsi="Arial" w:eastAsia="宋体" w:cs="Arial"/>
          <w:color w:val="auto"/>
          <w:szCs w:val="21"/>
          <w:highlight w:val="none"/>
        </w:rPr>
        <w:t>.</w:t>
      </w:r>
      <w:r>
        <w:rPr>
          <w:rFonts w:ascii="Arial" w:hAnsi="Arial" w:eastAsia="宋体" w:cs="Arial"/>
          <w:color w:val="auto"/>
          <w:highlight w:val="none"/>
        </w:rPr>
        <w:t>残疾人福利性单位须提供《残疾人福利性单位声明函》，格式如下。</w:t>
      </w:r>
      <w:r>
        <w:rPr>
          <w:rFonts w:ascii="Arial" w:hAnsi="Arial" w:eastAsia="宋体" w:cs="Arial"/>
          <w:color w:val="auto"/>
          <w:szCs w:val="21"/>
          <w:highlight w:val="none"/>
        </w:rPr>
        <w:t>（非残疾人福利性单位无需提供）</w:t>
      </w:r>
    </w:p>
    <w:bookmarkEnd w:id="61"/>
    <w:p w14:paraId="6270E5F7">
      <w:pPr>
        <w:spacing w:line="360" w:lineRule="auto"/>
        <w:jc w:val="center"/>
        <w:rPr>
          <w:rFonts w:ascii="Arial" w:hAnsi="Arial" w:eastAsia="宋体" w:cs="Arial"/>
          <w:b/>
          <w:color w:val="auto"/>
          <w:szCs w:val="21"/>
          <w:highlight w:val="none"/>
        </w:rPr>
      </w:pPr>
      <w:bookmarkStart w:id="62" w:name="OLE_LINK13"/>
      <w:bookmarkStart w:id="63" w:name="OLE_LINK14"/>
      <w:r>
        <w:rPr>
          <w:rFonts w:ascii="Arial" w:hAnsi="Arial" w:eastAsia="宋体" w:cs="Arial"/>
          <w:b/>
          <w:color w:val="auto"/>
          <w:szCs w:val="21"/>
          <w:highlight w:val="none"/>
        </w:rPr>
        <w:t>残疾人福利性单位声明函</w:t>
      </w:r>
      <w:bookmarkEnd w:id="62"/>
      <w:bookmarkEnd w:id="63"/>
    </w:p>
    <w:p w14:paraId="3F13F73B">
      <w:pPr>
        <w:spacing w:line="360" w:lineRule="auto"/>
        <w:ind w:firstLine="420"/>
        <w:jc w:val="left"/>
        <w:rPr>
          <w:rFonts w:ascii="Arial" w:hAnsi="Arial" w:eastAsia="宋体" w:cs="Arial"/>
          <w:color w:val="auto"/>
          <w:szCs w:val="21"/>
          <w:highlight w:val="none"/>
        </w:rPr>
      </w:pPr>
      <w:r>
        <w:rPr>
          <w:rFonts w:ascii="Arial" w:hAnsi="Arial" w:eastAsia="宋体"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单位的</w:t>
      </w:r>
      <w:r>
        <w:rPr>
          <w:rFonts w:ascii="Arial" w:hAnsi="Arial" w:eastAsia="宋体" w:cs="Arial"/>
          <w:color w:val="auto"/>
          <w:szCs w:val="21"/>
          <w:highlight w:val="none"/>
          <w:u w:val="single"/>
        </w:rPr>
        <w:t xml:space="preserve">           </w:t>
      </w:r>
      <w:r>
        <w:rPr>
          <w:rFonts w:ascii="Arial" w:hAnsi="Arial" w:eastAsia="宋体"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9794298">
      <w:pPr>
        <w:spacing w:line="360" w:lineRule="auto"/>
        <w:ind w:firstLine="420"/>
        <w:rPr>
          <w:rFonts w:ascii="Arial" w:hAnsi="Arial" w:eastAsia="宋体" w:cs="Arial"/>
          <w:color w:val="auto"/>
          <w:szCs w:val="21"/>
          <w:highlight w:val="none"/>
        </w:rPr>
      </w:pPr>
      <w:r>
        <w:rPr>
          <w:rFonts w:ascii="Arial" w:hAnsi="Arial" w:eastAsia="宋体" w:cs="Arial"/>
          <w:color w:val="auto"/>
          <w:szCs w:val="21"/>
          <w:highlight w:val="none"/>
        </w:rPr>
        <w:t>本单位对上述声明的真实性负责。如有虚假，将依法承担相应责任。</w:t>
      </w:r>
    </w:p>
    <w:p w14:paraId="2DCECCAC">
      <w:pPr>
        <w:spacing w:line="360" w:lineRule="auto"/>
        <w:ind w:firstLine="420"/>
        <w:jc w:val="center"/>
        <w:rPr>
          <w:rFonts w:ascii="Arial" w:hAnsi="Arial" w:eastAsia="宋体" w:cs="Arial"/>
          <w:color w:val="auto"/>
          <w:spacing w:val="6"/>
          <w:szCs w:val="21"/>
          <w:highlight w:val="none"/>
        </w:rPr>
      </w:pPr>
      <w:r>
        <w:rPr>
          <w:rFonts w:ascii="Arial" w:hAnsi="Arial" w:eastAsia="宋体" w:cs="Arial"/>
          <w:color w:val="auto"/>
          <w:highlight w:val="none"/>
        </w:rPr>
        <w:t>供应商（公章）</w:t>
      </w:r>
      <w:r>
        <w:rPr>
          <w:rFonts w:ascii="Arial" w:hAnsi="Arial" w:eastAsia="宋体" w:cs="Arial"/>
          <w:color w:val="auto"/>
          <w:spacing w:val="6"/>
          <w:szCs w:val="21"/>
          <w:highlight w:val="none"/>
        </w:rPr>
        <w:t>：</w:t>
      </w:r>
    </w:p>
    <w:p w14:paraId="5BEDEA84">
      <w:pPr>
        <w:spacing w:line="360" w:lineRule="auto"/>
        <w:ind w:firstLine="420"/>
        <w:jc w:val="center"/>
        <w:rPr>
          <w:rFonts w:ascii="Arial" w:hAnsi="Arial" w:cs="Arial"/>
          <w:color w:val="auto"/>
          <w:spacing w:val="6"/>
          <w:szCs w:val="21"/>
          <w:highlight w:val="none"/>
        </w:rPr>
      </w:pPr>
      <w:r>
        <w:rPr>
          <w:rFonts w:ascii="Arial" w:hAnsi="Arial" w:eastAsia="宋体" w:cs="Arial"/>
          <w:color w:val="auto"/>
          <w:spacing w:val="6"/>
          <w:szCs w:val="21"/>
          <w:highlight w:val="none"/>
        </w:rPr>
        <w:t>日  期：</w:t>
      </w:r>
    </w:p>
    <w:p w14:paraId="59607AA4">
      <w:pPr>
        <w:spacing w:line="360" w:lineRule="auto"/>
        <w:rPr>
          <w:rFonts w:ascii="Arial" w:hAnsi="Arial" w:cs="Arial"/>
          <w:color w:val="auto"/>
          <w:szCs w:val="21"/>
          <w:highlight w:val="none"/>
        </w:rPr>
      </w:pPr>
    </w:p>
    <w:bookmarkEnd w:id="58"/>
    <w:bookmarkEnd w:id="59"/>
    <w:p w14:paraId="120EF5E8">
      <w:pPr>
        <w:rPr>
          <w:rFonts w:hint="eastAsia"/>
          <w:color w:val="auto"/>
          <w:highlight w:val="none"/>
        </w:rPr>
      </w:pPr>
    </w:p>
    <w:p w14:paraId="00511199">
      <w:pPr>
        <w:rPr>
          <w:rFonts w:hint="eastAsia"/>
          <w:color w:val="auto"/>
          <w:highlight w:val="none"/>
        </w:rPr>
      </w:pPr>
    </w:p>
    <w:sectPr>
      <w:footerReference r:id="rId11" w:type="default"/>
      <w:pgSz w:w="11906" w:h="16838"/>
      <w:pgMar w:top="1304" w:right="924"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80812">
    <w:pPr>
      <w:pStyle w:val="1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743E8">
    <w:pPr>
      <w:pStyle w:val="1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B04B4">
                          <w:pPr>
                            <w:pStyle w:val="17"/>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9B04B4">
                    <w:pPr>
                      <w:pStyle w:val="17"/>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6CAE4">
    <w:pPr>
      <w:tabs>
        <w:tab w:val="left" w:pos="1785"/>
      </w:tabs>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0D6FE">
                          <w:pPr>
                            <w:pStyle w:val="1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420D6FE">
                    <w:pPr>
                      <w:pStyle w:val="1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79B3">
    <w:pPr>
      <w:pStyle w:val="17"/>
      <w:rPr>
        <w:rStyle w:val="27"/>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E9927">
                          <w:pPr>
                            <w:pStyle w:val="17"/>
                            <w:rPr>
                              <w:rFonts w:hint="eastAsia"/>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C5E9927">
                    <w:pPr>
                      <w:pStyle w:val="17"/>
                      <w:rPr>
                        <w:rFonts w:hint="eastAsia"/>
                      </w:rPr>
                    </w:pPr>
                    <w:r>
                      <w:fldChar w:fldCharType="begin"/>
                    </w:r>
                    <w:r>
                      <w:instrText xml:space="preserve"> PAGE  \* MERGEFORMAT </w:instrText>
                    </w:r>
                    <w:r>
                      <w:fldChar w:fldCharType="separate"/>
                    </w:r>
                    <w:r>
                      <w:t>20</w:t>
                    </w:r>
                    <w:r>
                      <w:fldChar w:fldCharType="end"/>
                    </w:r>
                  </w:p>
                </w:txbxContent>
              </v:textbox>
            </v:shape>
          </w:pict>
        </mc:Fallback>
      </mc:AlternateContent>
    </w:r>
  </w:p>
  <w:p w14:paraId="6CA0051C">
    <w:pPr>
      <w:pStyle w:val="17"/>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FD0B">
    <w:pPr>
      <w:pStyle w:val="17"/>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C7BB1">
                          <w:pPr>
                            <w:pStyle w:val="17"/>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BEC7BB1">
                    <w:pPr>
                      <w:pStyle w:val="17"/>
                      <w:rPr>
                        <w:rFonts w:hint="eastAsia"/>
                      </w:rP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8EEE">
    <w:pPr>
      <w:pStyle w:val="17"/>
      <w:ind w:right="36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66CB8">
                          <w:pPr>
                            <w:pStyle w:val="17"/>
                            <w:rPr>
                              <w:rFonts w:hint="eastAsia"/>
                            </w:rPr>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9B66CB8">
                    <w:pPr>
                      <w:pStyle w:val="17"/>
                      <w:rPr>
                        <w:rFonts w:hint="eastAsia"/>
                      </w:rPr>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4A61">
    <w:pPr>
      <w:pStyle w:val="17"/>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6238">
    <w:pPr>
      <w:pStyle w:val="17"/>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954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95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348A8">
                          <w:pPr>
                            <w:pStyle w:val="17"/>
                            <w:rPr>
                              <w:rFonts w:hint="eastAsia"/>
                            </w:rPr>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3.35pt;mso-position-horizontal:center;mso-position-horizontal-relative:margin;z-index:251664384;mso-width-relative:page;mso-height-relative:page;" filled="f" stroked="f" coordsize="21600,21600" o:gfxdata="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ec8GNIAAAAEAQAADwAAAAAAAAABACAAAAAiAAAAZHJzL2Rvd25yZXYueG1sUEsBAhQA&#10;FAAAAAgAh07iQKC0x+gxAgAAVgQAAA4AAAAAAAAAAQAgAAAAIQEAAGRycy9lMm9Eb2MueG1sUEsF&#10;BgAAAAAGAAYAWQEAAMQFAAAAAA==&#10;">
              <v:fill on="f" focussize="0,0"/>
              <v:stroke on="f" weight="0.5pt"/>
              <v:imagedata o:title=""/>
              <o:lock v:ext="edit" aspectratio="f"/>
              <v:textbox inset="0mm,0mm,0mm,0mm" style="mso-fit-shape-to-text:t;">
                <w:txbxContent>
                  <w:p w14:paraId="1AA348A8">
                    <w:pPr>
                      <w:pStyle w:val="17"/>
                      <w:rPr>
                        <w:rFonts w:hint="eastAsia"/>
                      </w:rPr>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A5F32">
    <w:pPr>
      <w:pStyle w:val="18"/>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TM0MDYxYzNhZTBmMmQ3ODcyYTgxMzFhNWNiMjMifQ=="/>
  </w:docVars>
  <w:rsids>
    <w:rsidRoot w:val="00F92138"/>
    <w:rsid w:val="00000735"/>
    <w:rsid w:val="00000B7B"/>
    <w:rsid w:val="000011ED"/>
    <w:rsid w:val="000019D9"/>
    <w:rsid w:val="00002003"/>
    <w:rsid w:val="0000200F"/>
    <w:rsid w:val="000029FA"/>
    <w:rsid w:val="00002B62"/>
    <w:rsid w:val="000034A6"/>
    <w:rsid w:val="0000390F"/>
    <w:rsid w:val="0000393D"/>
    <w:rsid w:val="00003B4C"/>
    <w:rsid w:val="00003D30"/>
    <w:rsid w:val="00003D90"/>
    <w:rsid w:val="000040FD"/>
    <w:rsid w:val="0000477B"/>
    <w:rsid w:val="00004CC8"/>
    <w:rsid w:val="00004F9B"/>
    <w:rsid w:val="00005143"/>
    <w:rsid w:val="00005783"/>
    <w:rsid w:val="00005950"/>
    <w:rsid w:val="0000607D"/>
    <w:rsid w:val="00006352"/>
    <w:rsid w:val="00006F69"/>
    <w:rsid w:val="0000722A"/>
    <w:rsid w:val="0000775B"/>
    <w:rsid w:val="00007E83"/>
    <w:rsid w:val="00007F96"/>
    <w:rsid w:val="0001073E"/>
    <w:rsid w:val="00010FC0"/>
    <w:rsid w:val="00011006"/>
    <w:rsid w:val="00011968"/>
    <w:rsid w:val="000127AC"/>
    <w:rsid w:val="0001284A"/>
    <w:rsid w:val="00012E2A"/>
    <w:rsid w:val="0001357A"/>
    <w:rsid w:val="000139C8"/>
    <w:rsid w:val="000139E0"/>
    <w:rsid w:val="00013C2B"/>
    <w:rsid w:val="00013EBB"/>
    <w:rsid w:val="00013F2B"/>
    <w:rsid w:val="00014B3F"/>
    <w:rsid w:val="00014F96"/>
    <w:rsid w:val="00015001"/>
    <w:rsid w:val="00015ADA"/>
    <w:rsid w:val="00016778"/>
    <w:rsid w:val="000173F5"/>
    <w:rsid w:val="00017DA1"/>
    <w:rsid w:val="0002073E"/>
    <w:rsid w:val="00021F89"/>
    <w:rsid w:val="00022A04"/>
    <w:rsid w:val="00022A8E"/>
    <w:rsid w:val="00022F6B"/>
    <w:rsid w:val="00023406"/>
    <w:rsid w:val="000236CF"/>
    <w:rsid w:val="00023CCC"/>
    <w:rsid w:val="000247AB"/>
    <w:rsid w:val="000247AF"/>
    <w:rsid w:val="00024F8B"/>
    <w:rsid w:val="000250E7"/>
    <w:rsid w:val="000253B5"/>
    <w:rsid w:val="000257E8"/>
    <w:rsid w:val="0002714F"/>
    <w:rsid w:val="000300C9"/>
    <w:rsid w:val="00030708"/>
    <w:rsid w:val="00030994"/>
    <w:rsid w:val="00030C53"/>
    <w:rsid w:val="00031552"/>
    <w:rsid w:val="00031D39"/>
    <w:rsid w:val="000320EE"/>
    <w:rsid w:val="000325F4"/>
    <w:rsid w:val="00032678"/>
    <w:rsid w:val="000331B7"/>
    <w:rsid w:val="00033313"/>
    <w:rsid w:val="00033D61"/>
    <w:rsid w:val="00033DAF"/>
    <w:rsid w:val="0003439C"/>
    <w:rsid w:val="000343BC"/>
    <w:rsid w:val="00034A7A"/>
    <w:rsid w:val="000350F3"/>
    <w:rsid w:val="000351B3"/>
    <w:rsid w:val="000352CA"/>
    <w:rsid w:val="000356DA"/>
    <w:rsid w:val="00035820"/>
    <w:rsid w:val="00035834"/>
    <w:rsid w:val="00035910"/>
    <w:rsid w:val="00035DF7"/>
    <w:rsid w:val="000377B0"/>
    <w:rsid w:val="00040940"/>
    <w:rsid w:val="00041076"/>
    <w:rsid w:val="000411E2"/>
    <w:rsid w:val="0004167F"/>
    <w:rsid w:val="000416EF"/>
    <w:rsid w:val="0004179F"/>
    <w:rsid w:val="00041BEF"/>
    <w:rsid w:val="00042132"/>
    <w:rsid w:val="000426E2"/>
    <w:rsid w:val="000427AB"/>
    <w:rsid w:val="0004314D"/>
    <w:rsid w:val="00043329"/>
    <w:rsid w:val="000435BB"/>
    <w:rsid w:val="00043BC9"/>
    <w:rsid w:val="00044975"/>
    <w:rsid w:val="00044B95"/>
    <w:rsid w:val="00044E5F"/>
    <w:rsid w:val="0004528E"/>
    <w:rsid w:val="00045A41"/>
    <w:rsid w:val="00045B84"/>
    <w:rsid w:val="00045F82"/>
    <w:rsid w:val="0004674C"/>
    <w:rsid w:val="000475AF"/>
    <w:rsid w:val="00047DE2"/>
    <w:rsid w:val="00047EB0"/>
    <w:rsid w:val="00050027"/>
    <w:rsid w:val="00050052"/>
    <w:rsid w:val="000504DA"/>
    <w:rsid w:val="000506B3"/>
    <w:rsid w:val="00050C94"/>
    <w:rsid w:val="00050EC4"/>
    <w:rsid w:val="00052011"/>
    <w:rsid w:val="00052DA6"/>
    <w:rsid w:val="00052DC5"/>
    <w:rsid w:val="00053080"/>
    <w:rsid w:val="000530AB"/>
    <w:rsid w:val="00054905"/>
    <w:rsid w:val="00054966"/>
    <w:rsid w:val="00054C38"/>
    <w:rsid w:val="00055318"/>
    <w:rsid w:val="00055BF1"/>
    <w:rsid w:val="00055E73"/>
    <w:rsid w:val="00055F83"/>
    <w:rsid w:val="00056190"/>
    <w:rsid w:val="00056AB7"/>
    <w:rsid w:val="00057B1A"/>
    <w:rsid w:val="00057CC9"/>
    <w:rsid w:val="000606D6"/>
    <w:rsid w:val="0006077A"/>
    <w:rsid w:val="00060AED"/>
    <w:rsid w:val="00060B78"/>
    <w:rsid w:val="00061151"/>
    <w:rsid w:val="0006188A"/>
    <w:rsid w:val="0006209C"/>
    <w:rsid w:val="0006269C"/>
    <w:rsid w:val="00062F9E"/>
    <w:rsid w:val="0006472E"/>
    <w:rsid w:val="00065639"/>
    <w:rsid w:val="00065A4D"/>
    <w:rsid w:val="00065C46"/>
    <w:rsid w:val="000665E4"/>
    <w:rsid w:val="000670BB"/>
    <w:rsid w:val="000675B5"/>
    <w:rsid w:val="00071885"/>
    <w:rsid w:val="00071A6A"/>
    <w:rsid w:val="00071B5D"/>
    <w:rsid w:val="000723E2"/>
    <w:rsid w:val="00072628"/>
    <w:rsid w:val="00072883"/>
    <w:rsid w:val="000738B6"/>
    <w:rsid w:val="00074224"/>
    <w:rsid w:val="00074AB7"/>
    <w:rsid w:val="00074DC6"/>
    <w:rsid w:val="00074DD4"/>
    <w:rsid w:val="0007565A"/>
    <w:rsid w:val="000760D2"/>
    <w:rsid w:val="00076294"/>
    <w:rsid w:val="000762BD"/>
    <w:rsid w:val="00076C31"/>
    <w:rsid w:val="0007704A"/>
    <w:rsid w:val="000775E8"/>
    <w:rsid w:val="0007788B"/>
    <w:rsid w:val="000779EA"/>
    <w:rsid w:val="00080059"/>
    <w:rsid w:val="0008020F"/>
    <w:rsid w:val="00080266"/>
    <w:rsid w:val="0008063A"/>
    <w:rsid w:val="00080CE3"/>
    <w:rsid w:val="00081346"/>
    <w:rsid w:val="000815D9"/>
    <w:rsid w:val="000820F8"/>
    <w:rsid w:val="00082451"/>
    <w:rsid w:val="000834F3"/>
    <w:rsid w:val="00084489"/>
    <w:rsid w:val="0008527D"/>
    <w:rsid w:val="00085C7F"/>
    <w:rsid w:val="000861D8"/>
    <w:rsid w:val="00086674"/>
    <w:rsid w:val="000875D7"/>
    <w:rsid w:val="00087A27"/>
    <w:rsid w:val="00090879"/>
    <w:rsid w:val="0009099E"/>
    <w:rsid w:val="00090D96"/>
    <w:rsid w:val="00090E17"/>
    <w:rsid w:val="00091299"/>
    <w:rsid w:val="00091791"/>
    <w:rsid w:val="00092868"/>
    <w:rsid w:val="0009290A"/>
    <w:rsid w:val="00093C28"/>
    <w:rsid w:val="00093E84"/>
    <w:rsid w:val="00094425"/>
    <w:rsid w:val="000945EF"/>
    <w:rsid w:val="000946E7"/>
    <w:rsid w:val="00095305"/>
    <w:rsid w:val="000965CD"/>
    <w:rsid w:val="00096861"/>
    <w:rsid w:val="00096AD2"/>
    <w:rsid w:val="00096CEF"/>
    <w:rsid w:val="00097655"/>
    <w:rsid w:val="000A00F5"/>
    <w:rsid w:val="000A046A"/>
    <w:rsid w:val="000A04BC"/>
    <w:rsid w:val="000A0FD6"/>
    <w:rsid w:val="000A1C45"/>
    <w:rsid w:val="000A2AA0"/>
    <w:rsid w:val="000A2FB4"/>
    <w:rsid w:val="000A3187"/>
    <w:rsid w:val="000A3E17"/>
    <w:rsid w:val="000A4F3B"/>
    <w:rsid w:val="000A5169"/>
    <w:rsid w:val="000A5C45"/>
    <w:rsid w:val="000A5E5D"/>
    <w:rsid w:val="000A60A3"/>
    <w:rsid w:val="000A6465"/>
    <w:rsid w:val="000A6CD2"/>
    <w:rsid w:val="000A7625"/>
    <w:rsid w:val="000B010C"/>
    <w:rsid w:val="000B1226"/>
    <w:rsid w:val="000B1865"/>
    <w:rsid w:val="000B2456"/>
    <w:rsid w:val="000B2579"/>
    <w:rsid w:val="000B2980"/>
    <w:rsid w:val="000B38C7"/>
    <w:rsid w:val="000B414E"/>
    <w:rsid w:val="000B4180"/>
    <w:rsid w:val="000B48B6"/>
    <w:rsid w:val="000B512F"/>
    <w:rsid w:val="000B5531"/>
    <w:rsid w:val="000B5ACF"/>
    <w:rsid w:val="000B5F21"/>
    <w:rsid w:val="000B62C2"/>
    <w:rsid w:val="000B647B"/>
    <w:rsid w:val="000B6631"/>
    <w:rsid w:val="000B7939"/>
    <w:rsid w:val="000B7A97"/>
    <w:rsid w:val="000B7B41"/>
    <w:rsid w:val="000B7D9B"/>
    <w:rsid w:val="000B7FF1"/>
    <w:rsid w:val="000C0051"/>
    <w:rsid w:val="000C018F"/>
    <w:rsid w:val="000C0364"/>
    <w:rsid w:val="000C0406"/>
    <w:rsid w:val="000C093A"/>
    <w:rsid w:val="000C1270"/>
    <w:rsid w:val="000C1576"/>
    <w:rsid w:val="000C16C7"/>
    <w:rsid w:val="000C18B9"/>
    <w:rsid w:val="000C1C13"/>
    <w:rsid w:val="000C2478"/>
    <w:rsid w:val="000C2C4E"/>
    <w:rsid w:val="000C301E"/>
    <w:rsid w:val="000C31E4"/>
    <w:rsid w:val="000C3379"/>
    <w:rsid w:val="000C3502"/>
    <w:rsid w:val="000C3585"/>
    <w:rsid w:val="000C566C"/>
    <w:rsid w:val="000C6144"/>
    <w:rsid w:val="000C6905"/>
    <w:rsid w:val="000C699F"/>
    <w:rsid w:val="000C7705"/>
    <w:rsid w:val="000C7DC0"/>
    <w:rsid w:val="000D0321"/>
    <w:rsid w:val="000D06C8"/>
    <w:rsid w:val="000D093D"/>
    <w:rsid w:val="000D0DAA"/>
    <w:rsid w:val="000D11A7"/>
    <w:rsid w:val="000D1B37"/>
    <w:rsid w:val="000D1C99"/>
    <w:rsid w:val="000D3A93"/>
    <w:rsid w:val="000D4995"/>
    <w:rsid w:val="000D519C"/>
    <w:rsid w:val="000D55BE"/>
    <w:rsid w:val="000D5BC2"/>
    <w:rsid w:val="000D6062"/>
    <w:rsid w:val="000D60A5"/>
    <w:rsid w:val="000D6BAF"/>
    <w:rsid w:val="000D6D5C"/>
    <w:rsid w:val="000D6E30"/>
    <w:rsid w:val="000D6F1A"/>
    <w:rsid w:val="000E00A8"/>
    <w:rsid w:val="000E0204"/>
    <w:rsid w:val="000E1051"/>
    <w:rsid w:val="000E12EE"/>
    <w:rsid w:val="000E157C"/>
    <w:rsid w:val="000E1EA9"/>
    <w:rsid w:val="000E1ECA"/>
    <w:rsid w:val="000E3274"/>
    <w:rsid w:val="000E3298"/>
    <w:rsid w:val="000E3594"/>
    <w:rsid w:val="000E3877"/>
    <w:rsid w:val="000E3A19"/>
    <w:rsid w:val="000E3CB7"/>
    <w:rsid w:val="000E3E4D"/>
    <w:rsid w:val="000E4F78"/>
    <w:rsid w:val="000E5069"/>
    <w:rsid w:val="000E5BD7"/>
    <w:rsid w:val="000E5CD5"/>
    <w:rsid w:val="000E5FB4"/>
    <w:rsid w:val="000E7700"/>
    <w:rsid w:val="000E7AEE"/>
    <w:rsid w:val="000E7D2D"/>
    <w:rsid w:val="000F0191"/>
    <w:rsid w:val="000F0D36"/>
    <w:rsid w:val="000F0F13"/>
    <w:rsid w:val="000F1327"/>
    <w:rsid w:val="000F2296"/>
    <w:rsid w:val="000F38F8"/>
    <w:rsid w:val="000F3C3B"/>
    <w:rsid w:val="000F3D0D"/>
    <w:rsid w:val="000F5E9E"/>
    <w:rsid w:val="000F61C1"/>
    <w:rsid w:val="000F6817"/>
    <w:rsid w:val="000F77E7"/>
    <w:rsid w:val="000F77F5"/>
    <w:rsid w:val="00100145"/>
    <w:rsid w:val="00100632"/>
    <w:rsid w:val="00100D7E"/>
    <w:rsid w:val="001012FC"/>
    <w:rsid w:val="0010195A"/>
    <w:rsid w:val="00102187"/>
    <w:rsid w:val="0010254A"/>
    <w:rsid w:val="00102A52"/>
    <w:rsid w:val="00102C70"/>
    <w:rsid w:val="0010305F"/>
    <w:rsid w:val="0010326D"/>
    <w:rsid w:val="00103CFF"/>
    <w:rsid w:val="00103E2A"/>
    <w:rsid w:val="00103F5F"/>
    <w:rsid w:val="0010558B"/>
    <w:rsid w:val="001058BC"/>
    <w:rsid w:val="00105CF9"/>
    <w:rsid w:val="00105E54"/>
    <w:rsid w:val="00106D8F"/>
    <w:rsid w:val="00107ACD"/>
    <w:rsid w:val="00107DBE"/>
    <w:rsid w:val="0011002D"/>
    <w:rsid w:val="001104D5"/>
    <w:rsid w:val="001112F3"/>
    <w:rsid w:val="0011141A"/>
    <w:rsid w:val="00111A2D"/>
    <w:rsid w:val="00112099"/>
    <w:rsid w:val="00112160"/>
    <w:rsid w:val="00112386"/>
    <w:rsid w:val="0011273F"/>
    <w:rsid w:val="00112B2A"/>
    <w:rsid w:val="00112F5B"/>
    <w:rsid w:val="00113733"/>
    <w:rsid w:val="0011375A"/>
    <w:rsid w:val="00113956"/>
    <w:rsid w:val="0011430E"/>
    <w:rsid w:val="00114B86"/>
    <w:rsid w:val="00114BAC"/>
    <w:rsid w:val="00114C29"/>
    <w:rsid w:val="00115383"/>
    <w:rsid w:val="001158E8"/>
    <w:rsid w:val="0011594D"/>
    <w:rsid w:val="00116607"/>
    <w:rsid w:val="00116744"/>
    <w:rsid w:val="00117097"/>
    <w:rsid w:val="00117824"/>
    <w:rsid w:val="0012019E"/>
    <w:rsid w:val="00120802"/>
    <w:rsid w:val="0012135D"/>
    <w:rsid w:val="0012211E"/>
    <w:rsid w:val="001227F7"/>
    <w:rsid w:val="001234A8"/>
    <w:rsid w:val="00123502"/>
    <w:rsid w:val="00124398"/>
    <w:rsid w:val="00125B41"/>
    <w:rsid w:val="00125CB3"/>
    <w:rsid w:val="00126A9D"/>
    <w:rsid w:val="00127500"/>
    <w:rsid w:val="00127CFA"/>
    <w:rsid w:val="001302F3"/>
    <w:rsid w:val="00130436"/>
    <w:rsid w:val="00130918"/>
    <w:rsid w:val="00130EFA"/>
    <w:rsid w:val="00131596"/>
    <w:rsid w:val="001315FD"/>
    <w:rsid w:val="00131B68"/>
    <w:rsid w:val="00131C76"/>
    <w:rsid w:val="0013205C"/>
    <w:rsid w:val="00132A4F"/>
    <w:rsid w:val="00132ABE"/>
    <w:rsid w:val="00133A8A"/>
    <w:rsid w:val="001340B7"/>
    <w:rsid w:val="00134B6E"/>
    <w:rsid w:val="00134C8D"/>
    <w:rsid w:val="00135DD0"/>
    <w:rsid w:val="00135FC6"/>
    <w:rsid w:val="0013633F"/>
    <w:rsid w:val="00136862"/>
    <w:rsid w:val="00136C57"/>
    <w:rsid w:val="00137163"/>
    <w:rsid w:val="0013721A"/>
    <w:rsid w:val="00137254"/>
    <w:rsid w:val="001373DE"/>
    <w:rsid w:val="0013793C"/>
    <w:rsid w:val="00137BD4"/>
    <w:rsid w:val="001404BC"/>
    <w:rsid w:val="00140802"/>
    <w:rsid w:val="00140E6D"/>
    <w:rsid w:val="00140FCC"/>
    <w:rsid w:val="001418DC"/>
    <w:rsid w:val="001419A5"/>
    <w:rsid w:val="00141B28"/>
    <w:rsid w:val="00142C55"/>
    <w:rsid w:val="001435BC"/>
    <w:rsid w:val="00143961"/>
    <w:rsid w:val="00145252"/>
    <w:rsid w:val="00145C6E"/>
    <w:rsid w:val="00146959"/>
    <w:rsid w:val="00146B51"/>
    <w:rsid w:val="00146BC1"/>
    <w:rsid w:val="00147434"/>
    <w:rsid w:val="001500A3"/>
    <w:rsid w:val="00150283"/>
    <w:rsid w:val="0015052B"/>
    <w:rsid w:val="00150583"/>
    <w:rsid w:val="00150737"/>
    <w:rsid w:val="00150D45"/>
    <w:rsid w:val="00150E00"/>
    <w:rsid w:val="00150E78"/>
    <w:rsid w:val="00151760"/>
    <w:rsid w:val="001518A6"/>
    <w:rsid w:val="00151C92"/>
    <w:rsid w:val="00151D76"/>
    <w:rsid w:val="00151E1C"/>
    <w:rsid w:val="00152325"/>
    <w:rsid w:val="00152580"/>
    <w:rsid w:val="00152F32"/>
    <w:rsid w:val="001546EE"/>
    <w:rsid w:val="001552FB"/>
    <w:rsid w:val="00155E4D"/>
    <w:rsid w:val="001563CA"/>
    <w:rsid w:val="00156A8D"/>
    <w:rsid w:val="00157CF4"/>
    <w:rsid w:val="00157D40"/>
    <w:rsid w:val="00160B58"/>
    <w:rsid w:val="001614DE"/>
    <w:rsid w:val="001615FE"/>
    <w:rsid w:val="001620C7"/>
    <w:rsid w:val="00162359"/>
    <w:rsid w:val="00163267"/>
    <w:rsid w:val="001632FA"/>
    <w:rsid w:val="001634AE"/>
    <w:rsid w:val="001635EC"/>
    <w:rsid w:val="001639BC"/>
    <w:rsid w:val="00163AF5"/>
    <w:rsid w:val="00164A32"/>
    <w:rsid w:val="00164AEE"/>
    <w:rsid w:val="0016522F"/>
    <w:rsid w:val="00165908"/>
    <w:rsid w:val="001659D3"/>
    <w:rsid w:val="00165FF2"/>
    <w:rsid w:val="00166155"/>
    <w:rsid w:val="0016644F"/>
    <w:rsid w:val="00166459"/>
    <w:rsid w:val="001666A4"/>
    <w:rsid w:val="00166DF1"/>
    <w:rsid w:val="001670FE"/>
    <w:rsid w:val="001671D1"/>
    <w:rsid w:val="001707ED"/>
    <w:rsid w:val="00170B3B"/>
    <w:rsid w:val="00170C93"/>
    <w:rsid w:val="00170E6F"/>
    <w:rsid w:val="00171E9E"/>
    <w:rsid w:val="0017230F"/>
    <w:rsid w:val="00172886"/>
    <w:rsid w:val="00172DD5"/>
    <w:rsid w:val="00172FB9"/>
    <w:rsid w:val="001730B1"/>
    <w:rsid w:val="0017330B"/>
    <w:rsid w:val="00173523"/>
    <w:rsid w:val="00173EF6"/>
    <w:rsid w:val="0017420B"/>
    <w:rsid w:val="0017446B"/>
    <w:rsid w:val="00174579"/>
    <w:rsid w:val="00174DC5"/>
    <w:rsid w:val="001757E9"/>
    <w:rsid w:val="00175FAB"/>
    <w:rsid w:val="001767EA"/>
    <w:rsid w:val="00176A0F"/>
    <w:rsid w:val="00176EAE"/>
    <w:rsid w:val="00177137"/>
    <w:rsid w:val="0017717B"/>
    <w:rsid w:val="00177C81"/>
    <w:rsid w:val="00177EC5"/>
    <w:rsid w:val="00177FE6"/>
    <w:rsid w:val="00180BEC"/>
    <w:rsid w:val="00180F65"/>
    <w:rsid w:val="00181258"/>
    <w:rsid w:val="00181CCB"/>
    <w:rsid w:val="00182805"/>
    <w:rsid w:val="00182C8C"/>
    <w:rsid w:val="00183BC4"/>
    <w:rsid w:val="00183BCC"/>
    <w:rsid w:val="00184BEB"/>
    <w:rsid w:val="00184D91"/>
    <w:rsid w:val="00185033"/>
    <w:rsid w:val="00185173"/>
    <w:rsid w:val="00186411"/>
    <w:rsid w:val="00186C3F"/>
    <w:rsid w:val="001875C3"/>
    <w:rsid w:val="00187DCA"/>
    <w:rsid w:val="001902E5"/>
    <w:rsid w:val="0019071A"/>
    <w:rsid w:val="001907E1"/>
    <w:rsid w:val="001910FC"/>
    <w:rsid w:val="0019110D"/>
    <w:rsid w:val="001917AC"/>
    <w:rsid w:val="00191864"/>
    <w:rsid w:val="00192720"/>
    <w:rsid w:val="00192B99"/>
    <w:rsid w:val="00193724"/>
    <w:rsid w:val="00193C73"/>
    <w:rsid w:val="0019442F"/>
    <w:rsid w:val="00194DB9"/>
    <w:rsid w:val="001952C0"/>
    <w:rsid w:val="00195E14"/>
    <w:rsid w:val="00195EC8"/>
    <w:rsid w:val="0019621C"/>
    <w:rsid w:val="00196416"/>
    <w:rsid w:val="00196BC2"/>
    <w:rsid w:val="00196CD1"/>
    <w:rsid w:val="00197043"/>
    <w:rsid w:val="00197505"/>
    <w:rsid w:val="001978D4"/>
    <w:rsid w:val="00197B0B"/>
    <w:rsid w:val="001A0202"/>
    <w:rsid w:val="001A0C8D"/>
    <w:rsid w:val="001A162C"/>
    <w:rsid w:val="001A16C1"/>
    <w:rsid w:val="001A1766"/>
    <w:rsid w:val="001A1F39"/>
    <w:rsid w:val="001A223B"/>
    <w:rsid w:val="001A2572"/>
    <w:rsid w:val="001A3AEF"/>
    <w:rsid w:val="001A3FAA"/>
    <w:rsid w:val="001A493C"/>
    <w:rsid w:val="001A50C7"/>
    <w:rsid w:val="001A55F6"/>
    <w:rsid w:val="001A6669"/>
    <w:rsid w:val="001A69BB"/>
    <w:rsid w:val="001A7007"/>
    <w:rsid w:val="001A750D"/>
    <w:rsid w:val="001A7557"/>
    <w:rsid w:val="001A7949"/>
    <w:rsid w:val="001A7A26"/>
    <w:rsid w:val="001B02A1"/>
    <w:rsid w:val="001B0531"/>
    <w:rsid w:val="001B07BA"/>
    <w:rsid w:val="001B0E49"/>
    <w:rsid w:val="001B0E82"/>
    <w:rsid w:val="001B2000"/>
    <w:rsid w:val="001B2025"/>
    <w:rsid w:val="001B22C7"/>
    <w:rsid w:val="001B276A"/>
    <w:rsid w:val="001B29D5"/>
    <w:rsid w:val="001B321D"/>
    <w:rsid w:val="001B39B6"/>
    <w:rsid w:val="001B3A22"/>
    <w:rsid w:val="001B41B3"/>
    <w:rsid w:val="001B4326"/>
    <w:rsid w:val="001B4367"/>
    <w:rsid w:val="001B4823"/>
    <w:rsid w:val="001B49CB"/>
    <w:rsid w:val="001B536B"/>
    <w:rsid w:val="001B59AE"/>
    <w:rsid w:val="001B5F59"/>
    <w:rsid w:val="001B674A"/>
    <w:rsid w:val="001B6E60"/>
    <w:rsid w:val="001B6E90"/>
    <w:rsid w:val="001B718C"/>
    <w:rsid w:val="001B7C3C"/>
    <w:rsid w:val="001B7E82"/>
    <w:rsid w:val="001B7FBB"/>
    <w:rsid w:val="001C0C11"/>
    <w:rsid w:val="001C150B"/>
    <w:rsid w:val="001C23AC"/>
    <w:rsid w:val="001C261A"/>
    <w:rsid w:val="001C2BB8"/>
    <w:rsid w:val="001C2C88"/>
    <w:rsid w:val="001C3764"/>
    <w:rsid w:val="001C3D12"/>
    <w:rsid w:val="001C4F29"/>
    <w:rsid w:val="001C50CF"/>
    <w:rsid w:val="001C5609"/>
    <w:rsid w:val="001C5817"/>
    <w:rsid w:val="001C5851"/>
    <w:rsid w:val="001C701F"/>
    <w:rsid w:val="001C72C5"/>
    <w:rsid w:val="001C743F"/>
    <w:rsid w:val="001C745C"/>
    <w:rsid w:val="001C750F"/>
    <w:rsid w:val="001C77CF"/>
    <w:rsid w:val="001C77EE"/>
    <w:rsid w:val="001C7893"/>
    <w:rsid w:val="001C78AD"/>
    <w:rsid w:val="001C79B7"/>
    <w:rsid w:val="001D027B"/>
    <w:rsid w:val="001D0660"/>
    <w:rsid w:val="001D1074"/>
    <w:rsid w:val="001D17FB"/>
    <w:rsid w:val="001D1A40"/>
    <w:rsid w:val="001D1BD9"/>
    <w:rsid w:val="001D2AE1"/>
    <w:rsid w:val="001D3726"/>
    <w:rsid w:val="001D4107"/>
    <w:rsid w:val="001D4CDA"/>
    <w:rsid w:val="001D53BE"/>
    <w:rsid w:val="001D5C2F"/>
    <w:rsid w:val="001D5EEB"/>
    <w:rsid w:val="001D6108"/>
    <w:rsid w:val="001D6933"/>
    <w:rsid w:val="001D6F26"/>
    <w:rsid w:val="001D6FBD"/>
    <w:rsid w:val="001D7145"/>
    <w:rsid w:val="001D7916"/>
    <w:rsid w:val="001E001B"/>
    <w:rsid w:val="001E0319"/>
    <w:rsid w:val="001E07BC"/>
    <w:rsid w:val="001E0862"/>
    <w:rsid w:val="001E12B7"/>
    <w:rsid w:val="001E148F"/>
    <w:rsid w:val="001E14C3"/>
    <w:rsid w:val="001E1882"/>
    <w:rsid w:val="001E1A98"/>
    <w:rsid w:val="001E23BF"/>
    <w:rsid w:val="001E275B"/>
    <w:rsid w:val="001E2DE6"/>
    <w:rsid w:val="001E3609"/>
    <w:rsid w:val="001E3693"/>
    <w:rsid w:val="001E3A6C"/>
    <w:rsid w:val="001E53BE"/>
    <w:rsid w:val="001E5B2B"/>
    <w:rsid w:val="001E696A"/>
    <w:rsid w:val="001E6D2F"/>
    <w:rsid w:val="001E74BB"/>
    <w:rsid w:val="001E781B"/>
    <w:rsid w:val="001E7AD7"/>
    <w:rsid w:val="001E7E7A"/>
    <w:rsid w:val="001F1412"/>
    <w:rsid w:val="001F1440"/>
    <w:rsid w:val="001F1853"/>
    <w:rsid w:val="001F1B67"/>
    <w:rsid w:val="001F2716"/>
    <w:rsid w:val="001F2976"/>
    <w:rsid w:val="001F3A64"/>
    <w:rsid w:val="001F3AD9"/>
    <w:rsid w:val="001F3DAC"/>
    <w:rsid w:val="001F3E76"/>
    <w:rsid w:val="001F46E0"/>
    <w:rsid w:val="001F4931"/>
    <w:rsid w:val="001F5596"/>
    <w:rsid w:val="001F5981"/>
    <w:rsid w:val="001F5AA1"/>
    <w:rsid w:val="001F5C11"/>
    <w:rsid w:val="001F641A"/>
    <w:rsid w:val="001F65D9"/>
    <w:rsid w:val="001F662E"/>
    <w:rsid w:val="001F664B"/>
    <w:rsid w:val="001F732F"/>
    <w:rsid w:val="001F7340"/>
    <w:rsid w:val="001F7F8D"/>
    <w:rsid w:val="00200316"/>
    <w:rsid w:val="0020050E"/>
    <w:rsid w:val="00200B3A"/>
    <w:rsid w:val="0020195A"/>
    <w:rsid w:val="00201D5E"/>
    <w:rsid w:val="00202C8B"/>
    <w:rsid w:val="00202ED7"/>
    <w:rsid w:val="002032BD"/>
    <w:rsid w:val="00203753"/>
    <w:rsid w:val="002039AE"/>
    <w:rsid w:val="00203EF9"/>
    <w:rsid w:val="00204664"/>
    <w:rsid w:val="0020466C"/>
    <w:rsid w:val="00206225"/>
    <w:rsid w:val="00206396"/>
    <w:rsid w:val="002077AB"/>
    <w:rsid w:val="0020795D"/>
    <w:rsid w:val="00207C8F"/>
    <w:rsid w:val="0021056F"/>
    <w:rsid w:val="0021125C"/>
    <w:rsid w:val="002114BA"/>
    <w:rsid w:val="00211C13"/>
    <w:rsid w:val="00212626"/>
    <w:rsid w:val="00212D38"/>
    <w:rsid w:val="002138FE"/>
    <w:rsid w:val="0021399E"/>
    <w:rsid w:val="0021404A"/>
    <w:rsid w:val="00214CC2"/>
    <w:rsid w:val="00215408"/>
    <w:rsid w:val="002155F1"/>
    <w:rsid w:val="00215F2B"/>
    <w:rsid w:val="00216AEA"/>
    <w:rsid w:val="0021774E"/>
    <w:rsid w:val="00217A72"/>
    <w:rsid w:val="00217AE5"/>
    <w:rsid w:val="00217CA7"/>
    <w:rsid w:val="00220E32"/>
    <w:rsid w:val="00221495"/>
    <w:rsid w:val="00221888"/>
    <w:rsid w:val="00222708"/>
    <w:rsid w:val="0022560E"/>
    <w:rsid w:val="00225B4E"/>
    <w:rsid w:val="002261F8"/>
    <w:rsid w:val="00226478"/>
    <w:rsid w:val="00226680"/>
    <w:rsid w:val="0022785B"/>
    <w:rsid w:val="002278CE"/>
    <w:rsid w:val="00227CED"/>
    <w:rsid w:val="00230CF5"/>
    <w:rsid w:val="0023141E"/>
    <w:rsid w:val="00231667"/>
    <w:rsid w:val="002322AC"/>
    <w:rsid w:val="002325AE"/>
    <w:rsid w:val="002326F2"/>
    <w:rsid w:val="0023295A"/>
    <w:rsid w:val="00232CC9"/>
    <w:rsid w:val="00232EBF"/>
    <w:rsid w:val="00233BE7"/>
    <w:rsid w:val="00234641"/>
    <w:rsid w:val="002350F8"/>
    <w:rsid w:val="002359C3"/>
    <w:rsid w:val="00235F89"/>
    <w:rsid w:val="00236BD8"/>
    <w:rsid w:val="00236F91"/>
    <w:rsid w:val="0024074A"/>
    <w:rsid w:val="0024096E"/>
    <w:rsid w:val="00240AB0"/>
    <w:rsid w:val="00241033"/>
    <w:rsid w:val="00241A5C"/>
    <w:rsid w:val="00241B87"/>
    <w:rsid w:val="0024232F"/>
    <w:rsid w:val="00242A3D"/>
    <w:rsid w:val="00242C00"/>
    <w:rsid w:val="00242CD7"/>
    <w:rsid w:val="00243041"/>
    <w:rsid w:val="00243321"/>
    <w:rsid w:val="00243541"/>
    <w:rsid w:val="002438F1"/>
    <w:rsid w:val="00243931"/>
    <w:rsid w:val="002439A1"/>
    <w:rsid w:val="00243F0E"/>
    <w:rsid w:val="00243FF7"/>
    <w:rsid w:val="002441BE"/>
    <w:rsid w:val="0024532F"/>
    <w:rsid w:val="0024557C"/>
    <w:rsid w:val="002456C7"/>
    <w:rsid w:val="00245F84"/>
    <w:rsid w:val="00246B1C"/>
    <w:rsid w:val="002472AA"/>
    <w:rsid w:val="002473EC"/>
    <w:rsid w:val="002479E7"/>
    <w:rsid w:val="00247D80"/>
    <w:rsid w:val="00250102"/>
    <w:rsid w:val="00251040"/>
    <w:rsid w:val="002517A2"/>
    <w:rsid w:val="00251E7B"/>
    <w:rsid w:val="002528CC"/>
    <w:rsid w:val="00252F05"/>
    <w:rsid w:val="002540AA"/>
    <w:rsid w:val="002540FA"/>
    <w:rsid w:val="002544BE"/>
    <w:rsid w:val="0025461F"/>
    <w:rsid w:val="002549A9"/>
    <w:rsid w:val="00255A2B"/>
    <w:rsid w:val="002561FE"/>
    <w:rsid w:val="0025620E"/>
    <w:rsid w:val="002567CD"/>
    <w:rsid w:val="002567EF"/>
    <w:rsid w:val="00260359"/>
    <w:rsid w:val="00260361"/>
    <w:rsid w:val="00260586"/>
    <w:rsid w:val="0026067E"/>
    <w:rsid w:val="00260A7F"/>
    <w:rsid w:val="00261358"/>
    <w:rsid w:val="00261387"/>
    <w:rsid w:val="00261D25"/>
    <w:rsid w:val="00262C08"/>
    <w:rsid w:val="0026326B"/>
    <w:rsid w:val="002644C8"/>
    <w:rsid w:val="00264601"/>
    <w:rsid w:val="0026476F"/>
    <w:rsid w:val="002647A2"/>
    <w:rsid w:val="00264D86"/>
    <w:rsid w:val="0026510C"/>
    <w:rsid w:val="00265323"/>
    <w:rsid w:val="00265494"/>
    <w:rsid w:val="00265F65"/>
    <w:rsid w:val="00266A44"/>
    <w:rsid w:val="00266D2B"/>
    <w:rsid w:val="002675D9"/>
    <w:rsid w:val="0027022E"/>
    <w:rsid w:val="002704FB"/>
    <w:rsid w:val="00272CF4"/>
    <w:rsid w:val="00272F0B"/>
    <w:rsid w:val="00273044"/>
    <w:rsid w:val="00273278"/>
    <w:rsid w:val="002735AA"/>
    <w:rsid w:val="00273BF0"/>
    <w:rsid w:val="00273F3C"/>
    <w:rsid w:val="002748B6"/>
    <w:rsid w:val="00275551"/>
    <w:rsid w:val="00275602"/>
    <w:rsid w:val="00275CD6"/>
    <w:rsid w:val="00275DBE"/>
    <w:rsid w:val="00275EA2"/>
    <w:rsid w:val="00276424"/>
    <w:rsid w:val="0027652D"/>
    <w:rsid w:val="00276589"/>
    <w:rsid w:val="00276828"/>
    <w:rsid w:val="00276F15"/>
    <w:rsid w:val="00277E96"/>
    <w:rsid w:val="00277F33"/>
    <w:rsid w:val="00280012"/>
    <w:rsid w:val="00280A83"/>
    <w:rsid w:val="00280EB0"/>
    <w:rsid w:val="00280FD4"/>
    <w:rsid w:val="00281382"/>
    <w:rsid w:val="002814A0"/>
    <w:rsid w:val="00281DD3"/>
    <w:rsid w:val="00281F76"/>
    <w:rsid w:val="00282775"/>
    <w:rsid w:val="00282B2A"/>
    <w:rsid w:val="00283084"/>
    <w:rsid w:val="002838D5"/>
    <w:rsid w:val="0028443A"/>
    <w:rsid w:val="002846FC"/>
    <w:rsid w:val="00284870"/>
    <w:rsid w:val="00284C41"/>
    <w:rsid w:val="00284C49"/>
    <w:rsid w:val="00284D2F"/>
    <w:rsid w:val="00285210"/>
    <w:rsid w:val="00285367"/>
    <w:rsid w:val="00285440"/>
    <w:rsid w:val="0028551E"/>
    <w:rsid w:val="0028552C"/>
    <w:rsid w:val="002858A4"/>
    <w:rsid w:val="00285B1F"/>
    <w:rsid w:val="00285C28"/>
    <w:rsid w:val="00285FD5"/>
    <w:rsid w:val="00286F7B"/>
    <w:rsid w:val="002903F9"/>
    <w:rsid w:val="00291373"/>
    <w:rsid w:val="002914AC"/>
    <w:rsid w:val="002914B9"/>
    <w:rsid w:val="002918D2"/>
    <w:rsid w:val="00291B3C"/>
    <w:rsid w:val="00291DB8"/>
    <w:rsid w:val="002920EB"/>
    <w:rsid w:val="002922EE"/>
    <w:rsid w:val="0029241D"/>
    <w:rsid w:val="002937B6"/>
    <w:rsid w:val="0029395E"/>
    <w:rsid w:val="00293D04"/>
    <w:rsid w:val="00293F3A"/>
    <w:rsid w:val="00293F6E"/>
    <w:rsid w:val="002941BC"/>
    <w:rsid w:val="00294CF1"/>
    <w:rsid w:val="00294D40"/>
    <w:rsid w:val="00294D8B"/>
    <w:rsid w:val="00295953"/>
    <w:rsid w:val="00295A96"/>
    <w:rsid w:val="00295DBE"/>
    <w:rsid w:val="00296C8E"/>
    <w:rsid w:val="00296F26"/>
    <w:rsid w:val="002A0408"/>
    <w:rsid w:val="002A0425"/>
    <w:rsid w:val="002A0A25"/>
    <w:rsid w:val="002A0B6A"/>
    <w:rsid w:val="002A1103"/>
    <w:rsid w:val="002A115D"/>
    <w:rsid w:val="002A19C5"/>
    <w:rsid w:val="002A1F35"/>
    <w:rsid w:val="002A2251"/>
    <w:rsid w:val="002A25A4"/>
    <w:rsid w:val="002A2BE8"/>
    <w:rsid w:val="002A33B3"/>
    <w:rsid w:val="002A4149"/>
    <w:rsid w:val="002A432D"/>
    <w:rsid w:val="002A49D8"/>
    <w:rsid w:val="002A5A84"/>
    <w:rsid w:val="002A6046"/>
    <w:rsid w:val="002A610A"/>
    <w:rsid w:val="002A685E"/>
    <w:rsid w:val="002A6A6B"/>
    <w:rsid w:val="002A6CE9"/>
    <w:rsid w:val="002A725F"/>
    <w:rsid w:val="002B00FA"/>
    <w:rsid w:val="002B04A2"/>
    <w:rsid w:val="002B04BF"/>
    <w:rsid w:val="002B055D"/>
    <w:rsid w:val="002B08D1"/>
    <w:rsid w:val="002B0D00"/>
    <w:rsid w:val="002B0E55"/>
    <w:rsid w:val="002B10E6"/>
    <w:rsid w:val="002B14B7"/>
    <w:rsid w:val="002B1778"/>
    <w:rsid w:val="002B18C0"/>
    <w:rsid w:val="002B1ACF"/>
    <w:rsid w:val="002B1B61"/>
    <w:rsid w:val="002B2940"/>
    <w:rsid w:val="002B2C26"/>
    <w:rsid w:val="002B300C"/>
    <w:rsid w:val="002B45EE"/>
    <w:rsid w:val="002B4887"/>
    <w:rsid w:val="002B4889"/>
    <w:rsid w:val="002B4E25"/>
    <w:rsid w:val="002B4E94"/>
    <w:rsid w:val="002B52D5"/>
    <w:rsid w:val="002B583A"/>
    <w:rsid w:val="002B587F"/>
    <w:rsid w:val="002B594C"/>
    <w:rsid w:val="002B5ADA"/>
    <w:rsid w:val="002B619A"/>
    <w:rsid w:val="002B6695"/>
    <w:rsid w:val="002B6864"/>
    <w:rsid w:val="002B6C1E"/>
    <w:rsid w:val="002B75F1"/>
    <w:rsid w:val="002C050A"/>
    <w:rsid w:val="002C0666"/>
    <w:rsid w:val="002C1042"/>
    <w:rsid w:val="002C13B0"/>
    <w:rsid w:val="002C1AA2"/>
    <w:rsid w:val="002C1D85"/>
    <w:rsid w:val="002C2D35"/>
    <w:rsid w:val="002C311E"/>
    <w:rsid w:val="002C3FD0"/>
    <w:rsid w:val="002C58FC"/>
    <w:rsid w:val="002C6330"/>
    <w:rsid w:val="002C6E6B"/>
    <w:rsid w:val="002C70DC"/>
    <w:rsid w:val="002C7150"/>
    <w:rsid w:val="002C7464"/>
    <w:rsid w:val="002C7528"/>
    <w:rsid w:val="002C79DC"/>
    <w:rsid w:val="002D025E"/>
    <w:rsid w:val="002D03D5"/>
    <w:rsid w:val="002D0417"/>
    <w:rsid w:val="002D0694"/>
    <w:rsid w:val="002D06DE"/>
    <w:rsid w:val="002D0BB6"/>
    <w:rsid w:val="002D0E66"/>
    <w:rsid w:val="002D0E6F"/>
    <w:rsid w:val="002D140F"/>
    <w:rsid w:val="002D21F9"/>
    <w:rsid w:val="002D294C"/>
    <w:rsid w:val="002D2C44"/>
    <w:rsid w:val="002D2DF2"/>
    <w:rsid w:val="002D2E7E"/>
    <w:rsid w:val="002D2EC2"/>
    <w:rsid w:val="002D308D"/>
    <w:rsid w:val="002D3977"/>
    <w:rsid w:val="002D492C"/>
    <w:rsid w:val="002D4EE5"/>
    <w:rsid w:val="002D4F40"/>
    <w:rsid w:val="002D51D8"/>
    <w:rsid w:val="002D5EBE"/>
    <w:rsid w:val="002D5F8F"/>
    <w:rsid w:val="002D62EC"/>
    <w:rsid w:val="002D6CAE"/>
    <w:rsid w:val="002D6EFB"/>
    <w:rsid w:val="002D7409"/>
    <w:rsid w:val="002D752F"/>
    <w:rsid w:val="002D7D56"/>
    <w:rsid w:val="002E0047"/>
    <w:rsid w:val="002E058E"/>
    <w:rsid w:val="002E0DA4"/>
    <w:rsid w:val="002E120D"/>
    <w:rsid w:val="002E161B"/>
    <w:rsid w:val="002E1ACC"/>
    <w:rsid w:val="002E1BB9"/>
    <w:rsid w:val="002E28E7"/>
    <w:rsid w:val="002E30DE"/>
    <w:rsid w:val="002E3871"/>
    <w:rsid w:val="002E54DC"/>
    <w:rsid w:val="002E5B93"/>
    <w:rsid w:val="002E5BE6"/>
    <w:rsid w:val="002E5F60"/>
    <w:rsid w:val="002E626C"/>
    <w:rsid w:val="002E6298"/>
    <w:rsid w:val="002E6457"/>
    <w:rsid w:val="002E7BC4"/>
    <w:rsid w:val="002F0582"/>
    <w:rsid w:val="002F094F"/>
    <w:rsid w:val="002F103F"/>
    <w:rsid w:val="002F106F"/>
    <w:rsid w:val="002F13FB"/>
    <w:rsid w:val="002F148C"/>
    <w:rsid w:val="002F2007"/>
    <w:rsid w:val="002F2D4F"/>
    <w:rsid w:val="002F334E"/>
    <w:rsid w:val="002F338D"/>
    <w:rsid w:val="002F3892"/>
    <w:rsid w:val="002F4A6E"/>
    <w:rsid w:val="002F4F02"/>
    <w:rsid w:val="002F558C"/>
    <w:rsid w:val="002F579C"/>
    <w:rsid w:val="002F5A67"/>
    <w:rsid w:val="002F62AC"/>
    <w:rsid w:val="002F6949"/>
    <w:rsid w:val="002F6F79"/>
    <w:rsid w:val="002F7096"/>
    <w:rsid w:val="002F7800"/>
    <w:rsid w:val="002F7D3C"/>
    <w:rsid w:val="002F7EAD"/>
    <w:rsid w:val="003002E1"/>
    <w:rsid w:val="00300361"/>
    <w:rsid w:val="003010D5"/>
    <w:rsid w:val="003012D1"/>
    <w:rsid w:val="00301A92"/>
    <w:rsid w:val="00301EF9"/>
    <w:rsid w:val="00301F57"/>
    <w:rsid w:val="0030227A"/>
    <w:rsid w:val="00302447"/>
    <w:rsid w:val="0030260D"/>
    <w:rsid w:val="00302A8E"/>
    <w:rsid w:val="0030326B"/>
    <w:rsid w:val="00303390"/>
    <w:rsid w:val="00304E68"/>
    <w:rsid w:val="003056FA"/>
    <w:rsid w:val="0030577F"/>
    <w:rsid w:val="003061C1"/>
    <w:rsid w:val="003067E7"/>
    <w:rsid w:val="003069B8"/>
    <w:rsid w:val="00306B9D"/>
    <w:rsid w:val="003071E5"/>
    <w:rsid w:val="003071FC"/>
    <w:rsid w:val="00307877"/>
    <w:rsid w:val="00307E0A"/>
    <w:rsid w:val="00310AB1"/>
    <w:rsid w:val="00312ABC"/>
    <w:rsid w:val="00313827"/>
    <w:rsid w:val="0031417D"/>
    <w:rsid w:val="003146F7"/>
    <w:rsid w:val="00314A6A"/>
    <w:rsid w:val="00315648"/>
    <w:rsid w:val="00315F77"/>
    <w:rsid w:val="00317092"/>
    <w:rsid w:val="003173BE"/>
    <w:rsid w:val="003174FF"/>
    <w:rsid w:val="00317A07"/>
    <w:rsid w:val="00317C29"/>
    <w:rsid w:val="00317EE0"/>
    <w:rsid w:val="00317FCA"/>
    <w:rsid w:val="0032058C"/>
    <w:rsid w:val="00320669"/>
    <w:rsid w:val="00321001"/>
    <w:rsid w:val="00321313"/>
    <w:rsid w:val="003213A1"/>
    <w:rsid w:val="00321555"/>
    <w:rsid w:val="00322111"/>
    <w:rsid w:val="003223DB"/>
    <w:rsid w:val="00322E7E"/>
    <w:rsid w:val="0032395A"/>
    <w:rsid w:val="00323F4D"/>
    <w:rsid w:val="00323F97"/>
    <w:rsid w:val="003244B1"/>
    <w:rsid w:val="003245FB"/>
    <w:rsid w:val="003248ED"/>
    <w:rsid w:val="003254B9"/>
    <w:rsid w:val="00325EB2"/>
    <w:rsid w:val="003276EA"/>
    <w:rsid w:val="0033068B"/>
    <w:rsid w:val="00330E6E"/>
    <w:rsid w:val="003311BA"/>
    <w:rsid w:val="0033227C"/>
    <w:rsid w:val="003324E1"/>
    <w:rsid w:val="003328AE"/>
    <w:rsid w:val="0033291B"/>
    <w:rsid w:val="0033292A"/>
    <w:rsid w:val="00332D9F"/>
    <w:rsid w:val="003347F7"/>
    <w:rsid w:val="00334DB9"/>
    <w:rsid w:val="003355D8"/>
    <w:rsid w:val="00335C04"/>
    <w:rsid w:val="003360B0"/>
    <w:rsid w:val="003367E2"/>
    <w:rsid w:val="003377CD"/>
    <w:rsid w:val="0034001F"/>
    <w:rsid w:val="00340505"/>
    <w:rsid w:val="00340EE8"/>
    <w:rsid w:val="00341769"/>
    <w:rsid w:val="00343499"/>
    <w:rsid w:val="0034382F"/>
    <w:rsid w:val="00343A60"/>
    <w:rsid w:val="00343BE3"/>
    <w:rsid w:val="00343DE8"/>
    <w:rsid w:val="00344FAF"/>
    <w:rsid w:val="00345AB4"/>
    <w:rsid w:val="00345B3B"/>
    <w:rsid w:val="00345F85"/>
    <w:rsid w:val="00346989"/>
    <w:rsid w:val="00346C0D"/>
    <w:rsid w:val="0034705C"/>
    <w:rsid w:val="00347266"/>
    <w:rsid w:val="00347F84"/>
    <w:rsid w:val="003505ED"/>
    <w:rsid w:val="00350CB8"/>
    <w:rsid w:val="00350E34"/>
    <w:rsid w:val="00351383"/>
    <w:rsid w:val="0035184A"/>
    <w:rsid w:val="003526FB"/>
    <w:rsid w:val="003529F2"/>
    <w:rsid w:val="00352F87"/>
    <w:rsid w:val="0035352F"/>
    <w:rsid w:val="00354041"/>
    <w:rsid w:val="00354144"/>
    <w:rsid w:val="00354A81"/>
    <w:rsid w:val="00354DE4"/>
    <w:rsid w:val="00354F5A"/>
    <w:rsid w:val="0035535E"/>
    <w:rsid w:val="00355773"/>
    <w:rsid w:val="003564D1"/>
    <w:rsid w:val="0035664E"/>
    <w:rsid w:val="00356693"/>
    <w:rsid w:val="00356F60"/>
    <w:rsid w:val="0035719F"/>
    <w:rsid w:val="00357667"/>
    <w:rsid w:val="00357C89"/>
    <w:rsid w:val="00357E73"/>
    <w:rsid w:val="00360227"/>
    <w:rsid w:val="00360AC2"/>
    <w:rsid w:val="00361DE7"/>
    <w:rsid w:val="003621AD"/>
    <w:rsid w:val="0036262E"/>
    <w:rsid w:val="00362C30"/>
    <w:rsid w:val="00362EDB"/>
    <w:rsid w:val="0036300A"/>
    <w:rsid w:val="00363545"/>
    <w:rsid w:val="00363C48"/>
    <w:rsid w:val="0036421E"/>
    <w:rsid w:val="003653BF"/>
    <w:rsid w:val="00365CE6"/>
    <w:rsid w:val="00365F4C"/>
    <w:rsid w:val="00366433"/>
    <w:rsid w:val="0036670C"/>
    <w:rsid w:val="00366C27"/>
    <w:rsid w:val="00366FEC"/>
    <w:rsid w:val="0036777B"/>
    <w:rsid w:val="00367CFF"/>
    <w:rsid w:val="00367DA8"/>
    <w:rsid w:val="00367EBB"/>
    <w:rsid w:val="00370510"/>
    <w:rsid w:val="00370FC8"/>
    <w:rsid w:val="00371701"/>
    <w:rsid w:val="003721E4"/>
    <w:rsid w:val="003722AD"/>
    <w:rsid w:val="00373063"/>
    <w:rsid w:val="00373290"/>
    <w:rsid w:val="003734D3"/>
    <w:rsid w:val="003736CA"/>
    <w:rsid w:val="003738CD"/>
    <w:rsid w:val="00373911"/>
    <w:rsid w:val="00373FCA"/>
    <w:rsid w:val="00374260"/>
    <w:rsid w:val="00374671"/>
    <w:rsid w:val="00374A67"/>
    <w:rsid w:val="00374ABB"/>
    <w:rsid w:val="00374F7D"/>
    <w:rsid w:val="003753EF"/>
    <w:rsid w:val="00375F18"/>
    <w:rsid w:val="003766BD"/>
    <w:rsid w:val="0037780B"/>
    <w:rsid w:val="0037785F"/>
    <w:rsid w:val="00377D54"/>
    <w:rsid w:val="00380537"/>
    <w:rsid w:val="00380B28"/>
    <w:rsid w:val="00380F35"/>
    <w:rsid w:val="00380F81"/>
    <w:rsid w:val="003817C0"/>
    <w:rsid w:val="0038253C"/>
    <w:rsid w:val="00382976"/>
    <w:rsid w:val="00383485"/>
    <w:rsid w:val="00383551"/>
    <w:rsid w:val="00383B7B"/>
    <w:rsid w:val="00383E61"/>
    <w:rsid w:val="00384272"/>
    <w:rsid w:val="00384337"/>
    <w:rsid w:val="00384D75"/>
    <w:rsid w:val="00385142"/>
    <w:rsid w:val="00385542"/>
    <w:rsid w:val="0038567A"/>
    <w:rsid w:val="00385913"/>
    <w:rsid w:val="003859FB"/>
    <w:rsid w:val="003860B0"/>
    <w:rsid w:val="0038691F"/>
    <w:rsid w:val="00387233"/>
    <w:rsid w:val="00390924"/>
    <w:rsid w:val="0039172E"/>
    <w:rsid w:val="003917DE"/>
    <w:rsid w:val="00391DB7"/>
    <w:rsid w:val="00392B00"/>
    <w:rsid w:val="00392B47"/>
    <w:rsid w:val="00393FFE"/>
    <w:rsid w:val="003941C9"/>
    <w:rsid w:val="003944C7"/>
    <w:rsid w:val="0039477B"/>
    <w:rsid w:val="003953A6"/>
    <w:rsid w:val="00395754"/>
    <w:rsid w:val="003958A7"/>
    <w:rsid w:val="003965CC"/>
    <w:rsid w:val="003969BA"/>
    <w:rsid w:val="00396D1A"/>
    <w:rsid w:val="003973EA"/>
    <w:rsid w:val="00397909"/>
    <w:rsid w:val="00397949"/>
    <w:rsid w:val="003A0A89"/>
    <w:rsid w:val="003A12FD"/>
    <w:rsid w:val="003A14D6"/>
    <w:rsid w:val="003A27B2"/>
    <w:rsid w:val="003A2EF8"/>
    <w:rsid w:val="003A30E9"/>
    <w:rsid w:val="003A326F"/>
    <w:rsid w:val="003A3EA1"/>
    <w:rsid w:val="003A42A7"/>
    <w:rsid w:val="003A45DC"/>
    <w:rsid w:val="003A4B51"/>
    <w:rsid w:val="003A5A3F"/>
    <w:rsid w:val="003A5C0B"/>
    <w:rsid w:val="003A7263"/>
    <w:rsid w:val="003B0477"/>
    <w:rsid w:val="003B1FA4"/>
    <w:rsid w:val="003B22E9"/>
    <w:rsid w:val="003B2996"/>
    <w:rsid w:val="003B29BB"/>
    <w:rsid w:val="003B3311"/>
    <w:rsid w:val="003B3482"/>
    <w:rsid w:val="003B3A2A"/>
    <w:rsid w:val="003B3DF5"/>
    <w:rsid w:val="003B4796"/>
    <w:rsid w:val="003B4932"/>
    <w:rsid w:val="003B4D71"/>
    <w:rsid w:val="003B4F2D"/>
    <w:rsid w:val="003B5022"/>
    <w:rsid w:val="003B52C9"/>
    <w:rsid w:val="003B5CE1"/>
    <w:rsid w:val="003B620F"/>
    <w:rsid w:val="003B672A"/>
    <w:rsid w:val="003B714B"/>
    <w:rsid w:val="003B73F6"/>
    <w:rsid w:val="003B7549"/>
    <w:rsid w:val="003B76CD"/>
    <w:rsid w:val="003C0899"/>
    <w:rsid w:val="003C0B2D"/>
    <w:rsid w:val="003C1D54"/>
    <w:rsid w:val="003C1FC2"/>
    <w:rsid w:val="003C2144"/>
    <w:rsid w:val="003C23EC"/>
    <w:rsid w:val="003C25EB"/>
    <w:rsid w:val="003C271D"/>
    <w:rsid w:val="003C2A72"/>
    <w:rsid w:val="003C342E"/>
    <w:rsid w:val="003C37A0"/>
    <w:rsid w:val="003C398C"/>
    <w:rsid w:val="003C3E6A"/>
    <w:rsid w:val="003C47F5"/>
    <w:rsid w:val="003C4F4F"/>
    <w:rsid w:val="003C5CB3"/>
    <w:rsid w:val="003C64B9"/>
    <w:rsid w:val="003C696D"/>
    <w:rsid w:val="003C6FDC"/>
    <w:rsid w:val="003C72D8"/>
    <w:rsid w:val="003C7902"/>
    <w:rsid w:val="003C7A95"/>
    <w:rsid w:val="003D050F"/>
    <w:rsid w:val="003D06F5"/>
    <w:rsid w:val="003D0D7D"/>
    <w:rsid w:val="003D1188"/>
    <w:rsid w:val="003D1AAE"/>
    <w:rsid w:val="003D1F87"/>
    <w:rsid w:val="003D2AE9"/>
    <w:rsid w:val="003D2BCA"/>
    <w:rsid w:val="003D3C2D"/>
    <w:rsid w:val="003D449A"/>
    <w:rsid w:val="003D48D5"/>
    <w:rsid w:val="003D4AF8"/>
    <w:rsid w:val="003D5A8E"/>
    <w:rsid w:val="003D5B0E"/>
    <w:rsid w:val="003D63A3"/>
    <w:rsid w:val="003D7129"/>
    <w:rsid w:val="003D7200"/>
    <w:rsid w:val="003D7856"/>
    <w:rsid w:val="003D7E78"/>
    <w:rsid w:val="003E0099"/>
    <w:rsid w:val="003E0168"/>
    <w:rsid w:val="003E11EA"/>
    <w:rsid w:val="003E143A"/>
    <w:rsid w:val="003E1766"/>
    <w:rsid w:val="003E2231"/>
    <w:rsid w:val="003E255E"/>
    <w:rsid w:val="003E2978"/>
    <w:rsid w:val="003E4483"/>
    <w:rsid w:val="003E4DB8"/>
    <w:rsid w:val="003E4FFB"/>
    <w:rsid w:val="003E570D"/>
    <w:rsid w:val="003E59EA"/>
    <w:rsid w:val="003E600F"/>
    <w:rsid w:val="003E6AD5"/>
    <w:rsid w:val="003E6AF8"/>
    <w:rsid w:val="003E6E0C"/>
    <w:rsid w:val="003E7FE0"/>
    <w:rsid w:val="003F0370"/>
    <w:rsid w:val="003F0606"/>
    <w:rsid w:val="003F0675"/>
    <w:rsid w:val="003F0A8B"/>
    <w:rsid w:val="003F0D7E"/>
    <w:rsid w:val="003F100F"/>
    <w:rsid w:val="003F28F0"/>
    <w:rsid w:val="003F2D75"/>
    <w:rsid w:val="003F2D85"/>
    <w:rsid w:val="003F2FD6"/>
    <w:rsid w:val="003F35FB"/>
    <w:rsid w:val="003F3900"/>
    <w:rsid w:val="003F3ADB"/>
    <w:rsid w:val="003F4DC2"/>
    <w:rsid w:val="003F50C2"/>
    <w:rsid w:val="003F5B91"/>
    <w:rsid w:val="003F669B"/>
    <w:rsid w:val="003F6ADD"/>
    <w:rsid w:val="003F747F"/>
    <w:rsid w:val="003F7D08"/>
    <w:rsid w:val="004002DC"/>
    <w:rsid w:val="00400CAC"/>
    <w:rsid w:val="00400EAC"/>
    <w:rsid w:val="004010C2"/>
    <w:rsid w:val="004016BB"/>
    <w:rsid w:val="00401857"/>
    <w:rsid w:val="004018BA"/>
    <w:rsid w:val="00401DB0"/>
    <w:rsid w:val="004026D7"/>
    <w:rsid w:val="00402AC1"/>
    <w:rsid w:val="00403081"/>
    <w:rsid w:val="00403474"/>
    <w:rsid w:val="00403F22"/>
    <w:rsid w:val="004043BA"/>
    <w:rsid w:val="0040446F"/>
    <w:rsid w:val="004047D7"/>
    <w:rsid w:val="004047E5"/>
    <w:rsid w:val="004048E1"/>
    <w:rsid w:val="00404959"/>
    <w:rsid w:val="00404DE6"/>
    <w:rsid w:val="00405F9B"/>
    <w:rsid w:val="004064FA"/>
    <w:rsid w:val="004068FF"/>
    <w:rsid w:val="00406DD4"/>
    <w:rsid w:val="004070C1"/>
    <w:rsid w:val="00407407"/>
    <w:rsid w:val="00407867"/>
    <w:rsid w:val="00407F83"/>
    <w:rsid w:val="0041110A"/>
    <w:rsid w:val="004111C5"/>
    <w:rsid w:val="00411502"/>
    <w:rsid w:val="00412CCD"/>
    <w:rsid w:val="004130E1"/>
    <w:rsid w:val="00414F06"/>
    <w:rsid w:val="00415291"/>
    <w:rsid w:val="00415B54"/>
    <w:rsid w:val="004165C0"/>
    <w:rsid w:val="0041723E"/>
    <w:rsid w:val="004172AF"/>
    <w:rsid w:val="00417425"/>
    <w:rsid w:val="00420FA3"/>
    <w:rsid w:val="00420FD3"/>
    <w:rsid w:val="00421F9F"/>
    <w:rsid w:val="0042204B"/>
    <w:rsid w:val="004221B7"/>
    <w:rsid w:val="0042253A"/>
    <w:rsid w:val="004228CC"/>
    <w:rsid w:val="004230C3"/>
    <w:rsid w:val="004232C9"/>
    <w:rsid w:val="004240AD"/>
    <w:rsid w:val="0042418D"/>
    <w:rsid w:val="0042472C"/>
    <w:rsid w:val="004253DE"/>
    <w:rsid w:val="00425895"/>
    <w:rsid w:val="00425BF2"/>
    <w:rsid w:val="00425C3E"/>
    <w:rsid w:val="00426E24"/>
    <w:rsid w:val="004277D4"/>
    <w:rsid w:val="00430624"/>
    <w:rsid w:val="004309C8"/>
    <w:rsid w:val="00430A3C"/>
    <w:rsid w:val="00431139"/>
    <w:rsid w:val="004311BF"/>
    <w:rsid w:val="00431B4B"/>
    <w:rsid w:val="00431E9B"/>
    <w:rsid w:val="00431F3B"/>
    <w:rsid w:val="004323FE"/>
    <w:rsid w:val="004326D6"/>
    <w:rsid w:val="0043288A"/>
    <w:rsid w:val="00432E0C"/>
    <w:rsid w:val="00433281"/>
    <w:rsid w:val="00433529"/>
    <w:rsid w:val="0043389B"/>
    <w:rsid w:val="00433A4E"/>
    <w:rsid w:val="00433ECD"/>
    <w:rsid w:val="0043415B"/>
    <w:rsid w:val="004344C0"/>
    <w:rsid w:val="00434615"/>
    <w:rsid w:val="00434719"/>
    <w:rsid w:val="00434CD0"/>
    <w:rsid w:val="004350BA"/>
    <w:rsid w:val="0043563E"/>
    <w:rsid w:val="00435993"/>
    <w:rsid w:val="00435B52"/>
    <w:rsid w:val="00435C20"/>
    <w:rsid w:val="0043601E"/>
    <w:rsid w:val="00437DF8"/>
    <w:rsid w:val="00440022"/>
    <w:rsid w:val="00440062"/>
    <w:rsid w:val="00440B84"/>
    <w:rsid w:val="00441316"/>
    <w:rsid w:val="0044146C"/>
    <w:rsid w:val="004414EA"/>
    <w:rsid w:val="004418E3"/>
    <w:rsid w:val="00441AFA"/>
    <w:rsid w:val="00442192"/>
    <w:rsid w:val="00442AC3"/>
    <w:rsid w:val="00442EF9"/>
    <w:rsid w:val="00442FC0"/>
    <w:rsid w:val="00443102"/>
    <w:rsid w:val="00443189"/>
    <w:rsid w:val="00444396"/>
    <w:rsid w:val="0044479E"/>
    <w:rsid w:val="00444B3E"/>
    <w:rsid w:val="004450A9"/>
    <w:rsid w:val="004450F0"/>
    <w:rsid w:val="004453CB"/>
    <w:rsid w:val="004463FF"/>
    <w:rsid w:val="004466E0"/>
    <w:rsid w:val="00447099"/>
    <w:rsid w:val="0044747B"/>
    <w:rsid w:val="00447606"/>
    <w:rsid w:val="00447951"/>
    <w:rsid w:val="00447F91"/>
    <w:rsid w:val="004504FB"/>
    <w:rsid w:val="00450651"/>
    <w:rsid w:val="00450EC3"/>
    <w:rsid w:val="00451106"/>
    <w:rsid w:val="00452523"/>
    <w:rsid w:val="004528CD"/>
    <w:rsid w:val="00452ED5"/>
    <w:rsid w:val="00452F0B"/>
    <w:rsid w:val="00453700"/>
    <w:rsid w:val="0045429C"/>
    <w:rsid w:val="00454347"/>
    <w:rsid w:val="00454507"/>
    <w:rsid w:val="00454520"/>
    <w:rsid w:val="0045554E"/>
    <w:rsid w:val="004556E6"/>
    <w:rsid w:val="00455D02"/>
    <w:rsid w:val="0045611F"/>
    <w:rsid w:val="00456428"/>
    <w:rsid w:val="00457095"/>
    <w:rsid w:val="0045742A"/>
    <w:rsid w:val="004578AC"/>
    <w:rsid w:val="00460321"/>
    <w:rsid w:val="004605CA"/>
    <w:rsid w:val="004609C0"/>
    <w:rsid w:val="00460BF0"/>
    <w:rsid w:val="004613DA"/>
    <w:rsid w:val="00461FB1"/>
    <w:rsid w:val="0046298E"/>
    <w:rsid w:val="004629F9"/>
    <w:rsid w:val="00462C7F"/>
    <w:rsid w:val="0046301F"/>
    <w:rsid w:val="00463DAD"/>
    <w:rsid w:val="00463DD3"/>
    <w:rsid w:val="00463F67"/>
    <w:rsid w:val="00463FD6"/>
    <w:rsid w:val="0046402B"/>
    <w:rsid w:val="00464531"/>
    <w:rsid w:val="00464764"/>
    <w:rsid w:val="00464BC4"/>
    <w:rsid w:val="00465194"/>
    <w:rsid w:val="00465241"/>
    <w:rsid w:val="004659A0"/>
    <w:rsid w:val="004662BE"/>
    <w:rsid w:val="00466C01"/>
    <w:rsid w:val="00466F16"/>
    <w:rsid w:val="0046715D"/>
    <w:rsid w:val="00467468"/>
    <w:rsid w:val="0046768B"/>
    <w:rsid w:val="00467CCB"/>
    <w:rsid w:val="004703AA"/>
    <w:rsid w:val="004707E6"/>
    <w:rsid w:val="004707EA"/>
    <w:rsid w:val="00470AB7"/>
    <w:rsid w:val="00470BC7"/>
    <w:rsid w:val="004711AA"/>
    <w:rsid w:val="0047162A"/>
    <w:rsid w:val="0047181B"/>
    <w:rsid w:val="00471A93"/>
    <w:rsid w:val="00471D1E"/>
    <w:rsid w:val="00471DCD"/>
    <w:rsid w:val="00471F8F"/>
    <w:rsid w:val="00472DF4"/>
    <w:rsid w:val="00473C47"/>
    <w:rsid w:val="00473F40"/>
    <w:rsid w:val="0047402B"/>
    <w:rsid w:val="00474110"/>
    <w:rsid w:val="0047419D"/>
    <w:rsid w:val="00474350"/>
    <w:rsid w:val="004743F3"/>
    <w:rsid w:val="004748CF"/>
    <w:rsid w:val="004750D4"/>
    <w:rsid w:val="00475495"/>
    <w:rsid w:val="004754F6"/>
    <w:rsid w:val="004757D7"/>
    <w:rsid w:val="00475D12"/>
    <w:rsid w:val="00476469"/>
    <w:rsid w:val="00476A0C"/>
    <w:rsid w:val="00477688"/>
    <w:rsid w:val="00477A6B"/>
    <w:rsid w:val="00477CD6"/>
    <w:rsid w:val="00477F44"/>
    <w:rsid w:val="0048054C"/>
    <w:rsid w:val="00480692"/>
    <w:rsid w:val="00481660"/>
    <w:rsid w:val="00481836"/>
    <w:rsid w:val="00481B47"/>
    <w:rsid w:val="00482CC1"/>
    <w:rsid w:val="00482D78"/>
    <w:rsid w:val="00483302"/>
    <w:rsid w:val="004836CF"/>
    <w:rsid w:val="00483812"/>
    <w:rsid w:val="00483BA6"/>
    <w:rsid w:val="004847DC"/>
    <w:rsid w:val="00484AE4"/>
    <w:rsid w:val="004853B5"/>
    <w:rsid w:val="00485530"/>
    <w:rsid w:val="00485D15"/>
    <w:rsid w:val="00485DFD"/>
    <w:rsid w:val="00485E6C"/>
    <w:rsid w:val="00486031"/>
    <w:rsid w:val="004860BF"/>
    <w:rsid w:val="00486213"/>
    <w:rsid w:val="00486272"/>
    <w:rsid w:val="00486F79"/>
    <w:rsid w:val="00487425"/>
    <w:rsid w:val="004874EF"/>
    <w:rsid w:val="0048778E"/>
    <w:rsid w:val="0049044A"/>
    <w:rsid w:val="00490BC9"/>
    <w:rsid w:val="0049118C"/>
    <w:rsid w:val="00491986"/>
    <w:rsid w:val="00491AA2"/>
    <w:rsid w:val="00492CB6"/>
    <w:rsid w:val="0049317F"/>
    <w:rsid w:val="004944AF"/>
    <w:rsid w:val="0049512F"/>
    <w:rsid w:val="00495306"/>
    <w:rsid w:val="00495870"/>
    <w:rsid w:val="0049709A"/>
    <w:rsid w:val="004974BB"/>
    <w:rsid w:val="00497584"/>
    <w:rsid w:val="00497D26"/>
    <w:rsid w:val="004A0015"/>
    <w:rsid w:val="004A03A9"/>
    <w:rsid w:val="004A059F"/>
    <w:rsid w:val="004A0703"/>
    <w:rsid w:val="004A099B"/>
    <w:rsid w:val="004A0E06"/>
    <w:rsid w:val="004A0F6D"/>
    <w:rsid w:val="004A2483"/>
    <w:rsid w:val="004A28D1"/>
    <w:rsid w:val="004A2B52"/>
    <w:rsid w:val="004A33EF"/>
    <w:rsid w:val="004A38B3"/>
    <w:rsid w:val="004A3C30"/>
    <w:rsid w:val="004A3CEA"/>
    <w:rsid w:val="004A414B"/>
    <w:rsid w:val="004A42BF"/>
    <w:rsid w:val="004A4A67"/>
    <w:rsid w:val="004A4C27"/>
    <w:rsid w:val="004A4CC0"/>
    <w:rsid w:val="004A5452"/>
    <w:rsid w:val="004A601F"/>
    <w:rsid w:val="004A626F"/>
    <w:rsid w:val="004A630F"/>
    <w:rsid w:val="004A639C"/>
    <w:rsid w:val="004A6D62"/>
    <w:rsid w:val="004A7053"/>
    <w:rsid w:val="004A75FA"/>
    <w:rsid w:val="004A7AA6"/>
    <w:rsid w:val="004B0376"/>
    <w:rsid w:val="004B0609"/>
    <w:rsid w:val="004B063A"/>
    <w:rsid w:val="004B07D9"/>
    <w:rsid w:val="004B0ECE"/>
    <w:rsid w:val="004B111D"/>
    <w:rsid w:val="004B1535"/>
    <w:rsid w:val="004B20D1"/>
    <w:rsid w:val="004B2236"/>
    <w:rsid w:val="004B25E8"/>
    <w:rsid w:val="004B269C"/>
    <w:rsid w:val="004B2783"/>
    <w:rsid w:val="004B36E7"/>
    <w:rsid w:val="004B421C"/>
    <w:rsid w:val="004B42AA"/>
    <w:rsid w:val="004B438B"/>
    <w:rsid w:val="004B5623"/>
    <w:rsid w:val="004B5690"/>
    <w:rsid w:val="004B6031"/>
    <w:rsid w:val="004B67EA"/>
    <w:rsid w:val="004B6AE1"/>
    <w:rsid w:val="004B6FE8"/>
    <w:rsid w:val="004C0538"/>
    <w:rsid w:val="004C1AF2"/>
    <w:rsid w:val="004C1F78"/>
    <w:rsid w:val="004C2720"/>
    <w:rsid w:val="004C287D"/>
    <w:rsid w:val="004C2B86"/>
    <w:rsid w:val="004C2E81"/>
    <w:rsid w:val="004C3147"/>
    <w:rsid w:val="004C3CAB"/>
    <w:rsid w:val="004C3DC1"/>
    <w:rsid w:val="004C40AC"/>
    <w:rsid w:val="004C412D"/>
    <w:rsid w:val="004C4576"/>
    <w:rsid w:val="004C5196"/>
    <w:rsid w:val="004C524F"/>
    <w:rsid w:val="004C657B"/>
    <w:rsid w:val="004C69B0"/>
    <w:rsid w:val="004C6DF5"/>
    <w:rsid w:val="004D00E2"/>
    <w:rsid w:val="004D0650"/>
    <w:rsid w:val="004D0D46"/>
    <w:rsid w:val="004D1B79"/>
    <w:rsid w:val="004D1DE4"/>
    <w:rsid w:val="004D1F3B"/>
    <w:rsid w:val="004D26B2"/>
    <w:rsid w:val="004D2E38"/>
    <w:rsid w:val="004D2E45"/>
    <w:rsid w:val="004D39AA"/>
    <w:rsid w:val="004D4192"/>
    <w:rsid w:val="004D42B9"/>
    <w:rsid w:val="004D5F44"/>
    <w:rsid w:val="004D7B32"/>
    <w:rsid w:val="004D7F6E"/>
    <w:rsid w:val="004E0623"/>
    <w:rsid w:val="004E0BF4"/>
    <w:rsid w:val="004E0EA0"/>
    <w:rsid w:val="004E0EB0"/>
    <w:rsid w:val="004E1338"/>
    <w:rsid w:val="004E13C6"/>
    <w:rsid w:val="004E1590"/>
    <w:rsid w:val="004E166F"/>
    <w:rsid w:val="004E1865"/>
    <w:rsid w:val="004E1B66"/>
    <w:rsid w:val="004E1CE9"/>
    <w:rsid w:val="004E26E2"/>
    <w:rsid w:val="004E2CCD"/>
    <w:rsid w:val="004E2D83"/>
    <w:rsid w:val="004E3A1A"/>
    <w:rsid w:val="004E481E"/>
    <w:rsid w:val="004E4893"/>
    <w:rsid w:val="004E4CD5"/>
    <w:rsid w:val="004E4F3B"/>
    <w:rsid w:val="004E54D1"/>
    <w:rsid w:val="004E5F92"/>
    <w:rsid w:val="004E678D"/>
    <w:rsid w:val="004E6BFC"/>
    <w:rsid w:val="004E755D"/>
    <w:rsid w:val="004E7985"/>
    <w:rsid w:val="004F019E"/>
    <w:rsid w:val="004F0596"/>
    <w:rsid w:val="004F08E7"/>
    <w:rsid w:val="004F0A79"/>
    <w:rsid w:val="004F1378"/>
    <w:rsid w:val="004F141D"/>
    <w:rsid w:val="004F16D1"/>
    <w:rsid w:val="004F1F2E"/>
    <w:rsid w:val="004F280E"/>
    <w:rsid w:val="004F2BDA"/>
    <w:rsid w:val="004F38B0"/>
    <w:rsid w:val="004F3B01"/>
    <w:rsid w:val="004F4518"/>
    <w:rsid w:val="004F475A"/>
    <w:rsid w:val="004F4B56"/>
    <w:rsid w:val="004F5E43"/>
    <w:rsid w:val="004F6934"/>
    <w:rsid w:val="004F6941"/>
    <w:rsid w:val="004F6A0E"/>
    <w:rsid w:val="004F6A46"/>
    <w:rsid w:val="004F7159"/>
    <w:rsid w:val="004F7D70"/>
    <w:rsid w:val="0050003D"/>
    <w:rsid w:val="0050008D"/>
    <w:rsid w:val="005009B8"/>
    <w:rsid w:val="00500F34"/>
    <w:rsid w:val="00501300"/>
    <w:rsid w:val="00501E51"/>
    <w:rsid w:val="00502852"/>
    <w:rsid w:val="00502D9A"/>
    <w:rsid w:val="00503420"/>
    <w:rsid w:val="0050354F"/>
    <w:rsid w:val="00503B6C"/>
    <w:rsid w:val="00503D75"/>
    <w:rsid w:val="005040B1"/>
    <w:rsid w:val="00505800"/>
    <w:rsid w:val="00506A8E"/>
    <w:rsid w:val="00506B82"/>
    <w:rsid w:val="00506CC3"/>
    <w:rsid w:val="00507C30"/>
    <w:rsid w:val="005102F7"/>
    <w:rsid w:val="00510386"/>
    <w:rsid w:val="005104AC"/>
    <w:rsid w:val="00510B7C"/>
    <w:rsid w:val="005112CA"/>
    <w:rsid w:val="00511AA3"/>
    <w:rsid w:val="0051209A"/>
    <w:rsid w:val="0051250D"/>
    <w:rsid w:val="00515842"/>
    <w:rsid w:val="00515A68"/>
    <w:rsid w:val="00515F2A"/>
    <w:rsid w:val="0051653A"/>
    <w:rsid w:val="005173DA"/>
    <w:rsid w:val="00517654"/>
    <w:rsid w:val="00517718"/>
    <w:rsid w:val="005207D7"/>
    <w:rsid w:val="00521419"/>
    <w:rsid w:val="00521A27"/>
    <w:rsid w:val="0052284E"/>
    <w:rsid w:val="00522E56"/>
    <w:rsid w:val="00523469"/>
    <w:rsid w:val="00523A8D"/>
    <w:rsid w:val="00523AF4"/>
    <w:rsid w:val="00525283"/>
    <w:rsid w:val="00525980"/>
    <w:rsid w:val="00525B49"/>
    <w:rsid w:val="005267EE"/>
    <w:rsid w:val="00527E88"/>
    <w:rsid w:val="0053000B"/>
    <w:rsid w:val="005300EC"/>
    <w:rsid w:val="00530671"/>
    <w:rsid w:val="0053096F"/>
    <w:rsid w:val="00531087"/>
    <w:rsid w:val="005310C6"/>
    <w:rsid w:val="00532075"/>
    <w:rsid w:val="00532F0E"/>
    <w:rsid w:val="005331A5"/>
    <w:rsid w:val="00533572"/>
    <w:rsid w:val="00533911"/>
    <w:rsid w:val="00533C83"/>
    <w:rsid w:val="00533CE5"/>
    <w:rsid w:val="00533DA2"/>
    <w:rsid w:val="005345B6"/>
    <w:rsid w:val="0053477E"/>
    <w:rsid w:val="00534AC5"/>
    <w:rsid w:val="00534F38"/>
    <w:rsid w:val="00535170"/>
    <w:rsid w:val="0053569F"/>
    <w:rsid w:val="005369A1"/>
    <w:rsid w:val="00536BBB"/>
    <w:rsid w:val="00536F06"/>
    <w:rsid w:val="00537244"/>
    <w:rsid w:val="0053771F"/>
    <w:rsid w:val="005378B6"/>
    <w:rsid w:val="00537E40"/>
    <w:rsid w:val="00540175"/>
    <w:rsid w:val="00541000"/>
    <w:rsid w:val="00541D98"/>
    <w:rsid w:val="00542395"/>
    <w:rsid w:val="005424D0"/>
    <w:rsid w:val="00542ECA"/>
    <w:rsid w:val="00543C57"/>
    <w:rsid w:val="00544AC1"/>
    <w:rsid w:val="00544AF8"/>
    <w:rsid w:val="00544B0A"/>
    <w:rsid w:val="005452F8"/>
    <w:rsid w:val="0054538D"/>
    <w:rsid w:val="00545A48"/>
    <w:rsid w:val="00545A9D"/>
    <w:rsid w:val="00545C05"/>
    <w:rsid w:val="005461E5"/>
    <w:rsid w:val="005462E9"/>
    <w:rsid w:val="00546C1C"/>
    <w:rsid w:val="00546F9D"/>
    <w:rsid w:val="005472B9"/>
    <w:rsid w:val="005477D2"/>
    <w:rsid w:val="005478A3"/>
    <w:rsid w:val="00550C2D"/>
    <w:rsid w:val="00550CB8"/>
    <w:rsid w:val="00551A1F"/>
    <w:rsid w:val="005527DB"/>
    <w:rsid w:val="00553502"/>
    <w:rsid w:val="00553F68"/>
    <w:rsid w:val="00554091"/>
    <w:rsid w:val="0055476F"/>
    <w:rsid w:val="005547F8"/>
    <w:rsid w:val="00555043"/>
    <w:rsid w:val="0055516F"/>
    <w:rsid w:val="005557BA"/>
    <w:rsid w:val="00555C94"/>
    <w:rsid w:val="00556736"/>
    <w:rsid w:val="00556B24"/>
    <w:rsid w:val="005571DC"/>
    <w:rsid w:val="00557494"/>
    <w:rsid w:val="005574F9"/>
    <w:rsid w:val="0055793B"/>
    <w:rsid w:val="00557C70"/>
    <w:rsid w:val="00557CCA"/>
    <w:rsid w:val="00560374"/>
    <w:rsid w:val="00560AD6"/>
    <w:rsid w:val="00560B28"/>
    <w:rsid w:val="00561526"/>
    <w:rsid w:val="00561AFD"/>
    <w:rsid w:val="00561B3B"/>
    <w:rsid w:val="005630A2"/>
    <w:rsid w:val="005636D9"/>
    <w:rsid w:val="00563ADF"/>
    <w:rsid w:val="00563D56"/>
    <w:rsid w:val="0056413B"/>
    <w:rsid w:val="00564A34"/>
    <w:rsid w:val="00564A58"/>
    <w:rsid w:val="00564DAC"/>
    <w:rsid w:val="00565622"/>
    <w:rsid w:val="005661A7"/>
    <w:rsid w:val="0056685A"/>
    <w:rsid w:val="00566F00"/>
    <w:rsid w:val="00567539"/>
    <w:rsid w:val="00567885"/>
    <w:rsid w:val="00567C8C"/>
    <w:rsid w:val="00567E4B"/>
    <w:rsid w:val="00567E91"/>
    <w:rsid w:val="00567F9E"/>
    <w:rsid w:val="0057070E"/>
    <w:rsid w:val="00570AFB"/>
    <w:rsid w:val="00570B7E"/>
    <w:rsid w:val="005712C2"/>
    <w:rsid w:val="0057147F"/>
    <w:rsid w:val="00571815"/>
    <w:rsid w:val="005718DE"/>
    <w:rsid w:val="0057249C"/>
    <w:rsid w:val="00572672"/>
    <w:rsid w:val="005734AA"/>
    <w:rsid w:val="005743BB"/>
    <w:rsid w:val="00574A52"/>
    <w:rsid w:val="005755EF"/>
    <w:rsid w:val="00576449"/>
    <w:rsid w:val="00576B85"/>
    <w:rsid w:val="00576E08"/>
    <w:rsid w:val="00577003"/>
    <w:rsid w:val="00577323"/>
    <w:rsid w:val="0057768B"/>
    <w:rsid w:val="005778ED"/>
    <w:rsid w:val="0058037F"/>
    <w:rsid w:val="0058106A"/>
    <w:rsid w:val="005811CD"/>
    <w:rsid w:val="0058158D"/>
    <w:rsid w:val="00581BE8"/>
    <w:rsid w:val="00581D29"/>
    <w:rsid w:val="00581FC6"/>
    <w:rsid w:val="0058202B"/>
    <w:rsid w:val="005828EE"/>
    <w:rsid w:val="00582CAE"/>
    <w:rsid w:val="00583A51"/>
    <w:rsid w:val="00584487"/>
    <w:rsid w:val="00584684"/>
    <w:rsid w:val="0058626F"/>
    <w:rsid w:val="00586389"/>
    <w:rsid w:val="00586DC2"/>
    <w:rsid w:val="00586EAB"/>
    <w:rsid w:val="00590755"/>
    <w:rsid w:val="00590B18"/>
    <w:rsid w:val="00590EAA"/>
    <w:rsid w:val="0059141F"/>
    <w:rsid w:val="00591E32"/>
    <w:rsid w:val="005920AD"/>
    <w:rsid w:val="005924CD"/>
    <w:rsid w:val="0059337D"/>
    <w:rsid w:val="005935FF"/>
    <w:rsid w:val="005937EA"/>
    <w:rsid w:val="00593FED"/>
    <w:rsid w:val="0059453B"/>
    <w:rsid w:val="00594D30"/>
    <w:rsid w:val="005954A7"/>
    <w:rsid w:val="00595999"/>
    <w:rsid w:val="005963B8"/>
    <w:rsid w:val="00596B02"/>
    <w:rsid w:val="00597363"/>
    <w:rsid w:val="0059798D"/>
    <w:rsid w:val="00597EFE"/>
    <w:rsid w:val="005A0291"/>
    <w:rsid w:val="005A0479"/>
    <w:rsid w:val="005A0759"/>
    <w:rsid w:val="005A11C1"/>
    <w:rsid w:val="005A32DD"/>
    <w:rsid w:val="005A371A"/>
    <w:rsid w:val="005A3D63"/>
    <w:rsid w:val="005A3E1E"/>
    <w:rsid w:val="005A3E75"/>
    <w:rsid w:val="005A3EF8"/>
    <w:rsid w:val="005A3FF5"/>
    <w:rsid w:val="005A4DC1"/>
    <w:rsid w:val="005A611F"/>
    <w:rsid w:val="005A6607"/>
    <w:rsid w:val="005A6982"/>
    <w:rsid w:val="005A7CBF"/>
    <w:rsid w:val="005B017E"/>
    <w:rsid w:val="005B0382"/>
    <w:rsid w:val="005B04AD"/>
    <w:rsid w:val="005B0CAC"/>
    <w:rsid w:val="005B1050"/>
    <w:rsid w:val="005B1267"/>
    <w:rsid w:val="005B1333"/>
    <w:rsid w:val="005B1D61"/>
    <w:rsid w:val="005B219D"/>
    <w:rsid w:val="005B2238"/>
    <w:rsid w:val="005B2487"/>
    <w:rsid w:val="005B2700"/>
    <w:rsid w:val="005B2956"/>
    <w:rsid w:val="005B2AB9"/>
    <w:rsid w:val="005B2D23"/>
    <w:rsid w:val="005B3011"/>
    <w:rsid w:val="005B339F"/>
    <w:rsid w:val="005B37CE"/>
    <w:rsid w:val="005B3C27"/>
    <w:rsid w:val="005B444F"/>
    <w:rsid w:val="005B4B97"/>
    <w:rsid w:val="005B5063"/>
    <w:rsid w:val="005B526C"/>
    <w:rsid w:val="005B5DD1"/>
    <w:rsid w:val="005B668C"/>
    <w:rsid w:val="005B6BA3"/>
    <w:rsid w:val="005B6D32"/>
    <w:rsid w:val="005B6E8F"/>
    <w:rsid w:val="005B7B44"/>
    <w:rsid w:val="005C02A4"/>
    <w:rsid w:val="005C08AA"/>
    <w:rsid w:val="005C1C5B"/>
    <w:rsid w:val="005C1D94"/>
    <w:rsid w:val="005C1DED"/>
    <w:rsid w:val="005C22BC"/>
    <w:rsid w:val="005C22C5"/>
    <w:rsid w:val="005C2936"/>
    <w:rsid w:val="005C2FB0"/>
    <w:rsid w:val="005C3AC8"/>
    <w:rsid w:val="005C3FBD"/>
    <w:rsid w:val="005C418F"/>
    <w:rsid w:val="005C494D"/>
    <w:rsid w:val="005C4C84"/>
    <w:rsid w:val="005C5350"/>
    <w:rsid w:val="005C53CF"/>
    <w:rsid w:val="005C5DB7"/>
    <w:rsid w:val="005C64A0"/>
    <w:rsid w:val="005C69E7"/>
    <w:rsid w:val="005C6C53"/>
    <w:rsid w:val="005C6EF6"/>
    <w:rsid w:val="005C70DB"/>
    <w:rsid w:val="005C72B8"/>
    <w:rsid w:val="005C75BC"/>
    <w:rsid w:val="005C76CA"/>
    <w:rsid w:val="005C76DF"/>
    <w:rsid w:val="005C7959"/>
    <w:rsid w:val="005C7A73"/>
    <w:rsid w:val="005C7EC2"/>
    <w:rsid w:val="005D0DEC"/>
    <w:rsid w:val="005D259C"/>
    <w:rsid w:val="005D2A02"/>
    <w:rsid w:val="005D2B24"/>
    <w:rsid w:val="005D2CAB"/>
    <w:rsid w:val="005D332D"/>
    <w:rsid w:val="005D33EA"/>
    <w:rsid w:val="005D350D"/>
    <w:rsid w:val="005D3E04"/>
    <w:rsid w:val="005D3FDC"/>
    <w:rsid w:val="005D4222"/>
    <w:rsid w:val="005D4DA3"/>
    <w:rsid w:val="005D5037"/>
    <w:rsid w:val="005D5855"/>
    <w:rsid w:val="005D5D1D"/>
    <w:rsid w:val="005D6A0C"/>
    <w:rsid w:val="005D6DF3"/>
    <w:rsid w:val="005D7036"/>
    <w:rsid w:val="005D7C90"/>
    <w:rsid w:val="005E0A15"/>
    <w:rsid w:val="005E1191"/>
    <w:rsid w:val="005E16F3"/>
    <w:rsid w:val="005E1AF1"/>
    <w:rsid w:val="005E245A"/>
    <w:rsid w:val="005E2B22"/>
    <w:rsid w:val="005E3306"/>
    <w:rsid w:val="005E3C27"/>
    <w:rsid w:val="005E3C8B"/>
    <w:rsid w:val="005E3DF9"/>
    <w:rsid w:val="005E40B6"/>
    <w:rsid w:val="005E40F4"/>
    <w:rsid w:val="005E4A51"/>
    <w:rsid w:val="005E4BBC"/>
    <w:rsid w:val="005E4EED"/>
    <w:rsid w:val="005E51D4"/>
    <w:rsid w:val="005E54EA"/>
    <w:rsid w:val="005E5978"/>
    <w:rsid w:val="005E62B7"/>
    <w:rsid w:val="005E6326"/>
    <w:rsid w:val="005E69C6"/>
    <w:rsid w:val="005E71C3"/>
    <w:rsid w:val="005E722C"/>
    <w:rsid w:val="005E7D65"/>
    <w:rsid w:val="005E7F95"/>
    <w:rsid w:val="005F0BC8"/>
    <w:rsid w:val="005F183E"/>
    <w:rsid w:val="005F2164"/>
    <w:rsid w:val="005F3952"/>
    <w:rsid w:val="005F3C29"/>
    <w:rsid w:val="005F40C0"/>
    <w:rsid w:val="005F41DD"/>
    <w:rsid w:val="005F4450"/>
    <w:rsid w:val="005F4658"/>
    <w:rsid w:val="005F4783"/>
    <w:rsid w:val="005F48FC"/>
    <w:rsid w:val="005F58A2"/>
    <w:rsid w:val="005F5C54"/>
    <w:rsid w:val="005F6301"/>
    <w:rsid w:val="005F697D"/>
    <w:rsid w:val="005F7016"/>
    <w:rsid w:val="005F72C7"/>
    <w:rsid w:val="005F782D"/>
    <w:rsid w:val="005F7896"/>
    <w:rsid w:val="005F7B0C"/>
    <w:rsid w:val="0060020D"/>
    <w:rsid w:val="006006CE"/>
    <w:rsid w:val="00600D0F"/>
    <w:rsid w:val="006012A1"/>
    <w:rsid w:val="00601674"/>
    <w:rsid w:val="006020EF"/>
    <w:rsid w:val="00602DBD"/>
    <w:rsid w:val="00603115"/>
    <w:rsid w:val="00603300"/>
    <w:rsid w:val="00603D87"/>
    <w:rsid w:val="006049FC"/>
    <w:rsid w:val="00604A6F"/>
    <w:rsid w:val="006055BC"/>
    <w:rsid w:val="006069CF"/>
    <w:rsid w:val="00606BBE"/>
    <w:rsid w:val="006077B3"/>
    <w:rsid w:val="0061005E"/>
    <w:rsid w:val="00610B42"/>
    <w:rsid w:val="00611D92"/>
    <w:rsid w:val="00611DC5"/>
    <w:rsid w:val="00612001"/>
    <w:rsid w:val="006121BB"/>
    <w:rsid w:val="006122A8"/>
    <w:rsid w:val="0061277D"/>
    <w:rsid w:val="006127A3"/>
    <w:rsid w:val="00612C36"/>
    <w:rsid w:val="00612CE3"/>
    <w:rsid w:val="00612EA4"/>
    <w:rsid w:val="00612F83"/>
    <w:rsid w:val="0061300F"/>
    <w:rsid w:val="00613782"/>
    <w:rsid w:val="006143EF"/>
    <w:rsid w:val="0061452F"/>
    <w:rsid w:val="00614CF9"/>
    <w:rsid w:val="0061534C"/>
    <w:rsid w:val="0061565E"/>
    <w:rsid w:val="00615769"/>
    <w:rsid w:val="00615E87"/>
    <w:rsid w:val="00615F40"/>
    <w:rsid w:val="006160CB"/>
    <w:rsid w:val="00616175"/>
    <w:rsid w:val="00616806"/>
    <w:rsid w:val="00616B0B"/>
    <w:rsid w:val="00616F53"/>
    <w:rsid w:val="00617108"/>
    <w:rsid w:val="00617D5C"/>
    <w:rsid w:val="00617E5D"/>
    <w:rsid w:val="006203C0"/>
    <w:rsid w:val="0062072D"/>
    <w:rsid w:val="0062078F"/>
    <w:rsid w:val="00620811"/>
    <w:rsid w:val="0062086B"/>
    <w:rsid w:val="00620C07"/>
    <w:rsid w:val="00621505"/>
    <w:rsid w:val="006216EB"/>
    <w:rsid w:val="00621831"/>
    <w:rsid w:val="00621AB5"/>
    <w:rsid w:val="00621F2D"/>
    <w:rsid w:val="0062206A"/>
    <w:rsid w:val="00622692"/>
    <w:rsid w:val="00622F56"/>
    <w:rsid w:val="00623035"/>
    <w:rsid w:val="00623450"/>
    <w:rsid w:val="006235AB"/>
    <w:rsid w:val="0062398D"/>
    <w:rsid w:val="00623DAA"/>
    <w:rsid w:val="0062469F"/>
    <w:rsid w:val="00624715"/>
    <w:rsid w:val="0062512C"/>
    <w:rsid w:val="0062525D"/>
    <w:rsid w:val="00625885"/>
    <w:rsid w:val="0062728E"/>
    <w:rsid w:val="00627868"/>
    <w:rsid w:val="006278F2"/>
    <w:rsid w:val="00627BAA"/>
    <w:rsid w:val="00630AB7"/>
    <w:rsid w:val="00630EE2"/>
    <w:rsid w:val="006321BE"/>
    <w:rsid w:val="0063228B"/>
    <w:rsid w:val="00632450"/>
    <w:rsid w:val="00632639"/>
    <w:rsid w:val="00632C80"/>
    <w:rsid w:val="00632D60"/>
    <w:rsid w:val="00632E98"/>
    <w:rsid w:val="0063329F"/>
    <w:rsid w:val="00633A23"/>
    <w:rsid w:val="00634583"/>
    <w:rsid w:val="00634ABD"/>
    <w:rsid w:val="00634E7E"/>
    <w:rsid w:val="00634E9E"/>
    <w:rsid w:val="006364AE"/>
    <w:rsid w:val="0063658B"/>
    <w:rsid w:val="00636860"/>
    <w:rsid w:val="00636CDB"/>
    <w:rsid w:val="00636DBA"/>
    <w:rsid w:val="006373AC"/>
    <w:rsid w:val="00640610"/>
    <w:rsid w:val="006409B0"/>
    <w:rsid w:val="006427E0"/>
    <w:rsid w:val="00643571"/>
    <w:rsid w:val="006435A3"/>
    <w:rsid w:val="00643BEB"/>
    <w:rsid w:val="0064490B"/>
    <w:rsid w:val="00645244"/>
    <w:rsid w:val="00645579"/>
    <w:rsid w:val="00646E62"/>
    <w:rsid w:val="00647421"/>
    <w:rsid w:val="006474EC"/>
    <w:rsid w:val="00647BE5"/>
    <w:rsid w:val="006504D9"/>
    <w:rsid w:val="00650AD1"/>
    <w:rsid w:val="00651104"/>
    <w:rsid w:val="00651A7F"/>
    <w:rsid w:val="006528F8"/>
    <w:rsid w:val="006530E7"/>
    <w:rsid w:val="00653713"/>
    <w:rsid w:val="0065390C"/>
    <w:rsid w:val="00653CD8"/>
    <w:rsid w:val="006542AF"/>
    <w:rsid w:val="006542BE"/>
    <w:rsid w:val="00654520"/>
    <w:rsid w:val="00654B7B"/>
    <w:rsid w:val="00655B5F"/>
    <w:rsid w:val="00655DE1"/>
    <w:rsid w:val="00655E4B"/>
    <w:rsid w:val="006568A4"/>
    <w:rsid w:val="00656FD9"/>
    <w:rsid w:val="0065702E"/>
    <w:rsid w:val="00657124"/>
    <w:rsid w:val="00657A71"/>
    <w:rsid w:val="00657D56"/>
    <w:rsid w:val="00660077"/>
    <w:rsid w:val="00660FCE"/>
    <w:rsid w:val="0066198E"/>
    <w:rsid w:val="00661BDC"/>
    <w:rsid w:val="00661CD4"/>
    <w:rsid w:val="00662715"/>
    <w:rsid w:val="00662AF7"/>
    <w:rsid w:val="00662CD1"/>
    <w:rsid w:val="00662D25"/>
    <w:rsid w:val="006635F1"/>
    <w:rsid w:val="0066369A"/>
    <w:rsid w:val="006636DF"/>
    <w:rsid w:val="0066408D"/>
    <w:rsid w:val="0066451C"/>
    <w:rsid w:val="00664D87"/>
    <w:rsid w:val="00666031"/>
    <w:rsid w:val="00666B21"/>
    <w:rsid w:val="00667069"/>
    <w:rsid w:val="00667275"/>
    <w:rsid w:val="0066764B"/>
    <w:rsid w:val="00667704"/>
    <w:rsid w:val="006679E2"/>
    <w:rsid w:val="00667B73"/>
    <w:rsid w:val="00667BA1"/>
    <w:rsid w:val="006703FA"/>
    <w:rsid w:val="00671021"/>
    <w:rsid w:val="00671734"/>
    <w:rsid w:val="006720F0"/>
    <w:rsid w:val="00672A65"/>
    <w:rsid w:val="0067329F"/>
    <w:rsid w:val="0067394F"/>
    <w:rsid w:val="006742F1"/>
    <w:rsid w:val="0067467E"/>
    <w:rsid w:val="006749DF"/>
    <w:rsid w:val="00675239"/>
    <w:rsid w:val="00675867"/>
    <w:rsid w:val="006758EA"/>
    <w:rsid w:val="00676DC2"/>
    <w:rsid w:val="0067728D"/>
    <w:rsid w:val="0067764C"/>
    <w:rsid w:val="006800DE"/>
    <w:rsid w:val="006810DF"/>
    <w:rsid w:val="006817D9"/>
    <w:rsid w:val="006819EC"/>
    <w:rsid w:val="006820EA"/>
    <w:rsid w:val="00682250"/>
    <w:rsid w:val="00682E1E"/>
    <w:rsid w:val="0068304B"/>
    <w:rsid w:val="0068386E"/>
    <w:rsid w:val="00683B65"/>
    <w:rsid w:val="00683FFD"/>
    <w:rsid w:val="00684591"/>
    <w:rsid w:val="006845F7"/>
    <w:rsid w:val="006856E6"/>
    <w:rsid w:val="00686797"/>
    <w:rsid w:val="0068689C"/>
    <w:rsid w:val="006870C5"/>
    <w:rsid w:val="006872CE"/>
    <w:rsid w:val="0068769C"/>
    <w:rsid w:val="006876B7"/>
    <w:rsid w:val="00687FC4"/>
    <w:rsid w:val="0069096E"/>
    <w:rsid w:val="00690D91"/>
    <w:rsid w:val="006911E8"/>
    <w:rsid w:val="0069147B"/>
    <w:rsid w:val="0069159E"/>
    <w:rsid w:val="00692843"/>
    <w:rsid w:val="006928FB"/>
    <w:rsid w:val="0069301B"/>
    <w:rsid w:val="006933AA"/>
    <w:rsid w:val="006933EE"/>
    <w:rsid w:val="00694090"/>
    <w:rsid w:val="00694778"/>
    <w:rsid w:val="006949A7"/>
    <w:rsid w:val="00694F6D"/>
    <w:rsid w:val="006965AF"/>
    <w:rsid w:val="00696831"/>
    <w:rsid w:val="00696A25"/>
    <w:rsid w:val="00696F4A"/>
    <w:rsid w:val="00696F70"/>
    <w:rsid w:val="006972B4"/>
    <w:rsid w:val="00697516"/>
    <w:rsid w:val="006978B7"/>
    <w:rsid w:val="00697B87"/>
    <w:rsid w:val="006A0B48"/>
    <w:rsid w:val="006A20A8"/>
    <w:rsid w:val="006A260F"/>
    <w:rsid w:val="006A27C0"/>
    <w:rsid w:val="006A2C8E"/>
    <w:rsid w:val="006A307D"/>
    <w:rsid w:val="006A4276"/>
    <w:rsid w:val="006A4393"/>
    <w:rsid w:val="006A4FAF"/>
    <w:rsid w:val="006A5571"/>
    <w:rsid w:val="006A5F96"/>
    <w:rsid w:val="006A64D1"/>
    <w:rsid w:val="006A774B"/>
    <w:rsid w:val="006A7DE1"/>
    <w:rsid w:val="006B0172"/>
    <w:rsid w:val="006B03F3"/>
    <w:rsid w:val="006B0475"/>
    <w:rsid w:val="006B07D8"/>
    <w:rsid w:val="006B0976"/>
    <w:rsid w:val="006B0E4F"/>
    <w:rsid w:val="006B0EED"/>
    <w:rsid w:val="006B1255"/>
    <w:rsid w:val="006B1371"/>
    <w:rsid w:val="006B1563"/>
    <w:rsid w:val="006B18BD"/>
    <w:rsid w:val="006B28B7"/>
    <w:rsid w:val="006B2D69"/>
    <w:rsid w:val="006B38AA"/>
    <w:rsid w:val="006B3AD6"/>
    <w:rsid w:val="006B41A6"/>
    <w:rsid w:val="006B4898"/>
    <w:rsid w:val="006B4B55"/>
    <w:rsid w:val="006B4BCF"/>
    <w:rsid w:val="006B5BDD"/>
    <w:rsid w:val="006B6027"/>
    <w:rsid w:val="006B6724"/>
    <w:rsid w:val="006B6836"/>
    <w:rsid w:val="006B6DDF"/>
    <w:rsid w:val="006B71C8"/>
    <w:rsid w:val="006B7EEA"/>
    <w:rsid w:val="006B7F89"/>
    <w:rsid w:val="006C01CE"/>
    <w:rsid w:val="006C0277"/>
    <w:rsid w:val="006C0324"/>
    <w:rsid w:val="006C041A"/>
    <w:rsid w:val="006C046E"/>
    <w:rsid w:val="006C080E"/>
    <w:rsid w:val="006C0B96"/>
    <w:rsid w:val="006C11A1"/>
    <w:rsid w:val="006C1434"/>
    <w:rsid w:val="006C145D"/>
    <w:rsid w:val="006C193F"/>
    <w:rsid w:val="006C29F1"/>
    <w:rsid w:val="006C2CB1"/>
    <w:rsid w:val="006C3921"/>
    <w:rsid w:val="006C3B1D"/>
    <w:rsid w:val="006C4067"/>
    <w:rsid w:val="006C449E"/>
    <w:rsid w:val="006C467C"/>
    <w:rsid w:val="006C4BCA"/>
    <w:rsid w:val="006C4CBD"/>
    <w:rsid w:val="006C5494"/>
    <w:rsid w:val="006C56DD"/>
    <w:rsid w:val="006C5869"/>
    <w:rsid w:val="006C592F"/>
    <w:rsid w:val="006C5CC1"/>
    <w:rsid w:val="006C5D48"/>
    <w:rsid w:val="006C63D8"/>
    <w:rsid w:val="006C7198"/>
    <w:rsid w:val="006C7462"/>
    <w:rsid w:val="006C78D3"/>
    <w:rsid w:val="006C7D46"/>
    <w:rsid w:val="006C7EE5"/>
    <w:rsid w:val="006D0401"/>
    <w:rsid w:val="006D0C27"/>
    <w:rsid w:val="006D2114"/>
    <w:rsid w:val="006D292A"/>
    <w:rsid w:val="006D29BA"/>
    <w:rsid w:val="006D2A2A"/>
    <w:rsid w:val="006D2B62"/>
    <w:rsid w:val="006D2C49"/>
    <w:rsid w:val="006D2D13"/>
    <w:rsid w:val="006D30FB"/>
    <w:rsid w:val="006D337A"/>
    <w:rsid w:val="006D3EDB"/>
    <w:rsid w:val="006D425B"/>
    <w:rsid w:val="006D4BA5"/>
    <w:rsid w:val="006D5342"/>
    <w:rsid w:val="006D54AF"/>
    <w:rsid w:val="006D6622"/>
    <w:rsid w:val="006D6D82"/>
    <w:rsid w:val="006D7148"/>
    <w:rsid w:val="006D7F93"/>
    <w:rsid w:val="006E04F7"/>
    <w:rsid w:val="006E0AAD"/>
    <w:rsid w:val="006E0BF1"/>
    <w:rsid w:val="006E0C45"/>
    <w:rsid w:val="006E0D97"/>
    <w:rsid w:val="006E11DE"/>
    <w:rsid w:val="006E16F1"/>
    <w:rsid w:val="006E1CA6"/>
    <w:rsid w:val="006E1D41"/>
    <w:rsid w:val="006E2228"/>
    <w:rsid w:val="006E26D1"/>
    <w:rsid w:val="006E28C9"/>
    <w:rsid w:val="006E3293"/>
    <w:rsid w:val="006E33D2"/>
    <w:rsid w:val="006E410A"/>
    <w:rsid w:val="006E6022"/>
    <w:rsid w:val="006E60A3"/>
    <w:rsid w:val="006E6423"/>
    <w:rsid w:val="006E660D"/>
    <w:rsid w:val="006E6D3F"/>
    <w:rsid w:val="006F1B7B"/>
    <w:rsid w:val="006F1C20"/>
    <w:rsid w:val="006F1C9C"/>
    <w:rsid w:val="006F279B"/>
    <w:rsid w:val="006F2E8D"/>
    <w:rsid w:val="006F2FB4"/>
    <w:rsid w:val="006F30DB"/>
    <w:rsid w:val="006F330A"/>
    <w:rsid w:val="006F354A"/>
    <w:rsid w:val="006F3755"/>
    <w:rsid w:val="006F3A1C"/>
    <w:rsid w:val="006F3AD5"/>
    <w:rsid w:val="006F3C6D"/>
    <w:rsid w:val="006F4ED1"/>
    <w:rsid w:val="006F53C0"/>
    <w:rsid w:val="006F55C0"/>
    <w:rsid w:val="006F5E90"/>
    <w:rsid w:val="006F646B"/>
    <w:rsid w:val="006F754B"/>
    <w:rsid w:val="006F783B"/>
    <w:rsid w:val="006F7B02"/>
    <w:rsid w:val="0070024E"/>
    <w:rsid w:val="007004AC"/>
    <w:rsid w:val="007009B6"/>
    <w:rsid w:val="0070139F"/>
    <w:rsid w:val="00701AFE"/>
    <w:rsid w:val="00702731"/>
    <w:rsid w:val="00702A3B"/>
    <w:rsid w:val="00702AB3"/>
    <w:rsid w:val="00702AB7"/>
    <w:rsid w:val="007035DC"/>
    <w:rsid w:val="0070387F"/>
    <w:rsid w:val="00703F25"/>
    <w:rsid w:val="007044D3"/>
    <w:rsid w:val="00705B67"/>
    <w:rsid w:val="00705D69"/>
    <w:rsid w:val="00706664"/>
    <w:rsid w:val="0070724D"/>
    <w:rsid w:val="00707ADB"/>
    <w:rsid w:val="007100BC"/>
    <w:rsid w:val="00710566"/>
    <w:rsid w:val="00710773"/>
    <w:rsid w:val="00710C9D"/>
    <w:rsid w:val="00711114"/>
    <w:rsid w:val="007111B8"/>
    <w:rsid w:val="007114A6"/>
    <w:rsid w:val="00711E04"/>
    <w:rsid w:val="00712CCD"/>
    <w:rsid w:val="007130D2"/>
    <w:rsid w:val="00713BD7"/>
    <w:rsid w:val="00713D16"/>
    <w:rsid w:val="00714105"/>
    <w:rsid w:val="0071433A"/>
    <w:rsid w:val="007150C2"/>
    <w:rsid w:val="007157D0"/>
    <w:rsid w:val="0071587A"/>
    <w:rsid w:val="00716494"/>
    <w:rsid w:val="00716958"/>
    <w:rsid w:val="00716D92"/>
    <w:rsid w:val="00717F73"/>
    <w:rsid w:val="0072071B"/>
    <w:rsid w:val="00720975"/>
    <w:rsid w:val="00720A27"/>
    <w:rsid w:val="00720A49"/>
    <w:rsid w:val="00721192"/>
    <w:rsid w:val="007211D4"/>
    <w:rsid w:val="007219A3"/>
    <w:rsid w:val="00722071"/>
    <w:rsid w:val="00722336"/>
    <w:rsid w:val="0072257E"/>
    <w:rsid w:val="00722A3A"/>
    <w:rsid w:val="00722C27"/>
    <w:rsid w:val="007232FE"/>
    <w:rsid w:val="007238C1"/>
    <w:rsid w:val="0072472B"/>
    <w:rsid w:val="00724EF5"/>
    <w:rsid w:val="00725328"/>
    <w:rsid w:val="007257CC"/>
    <w:rsid w:val="00725842"/>
    <w:rsid w:val="007267EC"/>
    <w:rsid w:val="00726F75"/>
    <w:rsid w:val="0072703C"/>
    <w:rsid w:val="007272EF"/>
    <w:rsid w:val="007276E6"/>
    <w:rsid w:val="007303D9"/>
    <w:rsid w:val="00730C29"/>
    <w:rsid w:val="00730F34"/>
    <w:rsid w:val="00732236"/>
    <w:rsid w:val="00732394"/>
    <w:rsid w:val="00732AE4"/>
    <w:rsid w:val="00732F3C"/>
    <w:rsid w:val="0073321A"/>
    <w:rsid w:val="007332CA"/>
    <w:rsid w:val="007341A4"/>
    <w:rsid w:val="007345F9"/>
    <w:rsid w:val="0073473B"/>
    <w:rsid w:val="00734ACE"/>
    <w:rsid w:val="007351D8"/>
    <w:rsid w:val="00735483"/>
    <w:rsid w:val="00735853"/>
    <w:rsid w:val="00736507"/>
    <w:rsid w:val="00736BC9"/>
    <w:rsid w:val="00737FEF"/>
    <w:rsid w:val="00740169"/>
    <w:rsid w:val="007402FF"/>
    <w:rsid w:val="007403DA"/>
    <w:rsid w:val="0074050B"/>
    <w:rsid w:val="007409AF"/>
    <w:rsid w:val="007415F1"/>
    <w:rsid w:val="00741B0D"/>
    <w:rsid w:val="00741B28"/>
    <w:rsid w:val="00742115"/>
    <w:rsid w:val="00742D93"/>
    <w:rsid w:val="00742FAF"/>
    <w:rsid w:val="00743182"/>
    <w:rsid w:val="00743A9C"/>
    <w:rsid w:val="00743D7A"/>
    <w:rsid w:val="00744269"/>
    <w:rsid w:val="00744F98"/>
    <w:rsid w:val="00745AF6"/>
    <w:rsid w:val="00745EFA"/>
    <w:rsid w:val="00746401"/>
    <w:rsid w:val="0074692D"/>
    <w:rsid w:val="007474BA"/>
    <w:rsid w:val="0074792A"/>
    <w:rsid w:val="0074799E"/>
    <w:rsid w:val="00750076"/>
    <w:rsid w:val="00750BE0"/>
    <w:rsid w:val="00751CCD"/>
    <w:rsid w:val="00751F83"/>
    <w:rsid w:val="007520D4"/>
    <w:rsid w:val="00752554"/>
    <w:rsid w:val="007525B3"/>
    <w:rsid w:val="0075290F"/>
    <w:rsid w:val="0075328F"/>
    <w:rsid w:val="00753338"/>
    <w:rsid w:val="00753449"/>
    <w:rsid w:val="00753F23"/>
    <w:rsid w:val="007544C9"/>
    <w:rsid w:val="00754D20"/>
    <w:rsid w:val="0075512F"/>
    <w:rsid w:val="00755CDE"/>
    <w:rsid w:val="007560A0"/>
    <w:rsid w:val="00756253"/>
    <w:rsid w:val="00756C82"/>
    <w:rsid w:val="00756F3B"/>
    <w:rsid w:val="00756FDD"/>
    <w:rsid w:val="00757103"/>
    <w:rsid w:val="00760B87"/>
    <w:rsid w:val="00760D65"/>
    <w:rsid w:val="00761040"/>
    <w:rsid w:val="007616A7"/>
    <w:rsid w:val="00761AD5"/>
    <w:rsid w:val="00761CCA"/>
    <w:rsid w:val="00761CF1"/>
    <w:rsid w:val="0076235A"/>
    <w:rsid w:val="007627AF"/>
    <w:rsid w:val="00762842"/>
    <w:rsid w:val="00762E01"/>
    <w:rsid w:val="00763185"/>
    <w:rsid w:val="00763604"/>
    <w:rsid w:val="00763DCB"/>
    <w:rsid w:val="00763E1E"/>
    <w:rsid w:val="00764B15"/>
    <w:rsid w:val="00764F49"/>
    <w:rsid w:val="00765B4D"/>
    <w:rsid w:val="00765F8F"/>
    <w:rsid w:val="007660A2"/>
    <w:rsid w:val="0076783A"/>
    <w:rsid w:val="00767BF9"/>
    <w:rsid w:val="00767E8D"/>
    <w:rsid w:val="00767EC8"/>
    <w:rsid w:val="00770B8F"/>
    <w:rsid w:val="00770C3B"/>
    <w:rsid w:val="00770E74"/>
    <w:rsid w:val="0077143E"/>
    <w:rsid w:val="007714CD"/>
    <w:rsid w:val="00771A62"/>
    <w:rsid w:val="00771B64"/>
    <w:rsid w:val="007721AB"/>
    <w:rsid w:val="00772335"/>
    <w:rsid w:val="00772A94"/>
    <w:rsid w:val="00772CF4"/>
    <w:rsid w:val="00772E0A"/>
    <w:rsid w:val="0077335E"/>
    <w:rsid w:val="007733FB"/>
    <w:rsid w:val="00773AB6"/>
    <w:rsid w:val="007740E1"/>
    <w:rsid w:val="00775492"/>
    <w:rsid w:val="00775B1A"/>
    <w:rsid w:val="00776695"/>
    <w:rsid w:val="00776741"/>
    <w:rsid w:val="007773CD"/>
    <w:rsid w:val="00777755"/>
    <w:rsid w:val="00777B3E"/>
    <w:rsid w:val="00780CB9"/>
    <w:rsid w:val="007810CA"/>
    <w:rsid w:val="007814DD"/>
    <w:rsid w:val="00782310"/>
    <w:rsid w:val="007828DB"/>
    <w:rsid w:val="00782942"/>
    <w:rsid w:val="00784E5E"/>
    <w:rsid w:val="007851BF"/>
    <w:rsid w:val="007853A8"/>
    <w:rsid w:val="00785A97"/>
    <w:rsid w:val="00786711"/>
    <w:rsid w:val="0078684A"/>
    <w:rsid w:val="0078765F"/>
    <w:rsid w:val="00787716"/>
    <w:rsid w:val="00787A4B"/>
    <w:rsid w:val="00787E59"/>
    <w:rsid w:val="007900F0"/>
    <w:rsid w:val="0079012B"/>
    <w:rsid w:val="00790241"/>
    <w:rsid w:val="00790CA3"/>
    <w:rsid w:val="00790D37"/>
    <w:rsid w:val="00790DB0"/>
    <w:rsid w:val="00791390"/>
    <w:rsid w:val="00791996"/>
    <w:rsid w:val="00792123"/>
    <w:rsid w:val="00792185"/>
    <w:rsid w:val="00792361"/>
    <w:rsid w:val="00792655"/>
    <w:rsid w:val="0079343F"/>
    <w:rsid w:val="00793868"/>
    <w:rsid w:val="00793979"/>
    <w:rsid w:val="007941C7"/>
    <w:rsid w:val="0079426F"/>
    <w:rsid w:val="007947B6"/>
    <w:rsid w:val="00794827"/>
    <w:rsid w:val="007954CD"/>
    <w:rsid w:val="00795964"/>
    <w:rsid w:val="00795D07"/>
    <w:rsid w:val="007961D2"/>
    <w:rsid w:val="00796648"/>
    <w:rsid w:val="00796B98"/>
    <w:rsid w:val="0079708F"/>
    <w:rsid w:val="007970DA"/>
    <w:rsid w:val="007970E5"/>
    <w:rsid w:val="007975F8"/>
    <w:rsid w:val="00797C32"/>
    <w:rsid w:val="00797F01"/>
    <w:rsid w:val="007A014B"/>
    <w:rsid w:val="007A0994"/>
    <w:rsid w:val="007A0E8A"/>
    <w:rsid w:val="007A1653"/>
    <w:rsid w:val="007A1874"/>
    <w:rsid w:val="007A2C62"/>
    <w:rsid w:val="007A2C8B"/>
    <w:rsid w:val="007A2E5B"/>
    <w:rsid w:val="007A30FB"/>
    <w:rsid w:val="007A341C"/>
    <w:rsid w:val="007A38EE"/>
    <w:rsid w:val="007A3CE6"/>
    <w:rsid w:val="007A4B2F"/>
    <w:rsid w:val="007A4B82"/>
    <w:rsid w:val="007A4C0C"/>
    <w:rsid w:val="007A5820"/>
    <w:rsid w:val="007A5875"/>
    <w:rsid w:val="007A58E2"/>
    <w:rsid w:val="007A708C"/>
    <w:rsid w:val="007A7262"/>
    <w:rsid w:val="007A75A3"/>
    <w:rsid w:val="007A79D6"/>
    <w:rsid w:val="007A7D17"/>
    <w:rsid w:val="007B073A"/>
    <w:rsid w:val="007B112C"/>
    <w:rsid w:val="007B199B"/>
    <w:rsid w:val="007B2AE4"/>
    <w:rsid w:val="007B4F42"/>
    <w:rsid w:val="007B5023"/>
    <w:rsid w:val="007B574A"/>
    <w:rsid w:val="007B6036"/>
    <w:rsid w:val="007B65D9"/>
    <w:rsid w:val="007B6ADD"/>
    <w:rsid w:val="007B6B52"/>
    <w:rsid w:val="007B7227"/>
    <w:rsid w:val="007B74D5"/>
    <w:rsid w:val="007B75B6"/>
    <w:rsid w:val="007B76F3"/>
    <w:rsid w:val="007B78B6"/>
    <w:rsid w:val="007B7CE2"/>
    <w:rsid w:val="007C01A1"/>
    <w:rsid w:val="007C02DE"/>
    <w:rsid w:val="007C11D9"/>
    <w:rsid w:val="007C171A"/>
    <w:rsid w:val="007C1F36"/>
    <w:rsid w:val="007C2BC1"/>
    <w:rsid w:val="007C2E58"/>
    <w:rsid w:val="007C3277"/>
    <w:rsid w:val="007C3612"/>
    <w:rsid w:val="007C3A61"/>
    <w:rsid w:val="007C4493"/>
    <w:rsid w:val="007C463A"/>
    <w:rsid w:val="007C51D4"/>
    <w:rsid w:val="007C53E0"/>
    <w:rsid w:val="007C5F1F"/>
    <w:rsid w:val="007C60FE"/>
    <w:rsid w:val="007C730C"/>
    <w:rsid w:val="007C755C"/>
    <w:rsid w:val="007C7A81"/>
    <w:rsid w:val="007C7BB0"/>
    <w:rsid w:val="007D057D"/>
    <w:rsid w:val="007D09AE"/>
    <w:rsid w:val="007D0B71"/>
    <w:rsid w:val="007D1403"/>
    <w:rsid w:val="007D17E3"/>
    <w:rsid w:val="007D2712"/>
    <w:rsid w:val="007D28F9"/>
    <w:rsid w:val="007D2B19"/>
    <w:rsid w:val="007D3150"/>
    <w:rsid w:val="007D3515"/>
    <w:rsid w:val="007D3C09"/>
    <w:rsid w:val="007D42BB"/>
    <w:rsid w:val="007D45D4"/>
    <w:rsid w:val="007D58D3"/>
    <w:rsid w:val="007D58D4"/>
    <w:rsid w:val="007D6159"/>
    <w:rsid w:val="007D63A4"/>
    <w:rsid w:val="007D6A68"/>
    <w:rsid w:val="007D6C87"/>
    <w:rsid w:val="007D7063"/>
    <w:rsid w:val="007D7892"/>
    <w:rsid w:val="007E00BA"/>
    <w:rsid w:val="007E00F7"/>
    <w:rsid w:val="007E13B0"/>
    <w:rsid w:val="007E16A2"/>
    <w:rsid w:val="007E174D"/>
    <w:rsid w:val="007E1F55"/>
    <w:rsid w:val="007E2097"/>
    <w:rsid w:val="007E2517"/>
    <w:rsid w:val="007E263D"/>
    <w:rsid w:val="007E2C0E"/>
    <w:rsid w:val="007E2FAB"/>
    <w:rsid w:val="007E33D0"/>
    <w:rsid w:val="007E351E"/>
    <w:rsid w:val="007E3A09"/>
    <w:rsid w:val="007E422B"/>
    <w:rsid w:val="007E487B"/>
    <w:rsid w:val="007E5275"/>
    <w:rsid w:val="007E54B6"/>
    <w:rsid w:val="007E6444"/>
    <w:rsid w:val="007E64D8"/>
    <w:rsid w:val="007E6AB5"/>
    <w:rsid w:val="007E77A0"/>
    <w:rsid w:val="007E7C24"/>
    <w:rsid w:val="007F07C1"/>
    <w:rsid w:val="007F1032"/>
    <w:rsid w:val="007F12E3"/>
    <w:rsid w:val="007F1C96"/>
    <w:rsid w:val="007F228A"/>
    <w:rsid w:val="007F275D"/>
    <w:rsid w:val="007F3270"/>
    <w:rsid w:val="007F3519"/>
    <w:rsid w:val="007F39B8"/>
    <w:rsid w:val="007F4787"/>
    <w:rsid w:val="007F4A2E"/>
    <w:rsid w:val="007F5F6B"/>
    <w:rsid w:val="007F6329"/>
    <w:rsid w:val="007F6A23"/>
    <w:rsid w:val="007F6A7D"/>
    <w:rsid w:val="007F719C"/>
    <w:rsid w:val="0080053C"/>
    <w:rsid w:val="00801351"/>
    <w:rsid w:val="008016A8"/>
    <w:rsid w:val="00802B20"/>
    <w:rsid w:val="00802E52"/>
    <w:rsid w:val="00803117"/>
    <w:rsid w:val="008033C9"/>
    <w:rsid w:val="008049CB"/>
    <w:rsid w:val="008049D5"/>
    <w:rsid w:val="00804C30"/>
    <w:rsid w:val="0080505D"/>
    <w:rsid w:val="0080576C"/>
    <w:rsid w:val="008057ED"/>
    <w:rsid w:val="00805870"/>
    <w:rsid w:val="008073BA"/>
    <w:rsid w:val="00807873"/>
    <w:rsid w:val="00807903"/>
    <w:rsid w:val="0081086F"/>
    <w:rsid w:val="00811033"/>
    <w:rsid w:val="008111B1"/>
    <w:rsid w:val="00811EAE"/>
    <w:rsid w:val="00812CF9"/>
    <w:rsid w:val="00812F30"/>
    <w:rsid w:val="00813770"/>
    <w:rsid w:val="008142E0"/>
    <w:rsid w:val="008149D4"/>
    <w:rsid w:val="00814FA1"/>
    <w:rsid w:val="0081598F"/>
    <w:rsid w:val="0081600C"/>
    <w:rsid w:val="0081627B"/>
    <w:rsid w:val="00816634"/>
    <w:rsid w:val="00816A4E"/>
    <w:rsid w:val="00816D5E"/>
    <w:rsid w:val="00816FDE"/>
    <w:rsid w:val="00817410"/>
    <w:rsid w:val="008175CC"/>
    <w:rsid w:val="008201F2"/>
    <w:rsid w:val="00820371"/>
    <w:rsid w:val="0082172C"/>
    <w:rsid w:val="00821F1B"/>
    <w:rsid w:val="0082219B"/>
    <w:rsid w:val="0082263D"/>
    <w:rsid w:val="00822FA2"/>
    <w:rsid w:val="00823100"/>
    <w:rsid w:val="008238D2"/>
    <w:rsid w:val="008239B5"/>
    <w:rsid w:val="00824340"/>
    <w:rsid w:val="008243E5"/>
    <w:rsid w:val="00824428"/>
    <w:rsid w:val="00824482"/>
    <w:rsid w:val="0082493A"/>
    <w:rsid w:val="00824FF2"/>
    <w:rsid w:val="00825849"/>
    <w:rsid w:val="00825FFA"/>
    <w:rsid w:val="008268E2"/>
    <w:rsid w:val="00827D5E"/>
    <w:rsid w:val="00830949"/>
    <w:rsid w:val="00830E59"/>
    <w:rsid w:val="00831386"/>
    <w:rsid w:val="00832546"/>
    <w:rsid w:val="00832C2B"/>
    <w:rsid w:val="00833B3A"/>
    <w:rsid w:val="00833B7F"/>
    <w:rsid w:val="00833C2C"/>
    <w:rsid w:val="00833FE7"/>
    <w:rsid w:val="008341C4"/>
    <w:rsid w:val="00834579"/>
    <w:rsid w:val="00834714"/>
    <w:rsid w:val="00835373"/>
    <w:rsid w:val="0083573D"/>
    <w:rsid w:val="00836097"/>
    <w:rsid w:val="00836195"/>
    <w:rsid w:val="00836FD7"/>
    <w:rsid w:val="0083722C"/>
    <w:rsid w:val="008374B7"/>
    <w:rsid w:val="008374EB"/>
    <w:rsid w:val="00837802"/>
    <w:rsid w:val="00837A75"/>
    <w:rsid w:val="00837CA8"/>
    <w:rsid w:val="0084015A"/>
    <w:rsid w:val="00840A4B"/>
    <w:rsid w:val="008418D2"/>
    <w:rsid w:val="00841E2F"/>
    <w:rsid w:val="0084234F"/>
    <w:rsid w:val="0084266D"/>
    <w:rsid w:val="008428DD"/>
    <w:rsid w:val="00843529"/>
    <w:rsid w:val="00843DEA"/>
    <w:rsid w:val="00844536"/>
    <w:rsid w:val="00844682"/>
    <w:rsid w:val="00845EC4"/>
    <w:rsid w:val="0084601E"/>
    <w:rsid w:val="0084618E"/>
    <w:rsid w:val="008466E0"/>
    <w:rsid w:val="008470ED"/>
    <w:rsid w:val="00847157"/>
    <w:rsid w:val="00847919"/>
    <w:rsid w:val="00850140"/>
    <w:rsid w:val="00850DEC"/>
    <w:rsid w:val="00851B01"/>
    <w:rsid w:val="00852180"/>
    <w:rsid w:val="008525ED"/>
    <w:rsid w:val="00852824"/>
    <w:rsid w:val="008537E4"/>
    <w:rsid w:val="00853BF0"/>
    <w:rsid w:val="00853CED"/>
    <w:rsid w:val="00853D62"/>
    <w:rsid w:val="0085449D"/>
    <w:rsid w:val="008546E3"/>
    <w:rsid w:val="008548D7"/>
    <w:rsid w:val="00856499"/>
    <w:rsid w:val="008577EA"/>
    <w:rsid w:val="00860423"/>
    <w:rsid w:val="008608AF"/>
    <w:rsid w:val="00861A5B"/>
    <w:rsid w:val="00861F0E"/>
    <w:rsid w:val="00862012"/>
    <w:rsid w:val="00862098"/>
    <w:rsid w:val="008624C9"/>
    <w:rsid w:val="00862A9E"/>
    <w:rsid w:val="00863DB9"/>
    <w:rsid w:val="0086488D"/>
    <w:rsid w:val="00864970"/>
    <w:rsid w:val="00864F08"/>
    <w:rsid w:val="00865967"/>
    <w:rsid w:val="00865BC1"/>
    <w:rsid w:val="00865FCF"/>
    <w:rsid w:val="00865FD4"/>
    <w:rsid w:val="008663D3"/>
    <w:rsid w:val="00866920"/>
    <w:rsid w:val="00866953"/>
    <w:rsid w:val="00866A32"/>
    <w:rsid w:val="0086700E"/>
    <w:rsid w:val="00867754"/>
    <w:rsid w:val="008677A0"/>
    <w:rsid w:val="008677E9"/>
    <w:rsid w:val="00867CFE"/>
    <w:rsid w:val="00870123"/>
    <w:rsid w:val="0087075C"/>
    <w:rsid w:val="008709F1"/>
    <w:rsid w:val="00870BFD"/>
    <w:rsid w:val="00870D0A"/>
    <w:rsid w:val="00871008"/>
    <w:rsid w:val="00871031"/>
    <w:rsid w:val="0087134E"/>
    <w:rsid w:val="00871BE5"/>
    <w:rsid w:val="00871D8E"/>
    <w:rsid w:val="008724C3"/>
    <w:rsid w:val="00872CE8"/>
    <w:rsid w:val="00872ED3"/>
    <w:rsid w:val="00873735"/>
    <w:rsid w:val="00874D7A"/>
    <w:rsid w:val="00874FBE"/>
    <w:rsid w:val="008754F3"/>
    <w:rsid w:val="00876D07"/>
    <w:rsid w:val="008775C6"/>
    <w:rsid w:val="00877C1F"/>
    <w:rsid w:val="008803FD"/>
    <w:rsid w:val="008807A7"/>
    <w:rsid w:val="008818CD"/>
    <w:rsid w:val="00881C8F"/>
    <w:rsid w:val="0088263C"/>
    <w:rsid w:val="00883149"/>
    <w:rsid w:val="00883364"/>
    <w:rsid w:val="0088365F"/>
    <w:rsid w:val="0088367B"/>
    <w:rsid w:val="00884500"/>
    <w:rsid w:val="008854AD"/>
    <w:rsid w:val="00885BA3"/>
    <w:rsid w:val="00885C25"/>
    <w:rsid w:val="00885CC0"/>
    <w:rsid w:val="00886500"/>
    <w:rsid w:val="00886985"/>
    <w:rsid w:val="008869AA"/>
    <w:rsid w:val="00886B1B"/>
    <w:rsid w:val="0088701A"/>
    <w:rsid w:val="008873C8"/>
    <w:rsid w:val="00887C73"/>
    <w:rsid w:val="00890BBD"/>
    <w:rsid w:val="00890E65"/>
    <w:rsid w:val="008910BB"/>
    <w:rsid w:val="00891159"/>
    <w:rsid w:val="00891444"/>
    <w:rsid w:val="0089190B"/>
    <w:rsid w:val="00892EB0"/>
    <w:rsid w:val="008931EE"/>
    <w:rsid w:val="00893759"/>
    <w:rsid w:val="008941FD"/>
    <w:rsid w:val="00894482"/>
    <w:rsid w:val="00894A88"/>
    <w:rsid w:val="008950BD"/>
    <w:rsid w:val="00896033"/>
    <w:rsid w:val="008963EB"/>
    <w:rsid w:val="00896613"/>
    <w:rsid w:val="008967DC"/>
    <w:rsid w:val="00896868"/>
    <w:rsid w:val="00896CB5"/>
    <w:rsid w:val="00896E39"/>
    <w:rsid w:val="00896E96"/>
    <w:rsid w:val="008972DB"/>
    <w:rsid w:val="00897D74"/>
    <w:rsid w:val="00897DAA"/>
    <w:rsid w:val="008A06F9"/>
    <w:rsid w:val="008A0ADF"/>
    <w:rsid w:val="008A0FC1"/>
    <w:rsid w:val="008A184F"/>
    <w:rsid w:val="008A1BA2"/>
    <w:rsid w:val="008A1DE0"/>
    <w:rsid w:val="008A1FF6"/>
    <w:rsid w:val="008A2252"/>
    <w:rsid w:val="008A3466"/>
    <w:rsid w:val="008A347B"/>
    <w:rsid w:val="008A3F16"/>
    <w:rsid w:val="008A40C4"/>
    <w:rsid w:val="008A4668"/>
    <w:rsid w:val="008A4F09"/>
    <w:rsid w:val="008A5507"/>
    <w:rsid w:val="008A59DD"/>
    <w:rsid w:val="008A5BE5"/>
    <w:rsid w:val="008A5D65"/>
    <w:rsid w:val="008A61DF"/>
    <w:rsid w:val="008A6DFF"/>
    <w:rsid w:val="008A6F5B"/>
    <w:rsid w:val="008A7427"/>
    <w:rsid w:val="008A7CE1"/>
    <w:rsid w:val="008B1986"/>
    <w:rsid w:val="008B1A45"/>
    <w:rsid w:val="008B2426"/>
    <w:rsid w:val="008B25A8"/>
    <w:rsid w:val="008B30FE"/>
    <w:rsid w:val="008B4E82"/>
    <w:rsid w:val="008B68F1"/>
    <w:rsid w:val="008B7629"/>
    <w:rsid w:val="008B797A"/>
    <w:rsid w:val="008B7E64"/>
    <w:rsid w:val="008C075B"/>
    <w:rsid w:val="008C085A"/>
    <w:rsid w:val="008C0BC7"/>
    <w:rsid w:val="008C0E3B"/>
    <w:rsid w:val="008C0F3E"/>
    <w:rsid w:val="008C12D3"/>
    <w:rsid w:val="008C1E61"/>
    <w:rsid w:val="008C2827"/>
    <w:rsid w:val="008C291E"/>
    <w:rsid w:val="008C2CD3"/>
    <w:rsid w:val="008C3098"/>
    <w:rsid w:val="008C31B1"/>
    <w:rsid w:val="008C33E2"/>
    <w:rsid w:val="008C34C1"/>
    <w:rsid w:val="008C37BB"/>
    <w:rsid w:val="008C3A25"/>
    <w:rsid w:val="008C3B44"/>
    <w:rsid w:val="008C4DA6"/>
    <w:rsid w:val="008C51C3"/>
    <w:rsid w:val="008C53D5"/>
    <w:rsid w:val="008C5502"/>
    <w:rsid w:val="008C5B22"/>
    <w:rsid w:val="008C5CDC"/>
    <w:rsid w:val="008C74BE"/>
    <w:rsid w:val="008C76BB"/>
    <w:rsid w:val="008C77C3"/>
    <w:rsid w:val="008C7A5E"/>
    <w:rsid w:val="008D0290"/>
    <w:rsid w:val="008D0765"/>
    <w:rsid w:val="008D0849"/>
    <w:rsid w:val="008D15B5"/>
    <w:rsid w:val="008D19B0"/>
    <w:rsid w:val="008D1F63"/>
    <w:rsid w:val="008D34D2"/>
    <w:rsid w:val="008D37B8"/>
    <w:rsid w:val="008D39B7"/>
    <w:rsid w:val="008D5799"/>
    <w:rsid w:val="008D616B"/>
    <w:rsid w:val="008D6298"/>
    <w:rsid w:val="008D668D"/>
    <w:rsid w:val="008D6BEA"/>
    <w:rsid w:val="008D71A2"/>
    <w:rsid w:val="008D7670"/>
    <w:rsid w:val="008D78B7"/>
    <w:rsid w:val="008D7B5F"/>
    <w:rsid w:val="008E18A2"/>
    <w:rsid w:val="008E1F41"/>
    <w:rsid w:val="008E1F9B"/>
    <w:rsid w:val="008E2243"/>
    <w:rsid w:val="008E236F"/>
    <w:rsid w:val="008E3205"/>
    <w:rsid w:val="008E32A5"/>
    <w:rsid w:val="008E3F40"/>
    <w:rsid w:val="008E4922"/>
    <w:rsid w:val="008E49C1"/>
    <w:rsid w:val="008E4F9D"/>
    <w:rsid w:val="008E5297"/>
    <w:rsid w:val="008E6789"/>
    <w:rsid w:val="008E68CF"/>
    <w:rsid w:val="008E6924"/>
    <w:rsid w:val="008E6ECE"/>
    <w:rsid w:val="008E7AB6"/>
    <w:rsid w:val="008E7B2C"/>
    <w:rsid w:val="008F047C"/>
    <w:rsid w:val="008F0700"/>
    <w:rsid w:val="008F0855"/>
    <w:rsid w:val="008F13AA"/>
    <w:rsid w:val="008F15DE"/>
    <w:rsid w:val="008F197F"/>
    <w:rsid w:val="008F19BE"/>
    <w:rsid w:val="008F1C0B"/>
    <w:rsid w:val="008F1FDE"/>
    <w:rsid w:val="008F2303"/>
    <w:rsid w:val="008F23F2"/>
    <w:rsid w:val="008F39C0"/>
    <w:rsid w:val="008F3B36"/>
    <w:rsid w:val="008F3BE0"/>
    <w:rsid w:val="008F4869"/>
    <w:rsid w:val="008F4BC0"/>
    <w:rsid w:val="008F50FC"/>
    <w:rsid w:val="008F5DCC"/>
    <w:rsid w:val="008F61E2"/>
    <w:rsid w:val="008F6345"/>
    <w:rsid w:val="008F7A1C"/>
    <w:rsid w:val="009009C1"/>
    <w:rsid w:val="00900E00"/>
    <w:rsid w:val="0090186C"/>
    <w:rsid w:val="0090195B"/>
    <w:rsid w:val="0090224A"/>
    <w:rsid w:val="00902722"/>
    <w:rsid w:val="009032B3"/>
    <w:rsid w:val="00903798"/>
    <w:rsid w:val="009037BE"/>
    <w:rsid w:val="00904233"/>
    <w:rsid w:val="009046C3"/>
    <w:rsid w:val="00904B20"/>
    <w:rsid w:val="00904E20"/>
    <w:rsid w:val="00904EE6"/>
    <w:rsid w:val="009060A0"/>
    <w:rsid w:val="00906460"/>
    <w:rsid w:val="009065E7"/>
    <w:rsid w:val="009067DC"/>
    <w:rsid w:val="00906C63"/>
    <w:rsid w:val="00906EC4"/>
    <w:rsid w:val="009074C8"/>
    <w:rsid w:val="00907D68"/>
    <w:rsid w:val="00910498"/>
    <w:rsid w:val="009107C2"/>
    <w:rsid w:val="00910BE7"/>
    <w:rsid w:val="009114FA"/>
    <w:rsid w:val="0091229D"/>
    <w:rsid w:val="00912677"/>
    <w:rsid w:val="00912BC5"/>
    <w:rsid w:val="00912F79"/>
    <w:rsid w:val="00913084"/>
    <w:rsid w:val="0091420F"/>
    <w:rsid w:val="00914478"/>
    <w:rsid w:val="00914A02"/>
    <w:rsid w:val="00914F85"/>
    <w:rsid w:val="009150CD"/>
    <w:rsid w:val="00915235"/>
    <w:rsid w:val="0091560E"/>
    <w:rsid w:val="00915E2C"/>
    <w:rsid w:val="00915FAE"/>
    <w:rsid w:val="00916792"/>
    <w:rsid w:val="00916CDC"/>
    <w:rsid w:val="0091764C"/>
    <w:rsid w:val="009179D8"/>
    <w:rsid w:val="009206BA"/>
    <w:rsid w:val="00920862"/>
    <w:rsid w:val="00920D58"/>
    <w:rsid w:val="00921250"/>
    <w:rsid w:val="00921626"/>
    <w:rsid w:val="00921F84"/>
    <w:rsid w:val="00922363"/>
    <w:rsid w:val="009226F9"/>
    <w:rsid w:val="0092296D"/>
    <w:rsid w:val="00922C3D"/>
    <w:rsid w:val="0092398B"/>
    <w:rsid w:val="00923C76"/>
    <w:rsid w:val="00923D70"/>
    <w:rsid w:val="0092403A"/>
    <w:rsid w:val="00924B82"/>
    <w:rsid w:val="00925E7A"/>
    <w:rsid w:val="009266F3"/>
    <w:rsid w:val="00926E9E"/>
    <w:rsid w:val="00927726"/>
    <w:rsid w:val="009277F7"/>
    <w:rsid w:val="00927F64"/>
    <w:rsid w:val="00930AC9"/>
    <w:rsid w:val="00930DA7"/>
    <w:rsid w:val="00931CA4"/>
    <w:rsid w:val="00931D3F"/>
    <w:rsid w:val="00931F56"/>
    <w:rsid w:val="00932EB6"/>
    <w:rsid w:val="00932F72"/>
    <w:rsid w:val="0093314F"/>
    <w:rsid w:val="009332E1"/>
    <w:rsid w:val="009337D6"/>
    <w:rsid w:val="00934489"/>
    <w:rsid w:val="0093611E"/>
    <w:rsid w:val="009366BF"/>
    <w:rsid w:val="00937A1A"/>
    <w:rsid w:val="00937A77"/>
    <w:rsid w:val="009405AF"/>
    <w:rsid w:val="00940CA7"/>
    <w:rsid w:val="00940DD7"/>
    <w:rsid w:val="00941196"/>
    <w:rsid w:val="0094129C"/>
    <w:rsid w:val="0094161D"/>
    <w:rsid w:val="00941C48"/>
    <w:rsid w:val="00942426"/>
    <w:rsid w:val="009427E5"/>
    <w:rsid w:val="00942A20"/>
    <w:rsid w:val="00943707"/>
    <w:rsid w:val="00943ED7"/>
    <w:rsid w:val="009447CF"/>
    <w:rsid w:val="00944CA8"/>
    <w:rsid w:val="00944DE9"/>
    <w:rsid w:val="0094537C"/>
    <w:rsid w:val="009456D4"/>
    <w:rsid w:val="00945D26"/>
    <w:rsid w:val="00946E6C"/>
    <w:rsid w:val="00947212"/>
    <w:rsid w:val="00947AEE"/>
    <w:rsid w:val="00950551"/>
    <w:rsid w:val="009511AA"/>
    <w:rsid w:val="00951884"/>
    <w:rsid w:val="00953137"/>
    <w:rsid w:val="009541C6"/>
    <w:rsid w:val="009544BE"/>
    <w:rsid w:val="009551C9"/>
    <w:rsid w:val="009551F6"/>
    <w:rsid w:val="00955771"/>
    <w:rsid w:val="009559D4"/>
    <w:rsid w:val="00955F48"/>
    <w:rsid w:val="009566E5"/>
    <w:rsid w:val="00956FB7"/>
    <w:rsid w:val="009571D6"/>
    <w:rsid w:val="009573D0"/>
    <w:rsid w:val="00957E9B"/>
    <w:rsid w:val="0096066E"/>
    <w:rsid w:val="009608E6"/>
    <w:rsid w:val="00960FA3"/>
    <w:rsid w:val="009610E8"/>
    <w:rsid w:val="0096167B"/>
    <w:rsid w:val="00961E59"/>
    <w:rsid w:val="00961FCA"/>
    <w:rsid w:val="009620A6"/>
    <w:rsid w:val="009625AA"/>
    <w:rsid w:val="009627E1"/>
    <w:rsid w:val="009628D1"/>
    <w:rsid w:val="00963BD2"/>
    <w:rsid w:val="009647F1"/>
    <w:rsid w:val="00964946"/>
    <w:rsid w:val="00964C08"/>
    <w:rsid w:val="00964CB2"/>
    <w:rsid w:val="00965ED6"/>
    <w:rsid w:val="00966645"/>
    <w:rsid w:val="009671FF"/>
    <w:rsid w:val="00967B96"/>
    <w:rsid w:val="00970339"/>
    <w:rsid w:val="00970518"/>
    <w:rsid w:val="009705F6"/>
    <w:rsid w:val="00970A2A"/>
    <w:rsid w:val="009718A7"/>
    <w:rsid w:val="009719F1"/>
    <w:rsid w:val="00971A53"/>
    <w:rsid w:val="009722D7"/>
    <w:rsid w:val="009723DD"/>
    <w:rsid w:val="009725E8"/>
    <w:rsid w:val="00972812"/>
    <w:rsid w:val="0097306A"/>
    <w:rsid w:val="00973B34"/>
    <w:rsid w:val="00973C85"/>
    <w:rsid w:val="009759B5"/>
    <w:rsid w:val="00975C8B"/>
    <w:rsid w:val="0097749A"/>
    <w:rsid w:val="009776B7"/>
    <w:rsid w:val="00977E8B"/>
    <w:rsid w:val="009804B7"/>
    <w:rsid w:val="0098083C"/>
    <w:rsid w:val="00980D55"/>
    <w:rsid w:val="00981829"/>
    <w:rsid w:val="009819DA"/>
    <w:rsid w:val="00981E97"/>
    <w:rsid w:val="00982743"/>
    <w:rsid w:val="00982EC7"/>
    <w:rsid w:val="00983314"/>
    <w:rsid w:val="00983A02"/>
    <w:rsid w:val="00983CBD"/>
    <w:rsid w:val="0098593B"/>
    <w:rsid w:val="0099050F"/>
    <w:rsid w:val="00990577"/>
    <w:rsid w:val="0099079F"/>
    <w:rsid w:val="0099103F"/>
    <w:rsid w:val="00991726"/>
    <w:rsid w:val="00991A81"/>
    <w:rsid w:val="00991E57"/>
    <w:rsid w:val="00992586"/>
    <w:rsid w:val="00992596"/>
    <w:rsid w:val="0099271B"/>
    <w:rsid w:val="009928DB"/>
    <w:rsid w:val="00992DA4"/>
    <w:rsid w:val="00992E8D"/>
    <w:rsid w:val="00992FD2"/>
    <w:rsid w:val="009937D7"/>
    <w:rsid w:val="00993955"/>
    <w:rsid w:val="00993DDA"/>
    <w:rsid w:val="00993F96"/>
    <w:rsid w:val="00994D44"/>
    <w:rsid w:val="009952F2"/>
    <w:rsid w:val="00995B50"/>
    <w:rsid w:val="00995C73"/>
    <w:rsid w:val="00995DFD"/>
    <w:rsid w:val="00996231"/>
    <w:rsid w:val="009962A7"/>
    <w:rsid w:val="00996C83"/>
    <w:rsid w:val="0099792D"/>
    <w:rsid w:val="009A008F"/>
    <w:rsid w:val="009A01C4"/>
    <w:rsid w:val="009A094D"/>
    <w:rsid w:val="009A1918"/>
    <w:rsid w:val="009A191E"/>
    <w:rsid w:val="009A200C"/>
    <w:rsid w:val="009A23AA"/>
    <w:rsid w:val="009A2CCA"/>
    <w:rsid w:val="009A2E19"/>
    <w:rsid w:val="009A2E47"/>
    <w:rsid w:val="009A2ED6"/>
    <w:rsid w:val="009A368D"/>
    <w:rsid w:val="009A36CB"/>
    <w:rsid w:val="009A3762"/>
    <w:rsid w:val="009A4265"/>
    <w:rsid w:val="009A4338"/>
    <w:rsid w:val="009A4EC6"/>
    <w:rsid w:val="009A4FDE"/>
    <w:rsid w:val="009A50E8"/>
    <w:rsid w:val="009A5218"/>
    <w:rsid w:val="009A538E"/>
    <w:rsid w:val="009A59FB"/>
    <w:rsid w:val="009A623F"/>
    <w:rsid w:val="009A640A"/>
    <w:rsid w:val="009A6492"/>
    <w:rsid w:val="009A64EB"/>
    <w:rsid w:val="009A65B9"/>
    <w:rsid w:val="009A79E6"/>
    <w:rsid w:val="009A7C7C"/>
    <w:rsid w:val="009B0A5A"/>
    <w:rsid w:val="009B1B04"/>
    <w:rsid w:val="009B2732"/>
    <w:rsid w:val="009B2C20"/>
    <w:rsid w:val="009B3306"/>
    <w:rsid w:val="009B5165"/>
    <w:rsid w:val="009B5629"/>
    <w:rsid w:val="009B6333"/>
    <w:rsid w:val="009B696D"/>
    <w:rsid w:val="009B737A"/>
    <w:rsid w:val="009B748E"/>
    <w:rsid w:val="009B755A"/>
    <w:rsid w:val="009B78F5"/>
    <w:rsid w:val="009C07D5"/>
    <w:rsid w:val="009C0FC5"/>
    <w:rsid w:val="009C14A0"/>
    <w:rsid w:val="009C16F2"/>
    <w:rsid w:val="009C2138"/>
    <w:rsid w:val="009C277E"/>
    <w:rsid w:val="009C36AB"/>
    <w:rsid w:val="009C3B19"/>
    <w:rsid w:val="009C4015"/>
    <w:rsid w:val="009C4106"/>
    <w:rsid w:val="009C4AD0"/>
    <w:rsid w:val="009C51B3"/>
    <w:rsid w:val="009C7398"/>
    <w:rsid w:val="009C782A"/>
    <w:rsid w:val="009C7D5B"/>
    <w:rsid w:val="009D079B"/>
    <w:rsid w:val="009D0DFF"/>
    <w:rsid w:val="009D1C5F"/>
    <w:rsid w:val="009D2199"/>
    <w:rsid w:val="009D2C72"/>
    <w:rsid w:val="009D3234"/>
    <w:rsid w:val="009D3E41"/>
    <w:rsid w:val="009D487B"/>
    <w:rsid w:val="009D4A5E"/>
    <w:rsid w:val="009D4DD5"/>
    <w:rsid w:val="009D508E"/>
    <w:rsid w:val="009D57C7"/>
    <w:rsid w:val="009D582A"/>
    <w:rsid w:val="009D5A89"/>
    <w:rsid w:val="009D5E85"/>
    <w:rsid w:val="009D5E89"/>
    <w:rsid w:val="009D643B"/>
    <w:rsid w:val="009D644C"/>
    <w:rsid w:val="009D6AB4"/>
    <w:rsid w:val="009D6AF2"/>
    <w:rsid w:val="009D7498"/>
    <w:rsid w:val="009D7C8D"/>
    <w:rsid w:val="009D7F0E"/>
    <w:rsid w:val="009E037D"/>
    <w:rsid w:val="009E07A1"/>
    <w:rsid w:val="009E08D1"/>
    <w:rsid w:val="009E0E03"/>
    <w:rsid w:val="009E13BD"/>
    <w:rsid w:val="009E1538"/>
    <w:rsid w:val="009E1851"/>
    <w:rsid w:val="009E1C82"/>
    <w:rsid w:val="009E1F5C"/>
    <w:rsid w:val="009E3920"/>
    <w:rsid w:val="009E3BA9"/>
    <w:rsid w:val="009E3C13"/>
    <w:rsid w:val="009E3D3C"/>
    <w:rsid w:val="009E4544"/>
    <w:rsid w:val="009E479C"/>
    <w:rsid w:val="009E5621"/>
    <w:rsid w:val="009E6279"/>
    <w:rsid w:val="009F01F6"/>
    <w:rsid w:val="009F0548"/>
    <w:rsid w:val="009F0D78"/>
    <w:rsid w:val="009F2127"/>
    <w:rsid w:val="009F2409"/>
    <w:rsid w:val="009F24D3"/>
    <w:rsid w:val="009F2EB8"/>
    <w:rsid w:val="009F34ED"/>
    <w:rsid w:val="009F3BF0"/>
    <w:rsid w:val="009F3D05"/>
    <w:rsid w:val="009F4FEA"/>
    <w:rsid w:val="009F5185"/>
    <w:rsid w:val="009F54B7"/>
    <w:rsid w:val="009F6047"/>
    <w:rsid w:val="009F6FEF"/>
    <w:rsid w:val="009F7637"/>
    <w:rsid w:val="009F767E"/>
    <w:rsid w:val="00A0026E"/>
    <w:rsid w:val="00A00352"/>
    <w:rsid w:val="00A02783"/>
    <w:rsid w:val="00A02CE4"/>
    <w:rsid w:val="00A02D23"/>
    <w:rsid w:val="00A02F67"/>
    <w:rsid w:val="00A02FD5"/>
    <w:rsid w:val="00A038B3"/>
    <w:rsid w:val="00A04105"/>
    <w:rsid w:val="00A04210"/>
    <w:rsid w:val="00A04B06"/>
    <w:rsid w:val="00A04BE6"/>
    <w:rsid w:val="00A04F3A"/>
    <w:rsid w:val="00A06A7F"/>
    <w:rsid w:val="00A06E34"/>
    <w:rsid w:val="00A07112"/>
    <w:rsid w:val="00A077A9"/>
    <w:rsid w:val="00A104F8"/>
    <w:rsid w:val="00A10649"/>
    <w:rsid w:val="00A115E7"/>
    <w:rsid w:val="00A1162C"/>
    <w:rsid w:val="00A12694"/>
    <w:rsid w:val="00A12C70"/>
    <w:rsid w:val="00A12ED7"/>
    <w:rsid w:val="00A134C7"/>
    <w:rsid w:val="00A138C3"/>
    <w:rsid w:val="00A13FCF"/>
    <w:rsid w:val="00A14669"/>
    <w:rsid w:val="00A14C98"/>
    <w:rsid w:val="00A1534D"/>
    <w:rsid w:val="00A17693"/>
    <w:rsid w:val="00A17772"/>
    <w:rsid w:val="00A2186F"/>
    <w:rsid w:val="00A21990"/>
    <w:rsid w:val="00A21A94"/>
    <w:rsid w:val="00A224DC"/>
    <w:rsid w:val="00A22950"/>
    <w:rsid w:val="00A23167"/>
    <w:rsid w:val="00A231CC"/>
    <w:rsid w:val="00A2357F"/>
    <w:rsid w:val="00A255EC"/>
    <w:rsid w:val="00A25C70"/>
    <w:rsid w:val="00A26028"/>
    <w:rsid w:val="00A26097"/>
    <w:rsid w:val="00A2728C"/>
    <w:rsid w:val="00A277CF"/>
    <w:rsid w:val="00A30CDB"/>
    <w:rsid w:val="00A30E85"/>
    <w:rsid w:val="00A32112"/>
    <w:rsid w:val="00A32422"/>
    <w:rsid w:val="00A3273F"/>
    <w:rsid w:val="00A32B8E"/>
    <w:rsid w:val="00A339AB"/>
    <w:rsid w:val="00A33EBB"/>
    <w:rsid w:val="00A34025"/>
    <w:rsid w:val="00A34032"/>
    <w:rsid w:val="00A34AD5"/>
    <w:rsid w:val="00A34F6C"/>
    <w:rsid w:val="00A35211"/>
    <w:rsid w:val="00A3542C"/>
    <w:rsid w:val="00A36A6D"/>
    <w:rsid w:val="00A36F9F"/>
    <w:rsid w:val="00A37979"/>
    <w:rsid w:val="00A407DF"/>
    <w:rsid w:val="00A4121C"/>
    <w:rsid w:val="00A41259"/>
    <w:rsid w:val="00A41A55"/>
    <w:rsid w:val="00A422B1"/>
    <w:rsid w:val="00A424BD"/>
    <w:rsid w:val="00A42822"/>
    <w:rsid w:val="00A429EA"/>
    <w:rsid w:val="00A42CEC"/>
    <w:rsid w:val="00A43ECC"/>
    <w:rsid w:val="00A4417C"/>
    <w:rsid w:val="00A44A87"/>
    <w:rsid w:val="00A45530"/>
    <w:rsid w:val="00A455A7"/>
    <w:rsid w:val="00A4592C"/>
    <w:rsid w:val="00A46B03"/>
    <w:rsid w:val="00A470D3"/>
    <w:rsid w:val="00A47579"/>
    <w:rsid w:val="00A47781"/>
    <w:rsid w:val="00A477CB"/>
    <w:rsid w:val="00A477CC"/>
    <w:rsid w:val="00A47E13"/>
    <w:rsid w:val="00A500CA"/>
    <w:rsid w:val="00A503BD"/>
    <w:rsid w:val="00A50658"/>
    <w:rsid w:val="00A51002"/>
    <w:rsid w:val="00A51669"/>
    <w:rsid w:val="00A516CE"/>
    <w:rsid w:val="00A5173F"/>
    <w:rsid w:val="00A51A9A"/>
    <w:rsid w:val="00A53C02"/>
    <w:rsid w:val="00A54148"/>
    <w:rsid w:val="00A5516B"/>
    <w:rsid w:val="00A5545D"/>
    <w:rsid w:val="00A570E4"/>
    <w:rsid w:val="00A57342"/>
    <w:rsid w:val="00A573B8"/>
    <w:rsid w:val="00A576A6"/>
    <w:rsid w:val="00A601E0"/>
    <w:rsid w:val="00A60DE4"/>
    <w:rsid w:val="00A610C5"/>
    <w:rsid w:val="00A615A1"/>
    <w:rsid w:val="00A6274B"/>
    <w:rsid w:val="00A62C74"/>
    <w:rsid w:val="00A62CAF"/>
    <w:rsid w:val="00A62CEB"/>
    <w:rsid w:val="00A638D7"/>
    <w:rsid w:val="00A6390B"/>
    <w:rsid w:val="00A63D0D"/>
    <w:rsid w:val="00A6498F"/>
    <w:rsid w:val="00A65C52"/>
    <w:rsid w:val="00A65DB0"/>
    <w:rsid w:val="00A65E6B"/>
    <w:rsid w:val="00A65E87"/>
    <w:rsid w:val="00A66244"/>
    <w:rsid w:val="00A6710F"/>
    <w:rsid w:val="00A678B2"/>
    <w:rsid w:val="00A701C5"/>
    <w:rsid w:val="00A71C01"/>
    <w:rsid w:val="00A71E8A"/>
    <w:rsid w:val="00A71EEA"/>
    <w:rsid w:val="00A72B21"/>
    <w:rsid w:val="00A72CF8"/>
    <w:rsid w:val="00A73A7B"/>
    <w:rsid w:val="00A7425A"/>
    <w:rsid w:val="00A747CA"/>
    <w:rsid w:val="00A7515D"/>
    <w:rsid w:val="00A752A7"/>
    <w:rsid w:val="00A75536"/>
    <w:rsid w:val="00A75723"/>
    <w:rsid w:val="00A75FBB"/>
    <w:rsid w:val="00A765BC"/>
    <w:rsid w:val="00A76FF4"/>
    <w:rsid w:val="00A77015"/>
    <w:rsid w:val="00A778D7"/>
    <w:rsid w:val="00A77A7A"/>
    <w:rsid w:val="00A80A7C"/>
    <w:rsid w:val="00A80F92"/>
    <w:rsid w:val="00A81075"/>
    <w:rsid w:val="00A8142B"/>
    <w:rsid w:val="00A81C9D"/>
    <w:rsid w:val="00A81F57"/>
    <w:rsid w:val="00A82308"/>
    <w:rsid w:val="00A83E63"/>
    <w:rsid w:val="00A84084"/>
    <w:rsid w:val="00A8422D"/>
    <w:rsid w:val="00A84344"/>
    <w:rsid w:val="00A854BF"/>
    <w:rsid w:val="00A85694"/>
    <w:rsid w:val="00A85AE8"/>
    <w:rsid w:val="00A85FAE"/>
    <w:rsid w:val="00A86C57"/>
    <w:rsid w:val="00A86CC5"/>
    <w:rsid w:val="00A87FE3"/>
    <w:rsid w:val="00A9001B"/>
    <w:rsid w:val="00A9045D"/>
    <w:rsid w:val="00A9080A"/>
    <w:rsid w:val="00A909F2"/>
    <w:rsid w:val="00A90E7A"/>
    <w:rsid w:val="00A91233"/>
    <w:rsid w:val="00A91CBB"/>
    <w:rsid w:val="00A9290F"/>
    <w:rsid w:val="00A93471"/>
    <w:rsid w:val="00A944FA"/>
    <w:rsid w:val="00A94694"/>
    <w:rsid w:val="00A95A7B"/>
    <w:rsid w:val="00A95E4B"/>
    <w:rsid w:val="00A95E7F"/>
    <w:rsid w:val="00A96486"/>
    <w:rsid w:val="00A96767"/>
    <w:rsid w:val="00A9681E"/>
    <w:rsid w:val="00A97864"/>
    <w:rsid w:val="00AA0FBC"/>
    <w:rsid w:val="00AA0FDF"/>
    <w:rsid w:val="00AA2411"/>
    <w:rsid w:val="00AA2653"/>
    <w:rsid w:val="00AA2D5A"/>
    <w:rsid w:val="00AA2F1B"/>
    <w:rsid w:val="00AA3300"/>
    <w:rsid w:val="00AA36D5"/>
    <w:rsid w:val="00AA47CF"/>
    <w:rsid w:val="00AA4B70"/>
    <w:rsid w:val="00AA4F3B"/>
    <w:rsid w:val="00AA62ED"/>
    <w:rsid w:val="00AA63D2"/>
    <w:rsid w:val="00AA6F19"/>
    <w:rsid w:val="00AA72D6"/>
    <w:rsid w:val="00AA7490"/>
    <w:rsid w:val="00AB0413"/>
    <w:rsid w:val="00AB06D9"/>
    <w:rsid w:val="00AB09DB"/>
    <w:rsid w:val="00AB0B38"/>
    <w:rsid w:val="00AB0D9F"/>
    <w:rsid w:val="00AB16D4"/>
    <w:rsid w:val="00AB19B2"/>
    <w:rsid w:val="00AB29F9"/>
    <w:rsid w:val="00AB2FF9"/>
    <w:rsid w:val="00AB3014"/>
    <w:rsid w:val="00AB3EE3"/>
    <w:rsid w:val="00AB5648"/>
    <w:rsid w:val="00AB58EE"/>
    <w:rsid w:val="00AB6855"/>
    <w:rsid w:val="00AB7B9F"/>
    <w:rsid w:val="00AB7EBB"/>
    <w:rsid w:val="00AC1135"/>
    <w:rsid w:val="00AC18FA"/>
    <w:rsid w:val="00AC2440"/>
    <w:rsid w:val="00AC26ED"/>
    <w:rsid w:val="00AC2759"/>
    <w:rsid w:val="00AC2A64"/>
    <w:rsid w:val="00AC2FB2"/>
    <w:rsid w:val="00AC314D"/>
    <w:rsid w:val="00AC39A3"/>
    <w:rsid w:val="00AC3DB2"/>
    <w:rsid w:val="00AC3E1E"/>
    <w:rsid w:val="00AC52A3"/>
    <w:rsid w:val="00AC5A17"/>
    <w:rsid w:val="00AC6FD6"/>
    <w:rsid w:val="00AC769D"/>
    <w:rsid w:val="00AC791F"/>
    <w:rsid w:val="00AC7A69"/>
    <w:rsid w:val="00AC7BFD"/>
    <w:rsid w:val="00AC7F04"/>
    <w:rsid w:val="00AC7F24"/>
    <w:rsid w:val="00AD027D"/>
    <w:rsid w:val="00AD03B9"/>
    <w:rsid w:val="00AD04D8"/>
    <w:rsid w:val="00AD0512"/>
    <w:rsid w:val="00AD0D8D"/>
    <w:rsid w:val="00AD0EAF"/>
    <w:rsid w:val="00AD0F3B"/>
    <w:rsid w:val="00AD13CB"/>
    <w:rsid w:val="00AD16F9"/>
    <w:rsid w:val="00AD1D2C"/>
    <w:rsid w:val="00AD25F0"/>
    <w:rsid w:val="00AD2C60"/>
    <w:rsid w:val="00AD2CA8"/>
    <w:rsid w:val="00AD3090"/>
    <w:rsid w:val="00AD44C9"/>
    <w:rsid w:val="00AD5178"/>
    <w:rsid w:val="00AD5329"/>
    <w:rsid w:val="00AD5359"/>
    <w:rsid w:val="00AD5770"/>
    <w:rsid w:val="00AD5912"/>
    <w:rsid w:val="00AD6B2F"/>
    <w:rsid w:val="00AD6D99"/>
    <w:rsid w:val="00AD6F66"/>
    <w:rsid w:val="00AD721D"/>
    <w:rsid w:val="00AD78BB"/>
    <w:rsid w:val="00AD7A15"/>
    <w:rsid w:val="00AE0ABF"/>
    <w:rsid w:val="00AE0C69"/>
    <w:rsid w:val="00AE0CE8"/>
    <w:rsid w:val="00AE13A6"/>
    <w:rsid w:val="00AE1594"/>
    <w:rsid w:val="00AE27C7"/>
    <w:rsid w:val="00AE28AA"/>
    <w:rsid w:val="00AE2BB4"/>
    <w:rsid w:val="00AE49AD"/>
    <w:rsid w:val="00AE5403"/>
    <w:rsid w:val="00AE5638"/>
    <w:rsid w:val="00AE5EF4"/>
    <w:rsid w:val="00AE6400"/>
    <w:rsid w:val="00AF06FD"/>
    <w:rsid w:val="00AF0DA0"/>
    <w:rsid w:val="00AF120E"/>
    <w:rsid w:val="00AF1517"/>
    <w:rsid w:val="00AF157A"/>
    <w:rsid w:val="00AF16DA"/>
    <w:rsid w:val="00AF16EE"/>
    <w:rsid w:val="00AF1DB1"/>
    <w:rsid w:val="00AF23B5"/>
    <w:rsid w:val="00AF2468"/>
    <w:rsid w:val="00AF30E1"/>
    <w:rsid w:val="00AF41DA"/>
    <w:rsid w:val="00AF4B40"/>
    <w:rsid w:val="00AF50D5"/>
    <w:rsid w:val="00AF5DD8"/>
    <w:rsid w:val="00AF625A"/>
    <w:rsid w:val="00AF6262"/>
    <w:rsid w:val="00AF6D0C"/>
    <w:rsid w:val="00AF7BD3"/>
    <w:rsid w:val="00AF7CCE"/>
    <w:rsid w:val="00B00071"/>
    <w:rsid w:val="00B00956"/>
    <w:rsid w:val="00B00E80"/>
    <w:rsid w:val="00B015D1"/>
    <w:rsid w:val="00B01607"/>
    <w:rsid w:val="00B016E7"/>
    <w:rsid w:val="00B019F1"/>
    <w:rsid w:val="00B019F6"/>
    <w:rsid w:val="00B01B2C"/>
    <w:rsid w:val="00B0378E"/>
    <w:rsid w:val="00B03C44"/>
    <w:rsid w:val="00B03F8F"/>
    <w:rsid w:val="00B04E6C"/>
    <w:rsid w:val="00B05B4F"/>
    <w:rsid w:val="00B05F21"/>
    <w:rsid w:val="00B061AB"/>
    <w:rsid w:val="00B06587"/>
    <w:rsid w:val="00B0677E"/>
    <w:rsid w:val="00B067F5"/>
    <w:rsid w:val="00B06A20"/>
    <w:rsid w:val="00B06D0B"/>
    <w:rsid w:val="00B07011"/>
    <w:rsid w:val="00B070E4"/>
    <w:rsid w:val="00B07556"/>
    <w:rsid w:val="00B076BD"/>
    <w:rsid w:val="00B111B6"/>
    <w:rsid w:val="00B11708"/>
    <w:rsid w:val="00B11DB6"/>
    <w:rsid w:val="00B1207F"/>
    <w:rsid w:val="00B122FA"/>
    <w:rsid w:val="00B1247D"/>
    <w:rsid w:val="00B12B5A"/>
    <w:rsid w:val="00B1301E"/>
    <w:rsid w:val="00B131B3"/>
    <w:rsid w:val="00B13283"/>
    <w:rsid w:val="00B133A7"/>
    <w:rsid w:val="00B136A8"/>
    <w:rsid w:val="00B13788"/>
    <w:rsid w:val="00B13811"/>
    <w:rsid w:val="00B1399D"/>
    <w:rsid w:val="00B13E9C"/>
    <w:rsid w:val="00B14361"/>
    <w:rsid w:val="00B16ABE"/>
    <w:rsid w:val="00B17D66"/>
    <w:rsid w:val="00B204BB"/>
    <w:rsid w:val="00B20536"/>
    <w:rsid w:val="00B2094B"/>
    <w:rsid w:val="00B2124D"/>
    <w:rsid w:val="00B21F72"/>
    <w:rsid w:val="00B226B8"/>
    <w:rsid w:val="00B22CAF"/>
    <w:rsid w:val="00B22EBE"/>
    <w:rsid w:val="00B23957"/>
    <w:rsid w:val="00B24440"/>
    <w:rsid w:val="00B2548C"/>
    <w:rsid w:val="00B2578A"/>
    <w:rsid w:val="00B25858"/>
    <w:rsid w:val="00B25FEF"/>
    <w:rsid w:val="00B268C1"/>
    <w:rsid w:val="00B269E4"/>
    <w:rsid w:val="00B26BB0"/>
    <w:rsid w:val="00B26C56"/>
    <w:rsid w:val="00B26C6B"/>
    <w:rsid w:val="00B26D04"/>
    <w:rsid w:val="00B2713F"/>
    <w:rsid w:val="00B2748D"/>
    <w:rsid w:val="00B279FA"/>
    <w:rsid w:val="00B311E0"/>
    <w:rsid w:val="00B3132D"/>
    <w:rsid w:val="00B3152E"/>
    <w:rsid w:val="00B31B63"/>
    <w:rsid w:val="00B321C1"/>
    <w:rsid w:val="00B32586"/>
    <w:rsid w:val="00B32E18"/>
    <w:rsid w:val="00B32EA4"/>
    <w:rsid w:val="00B3409B"/>
    <w:rsid w:val="00B34407"/>
    <w:rsid w:val="00B34411"/>
    <w:rsid w:val="00B34A76"/>
    <w:rsid w:val="00B35A2A"/>
    <w:rsid w:val="00B36700"/>
    <w:rsid w:val="00B379CB"/>
    <w:rsid w:val="00B37F31"/>
    <w:rsid w:val="00B4083A"/>
    <w:rsid w:val="00B408EA"/>
    <w:rsid w:val="00B408FC"/>
    <w:rsid w:val="00B42291"/>
    <w:rsid w:val="00B42449"/>
    <w:rsid w:val="00B42B9B"/>
    <w:rsid w:val="00B42D20"/>
    <w:rsid w:val="00B434D1"/>
    <w:rsid w:val="00B435DF"/>
    <w:rsid w:val="00B439CA"/>
    <w:rsid w:val="00B44223"/>
    <w:rsid w:val="00B447A1"/>
    <w:rsid w:val="00B44AFD"/>
    <w:rsid w:val="00B45A20"/>
    <w:rsid w:val="00B45E8D"/>
    <w:rsid w:val="00B461F3"/>
    <w:rsid w:val="00B4671F"/>
    <w:rsid w:val="00B46C8B"/>
    <w:rsid w:val="00B476D3"/>
    <w:rsid w:val="00B4795C"/>
    <w:rsid w:val="00B509CB"/>
    <w:rsid w:val="00B51847"/>
    <w:rsid w:val="00B51A9D"/>
    <w:rsid w:val="00B51C9A"/>
    <w:rsid w:val="00B51E45"/>
    <w:rsid w:val="00B5225E"/>
    <w:rsid w:val="00B52661"/>
    <w:rsid w:val="00B535D9"/>
    <w:rsid w:val="00B53913"/>
    <w:rsid w:val="00B541BF"/>
    <w:rsid w:val="00B544DD"/>
    <w:rsid w:val="00B55928"/>
    <w:rsid w:val="00B568A9"/>
    <w:rsid w:val="00B608B4"/>
    <w:rsid w:val="00B61ECD"/>
    <w:rsid w:val="00B61FA3"/>
    <w:rsid w:val="00B62000"/>
    <w:rsid w:val="00B62695"/>
    <w:rsid w:val="00B6286D"/>
    <w:rsid w:val="00B6325F"/>
    <w:rsid w:val="00B636CC"/>
    <w:rsid w:val="00B63C18"/>
    <w:rsid w:val="00B645D3"/>
    <w:rsid w:val="00B64B29"/>
    <w:rsid w:val="00B64C6D"/>
    <w:rsid w:val="00B6571D"/>
    <w:rsid w:val="00B65B60"/>
    <w:rsid w:val="00B65F9D"/>
    <w:rsid w:val="00B66447"/>
    <w:rsid w:val="00B66DE0"/>
    <w:rsid w:val="00B6756C"/>
    <w:rsid w:val="00B678B1"/>
    <w:rsid w:val="00B67C31"/>
    <w:rsid w:val="00B70A0A"/>
    <w:rsid w:val="00B70A14"/>
    <w:rsid w:val="00B71308"/>
    <w:rsid w:val="00B71892"/>
    <w:rsid w:val="00B73B25"/>
    <w:rsid w:val="00B747F0"/>
    <w:rsid w:val="00B747F4"/>
    <w:rsid w:val="00B74FD2"/>
    <w:rsid w:val="00B750F3"/>
    <w:rsid w:val="00B75A2B"/>
    <w:rsid w:val="00B75BA4"/>
    <w:rsid w:val="00B75D0D"/>
    <w:rsid w:val="00B76085"/>
    <w:rsid w:val="00B7624D"/>
    <w:rsid w:val="00B76700"/>
    <w:rsid w:val="00B7675B"/>
    <w:rsid w:val="00B768E6"/>
    <w:rsid w:val="00B775EC"/>
    <w:rsid w:val="00B77A22"/>
    <w:rsid w:val="00B77B44"/>
    <w:rsid w:val="00B80014"/>
    <w:rsid w:val="00B80138"/>
    <w:rsid w:val="00B801E6"/>
    <w:rsid w:val="00B80705"/>
    <w:rsid w:val="00B80D5E"/>
    <w:rsid w:val="00B82380"/>
    <w:rsid w:val="00B82399"/>
    <w:rsid w:val="00B8312B"/>
    <w:rsid w:val="00B84195"/>
    <w:rsid w:val="00B84206"/>
    <w:rsid w:val="00B84584"/>
    <w:rsid w:val="00B84E7E"/>
    <w:rsid w:val="00B8519F"/>
    <w:rsid w:val="00B858AF"/>
    <w:rsid w:val="00B8631F"/>
    <w:rsid w:val="00B8646D"/>
    <w:rsid w:val="00B8686A"/>
    <w:rsid w:val="00B86CAA"/>
    <w:rsid w:val="00B90554"/>
    <w:rsid w:val="00B908B1"/>
    <w:rsid w:val="00B91C3A"/>
    <w:rsid w:val="00B91D78"/>
    <w:rsid w:val="00B923B5"/>
    <w:rsid w:val="00B92CDC"/>
    <w:rsid w:val="00B933FE"/>
    <w:rsid w:val="00B93ADB"/>
    <w:rsid w:val="00B93DB3"/>
    <w:rsid w:val="00B95EA9"/>
    <w:rsid w:val="00B95F95"/>
    <w:rsid w:val="00B962D0"/>
    <w:rsid w:val="00B969FB"/>
    <w:rsid w:val="00B96D54"/>
    <w:rsid w:val="00B9741C"/>
    <w:rsid w:val="00B97597"/>
    <w:rsid w:val="00B977CE"/>
    <w:rsid w:val="00B979F9"/>
    <w:rsid w:val="00BA0657"/>
    <w:rsid w:val="00BA0A9E"/>
    <w:rsid w:val="00BA10E3"/>
    <w:rsid w:val="00BA1CD2"/>
    <w:rsid w:val="00BA246F"/>
    <w:rsid w:val="00BA25D1"/>
    <w:rsid w:val="00BA3295"/>
    <w:rsid w:val="00BA3BEB"/>
    <w:rsid w:val="00BA3C13"/>
    <w:rsid w:val="00BA3D2F"/>
    <w:rsid w:val="00BA4730"/>
    <w:rsid w:val="00BA49AA"/>
    <w:rsid w:val="00BA4C01"/>
    <w:rsid w:val="00BA55AF"/>
    <w:rsid w:val="00BA5805"/>
    <w:rsid w:val="00BA5BF3"/>
    <w:rsid w:val="00BA63E5"/>
    <w:rsid w:val="00BA688F"/>
    <w:rsid w:val="00BA6A7F"/>
    <w:rsid w:val="00BA7349"/>
    <w:rsid w:val="00BA74E2"/>
    <w:rsid w:val="00BA7AEF"/>
    <w:rsid w:val="00BB08B1"/>
    <w:rsid w:val="00BB09CB"/>
    <w:rsid w:val="00BB0CE9"/>
    <w:rsid w:val="00BB10F2"/>
    <w:rsid w:val="00BB1411"/>
    <w:rsid w:val="00BB171C"/>
    <w:rsid w:val="00BB1CF3"/>
    <w:rsid w:val="00BB229A"/>
    <w:rsid w:val="00BB280F"/>
    <w:rsid w:val="00BB2C66"/>
    <w:rsid w:val="00BB2E70"/>
    <w:rsid w:val="00BB3506"/>
    <w:rsid w:val="00BB3780"/>
    <w:rsid w:val="00BB38FF"/>
    <w:rsid w:val="00BB3DD4"/>
    <w:rsid w:val="00BB4117"/>
    <w:rsid w:val="00BB4368"/>
    <w:rsid w:val="00BB437D"/>
    <w:rsid w:val="00BB4685"/>
    <w:rsid w:val="00BB5540"/>
    <w:rsid w:val="00BB6175"/>
    <w:rsid w:val="00BB6E92"/>
    <w:rsid w:val="00BB6FC8"/>
    <w:rsid w:val="00BB71E0"/>
    <w:rsid w:val="00BB748D"/>
    <w:rsid w:val="00BB7B0E"/>
    <w:rsid w:val="00BC05F3"/>
    <w:rsid w:val="00BC15CF"/>
    <w:rsid w:val="00BC25B7"/>
    <w:rsid w:val="00BC2BD4"/>
    <w:rsid w:val="00BC2CD3"/>
    <w:rsid w:val="00BC3050"/>
    <w:rsid w:val="00BC3399"/>
    <w:rsid w:val="00BC33F6"/>
    <w:rsid w:val="00BC46C4"/>
    <w:rsid w:val="00BC4744"/>
    <w:rsid w:val="00BC4C6B"/>
    <w:rsid w:val="00BC4D0A"/>
    <w:rsid w:val="00BC6C92"/>
    <w:rsid w:val="00BC6DF6"/>
    <w:rsid w:val="00BC6EF0"/>
    <w:rsid w:val="00BC7153"/>
    <w:rsid w:val="00BC7254"/>
    <w:rsid w:val="00BD0362"/>
    <w:rsid w:val="00BD047E"/>
    <w:rsid w:val="00BD0590"/>
    <w:rsid w:val="00BD061B"/>
    <w:rsid w:val="00BD0F61"/>
    <w:rsid w:val="00BD1202"/>
    <w:rsid w:val="00BD133B"/>
    <w:rsid w:val="00BD13C8"/>
    <w:rsid w:val="00BD1A60"/>
    <w:rsid w:val="00BD1CBB"/>
    <w:rsid w:val="00BD221B"/>
    <w:rsid w:val="00BD2720"/>
    <w:rsid w:val="00BD2CD8"/>
    <w:rsid w:val="00BD2D00"/>
    <w:rsid w:val="00BD2D26"/>
    <w:rsid w:val="00BD3400"/>
    <w:rsid w:val="00BD3568"/>
    <w:rsid w:val="00BD36DB"/>
    <w:rsid w:val="00BD3A28"/>
    <w:rsid w:val="00BD4049"/>
    <w:rsid w:val="00BD42AF"/>
    <w:rsid w:val="00BD4CCA"/>
    <w:rsid w:val="00BD4CF3"/>
    <w:rsid w:val="00BD4FC2"/>
    <w:rsid w:val="00BD59BF"/>
    <w:rsid w:val="00BD59E7"/>
    <w:rsid w:val="00BD5FEE"/>
    <w:rsid w:val="00BD612D"/>
    <w:rsid w:val="00BD615D"/>
    <w:rsid w:val="00BD7538"/>
    <w:rsid w:val="00BD79CF"/>
    <w:rsid w:val="00BD7AAA"/>
    <w:rsid w:val="00BD7B13"/>
    <w:rsid w:val="00BD7E98"/>
    <w:rsid w:val="00BE0011"/>
    <w:rsid w:val="00BE0227"/>
    <w:rsid w:val="00BE034E"/>
    <w:rsid w:val="00BE08FD"/>
    <w:rsid w:val="00BE0AF4"/>
    <w:rsid w:val="00BE11EF"/>
    <w:rsid w:val="00BE16E3"/>
    <w:rsid w:val="00BE288A"/>
    <w:rsid w:val="00BE2D44"/>
    <w:rsid w:val="00BE2DAA"/>
    <w:rsid w:val="00BE2ED4"/>
    <w:rsid w:val="00BE3141"/>
    <w:rsid w:val="00BE31AF"/>
    <w:rsid w:val="00BE346F"/>
    <w:rsid w:val="00BE36D3"/>
    <w:rsid w:val="00BE3F8B"/>
    <w:rsid w:val="00BE4281"/>
    <w:rsid w:val="00BE4599"/>
    <w:rsid w:val="00BE59A4"/>
    <w:rsid w:val="00BE5AF8"/>
    <w:rsid w:val="00BE5BBC"/>
    <w:rsid w:val="00BE5DFF"/>
    <w:rsid w:val="00BE6232"/>
    <w:rsid w:val="00BE6F97"/>
    <w:rsid w:val="00BE702F"/>
    <w:rsid w:val="00BE7CA1"/>
    <w:rsid w:val="00BF0D46"/>
    <w:rsid w:val="00BF0F8C"/>
    <w:rsid w:val="00BF12D0"/>
    <w:rsid w:val="00BF156B"/>
    <w:rsid w:val="00BF227C"/>
    <w:rsid w:val="00BF27E1"/>
    <w:rsid w:val="00BF3D2F"/>
    <w:rsid w:val="00BF42CA"/>
    <w:rsid w:val="00BF43DF"/>
    <w:rsid w:val="00BF4DB6"/>
    <w:rsid w:val="00BF4E36"/>
    <w:rsid w:val="00BF4E55"/>
    <w:rsid w:val="00BF50C0"/>
    <w:rsid w:val="00BF6382"/>
    <w:rsid w:val="00BF667C"/>
    <w:rsid w:val="00BF69F0"/>
    <w:rsid w:val="00BF6D2D"/>
    <w:rsid w:val="00C0061B"/>
    <w:rsid w:val="00C011CA"/>
    <w:rsid w:val="00C01D59"/>
    <w:rsid w:val="00C01E72"/>
    <w:rsid w:val="00C0205E"/>
    <w:rsid w:val="00C02166"/>
    <w:rsid w:val="00C02552"/>
    <w:rsid w:val="00C02748"/>
    <w:rsid w:val="00C02DD4"/>
    <w:rsid w:val="00C03BC5"/>
    <w:rsid w:val="00C03DF6"/>
    <w:rsid w:val="00C040A5"/>
    <w:rsid w:val="00C04111"/>
    <w:rsid w:val="00C041ED"/>
    <w:rsid w:val="00C045C0"/>
    <w:rsid w:val="00C04690"/>
    <w:rsid w:val="00C0475F"/>
    <w:rsid w:val="00C04BF9"/>
    <w:rsid w:val="00C05032"/>
    <w:rsid w:val="00C05093"/>
    <w:rsid w:val="00C0515E"/>
    <w:rsid w:val="00C0572A"/>
    <w:rsid w:val="00C057C2"/>
    <w:rsid w:val="00C05ED7"/>
    <w:rsid w:val="00C0617A"/>
    <w:rsid w:val="00C07280"/>
    <w:rsid w:val="00C07BA7"/>
    <w:rsid w:val="00C1054F"/>
    <w:rsid w:val="00C10825"/>
    <w:rsid w:val="00C10977"/>
    <w:rsid w:val="00C10D8D"/>
    <w:rsid w:val="00C12018"/>
    <w:rsid w:val="00C13FF4"/>
    <w:rsid w:val="00C14CCF"/>
    <w:rsid w:val="00C15004"/>
    <w:rsid w:val="00C1515D"/>
    <w:rsid w:val="00C15CF2"/>
    <w:rsid w:val="00C15D7A"/>
    <w:rsid w:val="00C15E2D"/>
    <w:rsid w:val="00C15EC7"/>
    <w:rsid w:val="00C1636B"/>
    <w:rsid w:val="00C16F04"/>
    <w:rsid w:val="00C17438"/>
    <w:rsid w:val="00C174D3"/>
    <w:rsid w:val="00C17825"/>
    <w:rsid w:val="00C17C0F"/>
    <w:rsid w:val="00C17F40"/>
    <w:rsid w:val="00C20459"/>
    <w:rsid w:val="00C20539"/>
    <w:rsid w:val="00C20E1C"/>
    <w:rsid w:val="00C20E42"/>
    <w:rsid w:val="00C20EFA"/>
    <w:rsid w:val="00C210C7"/>
    <w:rsid w:val="00C21D63"/>
    <w:rsid w:val="00C21E0B"/>
    <w:rsid w:val="00C223B7"/>
    <w:rsid w:val="00C22635"/>
    <w:rsid w:val="00C226FE"/>
    <w:rsid w:val="00C22757"/>
    <w:rsid w:val="00C228D8"/>
    <w:rsid w:val="00C22D04"/>
    <w:rsid w:val="00C22EC8"/>
    <w:rsid w:val="00C22FB1"/>
    <w:rsid w:val="00C2322B"/>
    <w:rsid w:val="00C239EE"/>
    <w:rsid w:val="00C24D1A"/>
    <w:rsid w:val="00C2510E"/>
    <w:rsid w:val="00C2514C"/>
    <w:rsid w:val="00C262A2"/>
    <w:rsid w:val="00C2736C"/>
    <w:rsid w:val="00C27E2B"/>
    <w:rsid w:val="00C27F59"/>
    <w:rsid w:val="00C30064"/>
    <w:rsid w:val="00C326D0"/>
    <w:rsid w:val="00C32EB5"/>
    <w:rsid w:val="00C33B3A"/>
    <w:rsid w:val="00C34566"/>
    <w:rsid w:val="00C34957"/>
    <w:rsid w:val="00C34A16"/>
    <w:rsid w:val="00C34A71"/>
    <w:rsid w:val="00C35248"/>
    <w:rsid w:val="00C357A2"/>
    <w:rsid w:val="00C361A3"/>
    <w:rsid w:val="00C367D3"/>
    <w:rsid w:val="00C36CBC"/>
    <w:rsid w:val="00C37727"/>
    <w:rsid w:val="00C379E8"/>
    <w:rsid w:val="00C37E0F"/>
    <w:rsid w:val="00C37FE0"/>
    <w:rsid w:val="00C4061D"/>
    <w:rsid w:val="00C4250C"/>
    <w:rsid w:val="00C42DEE"/>
    <w:rsid w:val="00C434A3"/>
    <w:rsid w:val="00C44027"/>
    <w:rsid w:val="00C44CE5"/>
    <w:rsid w:val="00C455AD"/>
    <w:rsid w:val="00C45A01"/>
    <w:rsid w:val="00C45F0C"/>
    <w:rsid w:val="00C45F25"/>
    <w:rsid w:val="00C4695B"/>
    <w:rsid w:val="00C46A46"/>
    <w:rsid w:val="00C472A8"/>
    <w:rsid w:val="00C472D1"/>
    <w:rsid w:val="00C47455"/>
    <w:rsid w:val="00C47725"/>
    <w:rsid w:val="00C4787C"/>
    <w:rsid w:val="00C47C39"/>
    <w:rsid w:val="00C47F22"/>
    <w:rsid w:val="00C47F58"/>
    <w:rsid w:val="00C50175"/>
    <w:rsid w:val="00C50903"/>
    <w:rsid w:val="00C50CAC"/>
    <w:rsid w:val="00C51052"/>
    <w:rsid w:val="00C51326"/>
    <w:rsid w:val="00C51FEA"/>
    <w:rsid w:val="00C5227A"/>
    <w:rsid w:val="00C52748"/>
    <w:rsid w:val="00C52E49"/>
    <w:rsid w:val="00C539B5"/>
    <w:rsid w:val="00C53D12"/>
    <w:rsid w:val="00C54E86"/>
    <w:rsid w:val="00C54EC4"/>
    <w:rsid w:val="00C55511"/>
    <w:rsid w:val="00C55DD1"/>
    <w:rsid w:val="00C61173"/>
    <w:rsid w:val="00C61AD4"/>
    <w:rsid w:val="00C61C6F"/>
    <w:rsid w:val="00C61F4A"/>
    <w:rsid w:val="00C624DC"/>
    <w:rsid w:val="00C62508"/>
    <w:rsid w:val="00C630D0"/>
    <w:rsid w:val="00C63443"/>
    <w:rsid w:val="00C637D8"/>
    <w:rsid w:val="00C63BA0"/>
    <w:rsid w:val="00C64240"/>
    <w:rsid w:val="00C6437C"/>
    <w:rsid w:val="00C64C9F"/>
    <w:rsid w:val="00C64D43"/>
    <w:rsid w:val="00C64F11"/>
    <w:rsid w:val="00C65961"/>
    <w:rsid w:val="00C65DE7"/>
    <w:rsid w:val="00C6601D"/>
    <w:rsid w:val="00C66763"/>
    <w:rsid w:val="00C66822"/>
    <w:rsid w:val="00C66A6C"/>
    <w:rsid w:val="00C671A3"/>
    <w:rsid w:val="00C67CFA"/>
    <w:rsid w:val="00C701DA"/>
    <w:rsid w:val="00C705AD"/>
    <w:rsid w:val="00C70C7B"/>
    <w:rsid w:val="00C70E2A"/>
    <w:rsid w:val="00C71281"/>
    <w:rsid w:val="00C714C2"/>
    <w:rsid w:val="00C71782"/>
    <w:rsid w:val="00C718E1"/>
    <w:rsid w:val="00C7205D"/>
    <w:rsid w:val="00C723E1"/>
    <w:rsid w:val="00C72A68"/>
    <w:rsid w:val="00C72BE4"/>
    <w:rsid w:val="00C72EC3"/>
    <w:rsid w:val="00C730C1"/>
    <w:rsid w:val="00C7357C"/>
    <w:rsid w:val="00C73E72"/>
    <w:rsid w:val="00C7422E"/>
    <w:rsid w:val="00C749CB"/>
    <w:rsid w:val="00C752B8"/>
    <w:rsid w:val="00C75F7D"/>
    <w:rsid w:val="00C76AB9"/>
    <w:rsid w:val="00C76E8D"/>
    <w:rsid w:val="00C770D3"/>
    <w:rsid w:val="00C772AE"/>
    <w:rsid w:val="00C77524"/>
    <w:rsid w:val="00C776BB"/>
    <w:rsid w:val="00C77B9D"/>
    <w:rsid w:val="00C80165"/>
    <w:rsid w:val="00C801E5"/>
    <w:rsid w:val="00C807F1"/>
    <w:rsid w:val="00C80FC8"/>
    <w:rsid w:val="00C81E89"/>
    <w:rsid w:val="00C82AAC"/>
    <w:rsid w:val="00C8329C"/>
    <w:rsid w:val="00C84056"/>
    <w:rsid w:val="00C84D2E"/>
    <w:rsid w:val="00C85181"/>
    <w:rsid w:val="00C85A82"/>
    <w:rsid w:val="00C86638"/>
    <w:rsid w:val="00C869FA"/>
    <w:rsid w:val="00C86A43"/>
    <w:rsid w:val="00C86FC1"/>
    <w:rsid w:val="00C87AA2"/>
    <w:rsid w:val="00C913FD"/>
    <w:rsid w:val="00C91449"/>
    <w:rsid w:val="00C91C0D"/>
    <w:rsid w:val="00C921EF"/>
    <w:rsid w:val="00C9221A"/>
    <w:rsid w:val="00C92963"/>
    <w:rsid w:val="00C9296F"/>
    <w:rsid w:val="00C9314B"/>
    <w:rsid w:val="00C935EA"/>
    <w:rsid w:val="00C936D4"/>
    <w:rsid w:val="00C93D32"/>
    <w:rsid w:val="00C9417F"/>
    <w:rsid w:val="00C941FF"/>
    <w:rsid w:val="00C94C2B"/>
    <w:rsid w:val="00C95107"/>
    <w:rsid w:val="00C9518A"/>
    <w:rsid w:val="00C95439"/>
    <w:rsid w:val="00C95ACC"/>
    <w:rsid w:val="00C95E23"/>
    <w:rsid w:val="00C95ECB"/>
    <w:rsid w:val="00C96802"/>
    <w:rsid w:val="00C96CEA"/>
    <w:rsid w:val="00C97119"/>
    <w:rsid w:val="00C9712E"/>
    <w:rsid w:val="00C97FF1"/>
    <w:rsid w:val="00CA076B"/>
    <w:rsid w:val="00CA07BD"/>
    <w:rsid w:val="00CA086C"/>
    <w:rsid w:val="00CA1DEC"/>
    <w:rsid w:val="00CA2C5C"/>
    <w:rsid w:val="00CA2D5C"/>
    <w:rsid w:val="00CA2D98"/>
    <w:rsid w:val="00CA360E"/>
    <w:rsid w:val="00CA3679"/>
    <w:rsid w:val="00CA3E92"/>
    <w:rsid w:val="00CA3F51"/>
    <w:rsid w:val="00CA493D"/>
    <w:rsid w:val="00CA4CDC"/>
    <w:rsid w:val="00CA61FB"/>
    <w:rsid w:val="00CA6470"/>
    <w:rsid w:val="00CA6570"/>
    <w:rsid w:val="00CA6920"/>
    <w:rsid w:val="00CA6B97"/>
    <w:rsid w:val="00CA6CDE"/>
    <w:rsid w:val="00CA78D8"/>
    <w:rsid w:val="00CA7BD4"/>
    <w:rsid w:val="00CB0270"/>
    <w:rsid w:val="00CB0924"/>
    <w:rsid w:val="00CB0E3A"/>
    <w:rsid w:val="00CB1685"/>
    <w:rsid w:val="00CB1AD6"/>
    <w:rsid w:val="00CB1F59"/>
    <w:rsid w:val="00CB2F9A"/>
    <w:rsid w:val="00CB3318"/>
    <w:rsid w:val="00CB340F"/>
    <w:rsid w:val="00CB36F6"/>
    <w:rsid w:val="00CB3B3F"/>
    <w:rsid w:val="00CB3FA0"/>
    <w:rsid w:val="00CB41DD"/>
    <w:rsid w:val="00CB4B70"/>
    <w:rsid w:val="00CB4EBB"/>
    <w:rsid w:val="00CB5C05"/>
    <w:rsid w:val="00CB5D44"/>
    <w:rsid w:val="00CB68AA"/>
    <w:rsid w:val="00CB7C33"/>
    <w:rsid w:val="00CC01BD"/>
    <w:rsid w:val="00CC0A90"/>
    <w:rsid w:val="00CC1425"/>
    <w:rsid w:val="00CC1B59"/>
    <w:rsid w:val="00CC2401"/>
    <w:rsid w:val="00CC259A"/>
    <w:rsid w:val="00CC2648"/>
    <w:rsid w:val="00CC2C55"/>
    <w:rsid w:val="00CC3001"/>
    <w:rsid w:val="00CC37FC"/>
    <w:rsid w:val="00CC4D38"/>
    <w:rsid w:val="00CC5364"/>
    <w:rsid w:val="00CC6361"/>
    <w:rsid w:val="00CC70EB"/>
    <w:rsid w:val="00CC7562"/>
    <w:rsid w:val="00CD0836"/>
    <w:rsid w:val="00CD0A1C"/>
    <w:rsid w:val="00CD0D96"/>
    <w:rsid w:val="00CD0F03"/>
    <w:rsid w:val="00CD1318"/>
    <w:rsid w:val="00CD1B16"/>
    <w:rsid w:val="00CD1FAC"/>
    <w:rsid w:val="00CD2182"/>
    <w:rsid w:val="00CD2698"/>
    <w:rsid w:val="00CD2771"/>
    <w:rsid w:val="00CD2C8F"/>
    <w:rsid w:val="00CD2D30"/>
    <w:rsid w:val="00CD3705"/>
    <w:rsid w:val="00CD3F57"/>
    <w:rsid w:val="00CD40AB"/>
    <w:rsid w:val="00CD4D2F"/>
    <w:rsid w:val="00CD4F2A"/>
    <w:rsid w:val="00CD5136"/>
    <w:rsid w:val="00CD5D7A"/>
    <w:rsid w:val="00CD622C"/>
    <w:rsid w:val="00CD6611"/>
    <w:rsid w:val="00CD6666"/>
    <w:rsid w:val="00CD6AA8"/>
    <w:rsid w:val="00CD6AB0"/>
    <w:rsid w:val="00CD6EFC"/>
    <w:rsid w:val="00CD76B1"/>
    <w:rsid w:val="00CE0955"/>
    <w:rsid w:val="00CE0FC2"/>
    <w:rsid w:val="00CE101E"/>
    <w:rsid w:val="00CE1251"/>
    <w:rsid w:val="00CE1533"/>
    <w:rsid w:val="00CE161A"/>
    <w:rsid w:val="00CE1BC3"/>
    <w:rsid w:val="00CE1D1C"/>
    <w:rsid w:val="00CE1F19"/>
    <w:rsid w:val="00CE2D21"/>
    <w:rsid w:val="00CE321B"/>
    <w:rsid w:val="00CE32C8"/>
    <w:rsid w:val="00CE34AB"/>
    <w:rsid w:val="00CE361F"/>
    <w:rsid w:val="00CE3771"/>
    <w:rsid w:val="00CE37EC"/>
    <w:rsid w:val="00CE3D39"/>
    <w:rsid w:val="00CE4523"/>
    <w:rsid w:val="00CE5250"/>
    <w:rsid w:val="00CE575C"/>
    <w:rsid w:val="00CE5E48"/>
    <w:rsid w:val="00CE7B96"/>
    <w:rsid w:val="00CF065B"/>
    <w:rsid w:val="00CF08DE"/>
    <w:rsid w:val="00CF0E32"/>
    <w:rsid w:val="00CF0EF0"/>
    <w:rsid w:val="00CF1191"/>
    <w:rsid w:val="00CF16D3"/>
    <w:rsid w:val="00CF2334"/>
    <w:rsid w:val="00CF369B"/>
    <w:rsid w:val="00CF3779"/>
    <w:rsid w:val="00CF4339"/>
    <w:rsid w:val="00CF43F4"/>
    <w:rsid w:val="00CF4412"/>
    <w:rsid w:val="00CF5166"/>
    <w:rsid w:val="00CF54DC"/>
    <w:rsid w:val="00CF59CF"/>
    <w:rsid w:val="00CF5D1A"/>
    <w:rsid w:val="00CF5E56"/>
    <w:rsid w:val="00CF65EC"/>
    <w:rsid w:val="00CF66A6"/>
    <w:rsid w:val="00CF690C"/>
    <w:rsid w:val="00CF770E"/>
    <w:rsid w:val="00CF7F40"/>
    <w:rsid w:val="00D01029"/>
    <w:rsid w:val="00D025CC"/>
    <w:rsid w:val="00D02659"/>
    <w:rsid w:val="00D02C42"/>
    <w:rsid w:val="00D02FC8"/>
    <w:rsid w:val="00D03D6C"/>
    <w:rsid w:val="00D047FF"/>
    <w:rsid w:val="00D05257"/>
    <w:rsid w:val="00D05335"/>
    <w:rsid w:val="00D05AC6"/>
    <w:rsid w:val="00D06355"/>
    <w:rsid w:val="00D06653"/>
    <w:rsid w:val="00D067D5"/>
    <w:rsid w:val="00D06CBC"/>
    <w:rsid w:val="00D06F17"/>
    <w:rsid w:val="00D06FD7"/>
    <w:rsid w:val="00D071E2"/>
    <w:rsid w:val="00D073E6"/>
    <w:rsid w:val="00D1054C"/>
    <w:rsid w:val="00D1060D"/>
    <w:rsid w:val="00D1087A"/>
    <w:rsid w:val="00D1155C"/>
    <w:rsid w:val="00D11B6D"/>
    <w:rsid w:val="00D12A92"/>
    <w:rsid w:val="00D12AA5"/>
    <w:rsid w:val="00D12B56"/>
    <w:rsid w:val="00D12E84"/>
    <w:rsid w:val="00D132D2"/>
    <w:rsid w:val="00D1339B"/>
    <w:rsid w:val="00D1367C"/>
    <w:rsid w:val="00D146F3"/>
    <w:rsid w:val="00D14762"/>
    <w:rsid w:val="00D15A4E"/>
    <w:rsid w:val="00D15D57"/>
    <w:rsid w:val="00D15E74"/>
    <w:rsid w:val="00D177BB"/>
    <w:rsid w:val="00D21272"/>
    <w:rsid w:val="00D216DD"/>
    <w:rsid w:val="00D21DBE"/>
    <w:rsid w:val="00D2254D"/>
    <w:rsid w:val="00D244E6"/>
    <w:rsid w:val="00D24708"/>
    <w:rsid w:val="00D248E4"/>
    <w:rsid w:val="00D2497E"/>
    <w:rsid w:val="00D24C61"/>
    <w:rsid w:val="00D24D3F"/>
    <w:rsid w:val="00D2596A"/>
    <w:rsid w:val="00D26687"/>
    <w:rsid w:val="00D26897"/>
    <w:rsid w:val="00D26B77"/>
    <w:rsid w:val="00D27019"/>
    <w:rsid w:val="00D27F5B"/>
    <w:rsid w:val="00D30536"/>
    <w:rsid w:val="00D31FD4"/>
    <w:rsid w:val="00D330BC"/>
    <w:rsid w:val="00D33916"/>
    <w:rsid w:val="00D33A23"/>
    <w:rsid w:val="00D33A7B"/>
    <w:rsid w:val="00D34056"/>
    <w:rsid w:val="00D341E1"/>
    <w:rsid w:val="00D349C3"/>
    <w:rsid w:val="00D34BEA"/>
    <w:rsid w:val="00D35D02"/>
    <w:rsid w:val="00D35EE0"/>
    <w:rsid w:val="00D3603D"/>
    <w:rsid w:val="00D361D3"/>
    <w:rsid w:val="00D36873"/>
    <w:rsid w:val="00D368DD"/>
    <w:rsid w:val="00D36ADA"/>
    <w:rsid w:val="00D36E0F"/>
    <w:rsid w:val="00D374CA"/>
    <w:rsid w:val="00D37E58"/>
    <w:rsid w:val="00D4006C"/>
    <w:rsid w:val="00D402AD"/>
    <w:rsid w:val="00D40351"/>
    <w:rsid w:val="00D407F2"/>
    <w:rsid w:val="00D407F3"/>
    <w:rsid w:val="00D4093B"/>
    <w:rsid w:val="00D40EEA"/>
    <w:rsid w:val="00D4136D"/>
    <w:rsid w:val="00D41609"/>
    <w:rsid w:val="00D41781"/>
    <w:rsid w:val="00D417B4"/>
    <w:rsid w:val="00D4182F"/>
    <w:rsid w:val="00D43547"/>
    <w:rsid w:val="00D44054"/>
    <w:rsid w:val="00D440E7"/>
    <w:rsid w:val="00D44163"/>
    <w:rsid w:val="00D44661"/>
    <w:rsid w:val="00D4471F"/>
    <w:rsid w:val="00D457A7"/>
    <w:rsid w:val="00D458E5"/>
    <w:rsid w:val="00D4622E"/>
    <w:rsid w:val="00D46DB4"/>
    <w:rsid w:val="00D47DDC"/>
    <w:rsid w:val="00D504EE"/>
    <w:rsid w:val="00D508DB"/>
    <w:rsid w:val="00D50CD9"/>
    <w:rsid w:val="00D50DFA"/>
    <w:rsid w:val="00D51A2D"/>
    <w:rsid w:val="00D51E1B"/>
    <w:rsid w:val="00D51ED9"/>
    <w:rsid w:val="00D5224A"/>
    <w:rsid w:val="00D524E6"/>
    <w:rsid w:val="00D524ED"/>
    <w:rsid w:val="00D52CC7"/>
    <w:rsid w:val="00D52D40"/>
    <w:rsid w:val="00D53E43"/>
    <w:rsid w:val="00D54055"/>
    <w:rsid w:val="00D54179"/>
    <w:rsid w:val="00D54BDE"/>
    <w:rsid w:val="00D552CE"/>
    <w:rsid w:val="00D558C8"/>
    <w:rsid w:val="00D55FB0"/>
    <w:rsid w:val="00D5628E"/>
    <w:rsid w:val="00D566E5"/>
    <w:rsid w:val="00D569F5"/>
    <w:rsid w:val="00D571DB"/>
    <w:rsid w:val="00D57483"/>
    <w:rsid w:val="00D579B9"/>
    <w:rsid w:val="00D57B19"/>
    <w:rsid w:val="00D57CF5"/>
    <w:rsid w:val="00D57D47"/>
    <w:rsid w:val="00D60F64"/>
    <w:rsid w:val="00D6145F"/>
    <w:rsid w:val="00D6148F"/>
    <w:rsid w:val="00D61C53"/>
    <w:rsid w:val="00D6244F"/>
    <w:rsid w:val="00D62897"/>
    <w:rsid w:val="00D629CE"/>
    <w:rsid w:val="00D62B91"/>
    <w:rsid w:val="00D630CF"/>
    <w:rsid w:val="00D63642"/>
    <w:rsid w:val="00D63D52"/>
    <w:rsid w:val="00D63DFD"/>
    <w:rsid w:val="00D63F2A"/>
    <w:rsid w:val="00D63FF7"/>
    <w:rsid w:val="00D6436A"/>
    <w:rsid w:val="00D657CF"/>
    <w:rsid w:val="00D65B63"/>
    <w:rsid w:val="00D664A5"/>
    <w:rsid w:val="00D6694F"/>
    <w:rsid w:val="00D6720F"/>
    <w:rsid w:val="00D676F4"/>
    <w:rsid w:val="00D715BE"/>
    <w:rsid w:val="00D71CF1"/>
    <w:rsid w:val="00D7203C"/>
    <w:rsid w:val="00D72508"/>
    <w:rsid w:val="00D72AC4"/>
    <w:rsid w:val="00D73053"/>
    <w:rsid w:val="00D73749"/>
    <w:rsid w:val="00D737B0"/>
    <w:rsid w:val="00D737C3"/>
    <w:rsid w:val="00D73896"/>
    <w:rsid w:val="00D73E82"/>
    <w:rsid w:val="00D73EBB"/>
    <w:rsid w:val="00D74424"/>
    <w:rsid w:val="00D74E48"/>
    <w:rsid w:val="00D74F57"/>
    <w:rsid w:val="00D75440"/>
    <w:rsid w:val="00D75BA1"/>
    <w:rsid w:val="00D75F64"/>
    <w:rsid w:val="00D76821"/>
    <w:rsid w:val="00D76E97"/>
    <w:rsid w:val="00D77639"/>
    <w:rsid w:val="00D778FA"/>
    <w:rsid w:val="00D77D94"/>
    <w:rsid w:val="00D80075"/>
    <w:rsid w:val="00D80157"/>
    <w:rsid w:val="00D80596"/>
    <w:rsid w:val="00D81144"/>
    <w:rsid w:val="00D81461"/>
    <w:rsid w:val="00D8202A"/>
    <w:rsid w:val="00D821FD"/>
    <w:rsid w:val="00D825B4"/>
    <w:rsid w:val="00D8264D"/>
    <w:rsid w:val="00D82AF6"/>
    <w:rsid w:val="00D83260"/>
    <w:rsid w:val="00D834FC"/>
    <w:rsid w:val="00D83FB9"/>
    <w:rsid w:val="00D83FFC"/>
    <w:rsid w:val="00D84054"/>
    <w:rsid w:val="00D843A4"/>
    <w:rsid w:val="00D86A64"/>
    <w:rsid w:val="00D8716F"/>
    <w:rsid w:val="00D874D3"/>
    <w:rsid w:val="00D875B3"/>
    <w:rsid w:val="00D87E05"/>
    <w:rsid w:val="00D87F7C"/>
    <w:rsid w:val="00D9004C"/>
    <w:rsid w:val="00D9153A"/>
    <w:rsid w:val="00D916CE"/>
    <w:rsid w:val="00D92992"/>
    <w:rsid w:val="00D9300A"/>
    <w:rsid w:val="00D931F2"/>
    <w:rsid w:val="00D93641"/>
    <w:rsid w:val="00D939F5"/>
    <w:rsid w:val="00D93BF5"/>
    <w:rsid w:val="00D94434"/>
    <w:rsid w:val="00D94509"/>
    <w:rsid w:val="00D94C4E"/>
    <w:rsid w:val="00D94C7A"/>
    <w:rsid w:val="00D94E74"/>
    <w:rsid w:val="00D94FA1"/>
    <w:rsid w:val="00D95328"/>
    <w:rsid w:val="00D95E37"/>
    <w:rsid w:val="00D969C3"/>
    <w:rsid w:val="00D97083"/>
    <w:rsid w:val="00D97F77"/>
    <w:rsid w:val="00D97FC6"/>
    <w:rsid w:val="00DA0390"/>
    <w:rsid w:val="00DA0457"/>
    <w:rsid w:val="00DA0E89"/>
    <w:rsid w:val="00DA12BA"/>
    <w:rsid w:val="00DA1884"/>
    <w:rsid w:val="00DA2195"/>
    <w:rsid w:val="00DA2DF1"/>
    <w:rsid w:val="00DA448E"/>
    <w:rsid w:val="00DA4BA6"/>
    <w:rsid w:val="00DA52C8"/>
    <w:rsid w:val="00DA5C32"/>
    <w:rsid w:val="00DA78EC"/>
    <w:rsid w:val="00DA7A12"/>
    <w:rsid w:val="00DB084E"/>
    <w:rsid w:val="00DB1A1C"/>
    <w:rsid w:val="00DB22D0"/>
    <w:rsid w:val="00DB261E"/>
    <w:rsid w:val="00DB2954"/>
    <w:rsid w:val="00DB3302"/>
    <w:rsid w:val="00DB3B07"/>
    <w:rsid w:val="00DB480E"/>
    <w:rsid w:val="00DB6725"/>
    <w:rsid w:val="00DB6944"/>
    <w:rsid w:val="00DB6C8D"/>
    <w:rsid w:val="00DB7960"/>
    <w:rsid w:val="00DB7C3B"/>
    <w:rsid w:val="00DB7C4B"/>
    <w:rsid w:val="00DC0823"/>
    <w:rsid w:val="00DC0B79"/>
    <w:rsid w:val="00DC111B"/>
    <w:rsid w:val="00DC130C"/>
    <w:rsid w:val="00DC16F4"/>
    <w:rsid w:val="00DC2469"/>
    <w:rsid w:val="00DC305D"/>
    <w:rsid w:val="00DC3D0C"/>
    <w:rsid w:val="00DC3DA9"/>
    <w:rsid w:val="00DC41CE"/>
    <w:rsid w:val="00DC49F4"/>
    <w:rsid w:val="00DC4AC0"/>
    <w:rsid w:val="00DC4D5C"/>
    <w:rsid w:val="00DC759F"/>
    <w:rsid w:val="00DC7738"/>
    <w:rsid w:val="00DC7993"/>
    <w:rsid w:val="00DC7DCB"/>
    <w:rsid w:val="00DD0473"/>
    <w:rsid w:val="00DD0914"/>
    <w:rsid w:val="00DD152C"/>
    <w:rsid w:val="00DD1B46"/>
    <w:rsid w:val="00DD2DEE"/>
    <w:rsid w:val="00DD32F3"/>
    <w:rsid w:val="00DD3666"/>
    <w:rsid w:val="00DD3961"/>
    <w:rsid w:val="00DD43DA"/>
    <w:rsid w:val="00DD60E4"/>
    <w:rsid w:val="00DD6129"/>
    <w:rsid w:val="00DD6247"/>
    <w:rsid w:val="00DD6383"/>
    <w:rsid w:val="00DD65FC"/>
    <w:rsid w:val="00DD6782"/>
    <w:rsid w:val="00DD6CE5"/>
    <w:rsid w:val="00DD6DC1"/>
    <w:rsid w:val="00DD73DB"/>
    <w:rsid w:val="00DD7597"/>
    <w:rsid w:val="00DD7FC7"/>
    <w:rsid w:val="00DE05AF"/>
    <w:rsid w:val="00DE0834"/>
    <w:rsid w:val="00DE0EC0"/>
    <w:rsid w:val="00DE0F5E"/>
    <w:rsid w:val="00DE2453"/>
    <w:rsid w:val="00DE288A"/>
    <w:rsid w:val="00DE2F71"/>
    <w:rsid w:val="00DE4FE7"/>
    <w:rsid w:val="00DE5262"/>
    <w:rsid w:val="00DE5721"/>
    <w:rsid w:val="00DE59FC"/>
    <w:rsid w:val="00DE6452"/>
    <w:rsid w:val="00DE66D1"/>
    <w:rsid w:val="00DF00FA"/>
    <w:rsid w:val="00DF0982"/>
    <w:rsid w:val="00DF0ED4"/>
    <w:rsid w:val="00DF1167"/>
    <w:rsid w:val="00DF1250"/>
    <w:rsid w:val="00DF1348"/>
    <w:rsid w:val="00DF13C7"/>
    <w:rsid w:val="00DF17AE"/>
    <w:rsid w:val="00DF1C82"/>
    <w:rsid w:val="00DF248A"/>
    <w:rsid w:val="00DF2F6E"/>
    <w:rsid w:val="00DF3438"/>
    <w:rsid w:val="00DF3D67"/>
    <w:rsid w:val="00DF3E04"/>
    <w:rsid w:val="00DF4094"/>
    <w:rsid w:val="00DF412D"/>
    <w:rsid w:val="00DF4B28"/>
    <w:rsid w:val="00DF4BDC"/>
    <w:rsid w:val="00DF4FA3"/>
    <w:rsid w:val="00DF5120"/>
    <w:rsid w:val="00DF515D"/>
    <w:rsid w:val="00DF57CA"/>
    <w:rsid w:val="00DF5A95"/>
    <w:rsid w:val="00DF6142"/>
    <w:rsid w:val="00DF62CE"/>
    <w:rsid w:val="00DF6BFD"/>
    <w:rsid w:val="00DF7185"/>
    <w:rsid w:val="00DF7A33"/>
    <w:rsid w:val="00E0005A"/>
    <w:rsid w:val="00E0048A"/>
    <w:rsid w:val="00E004A7"/>
    <w:rsid w:val="00E00EA8"/>
    <w:rsid w:val="00E01700"/>
    <w:rsid w:val="00E017E0"/>
    <w:rsid w:val="00E01C0F"/>
    <w:rsid w:val="00E01ED0"/>
    <w:rsid w:val="00E01F8F"/>
    <w:rsid w:val="00E02A28"/>
    <w:rsid w:val="00E02BC7"/>
    <w:rsid w:val="00E02D06"/>
    <w:rsid w:val="00E02E75"/>
    <w:rsid w:val="00E033B0"/>
    <w:rsid w:val="00E03B05"/>
    <w:rsid w:val="00E03B77"/>
    <w:rsid w:val="00E04155"/>
    <w:rsid w:val="00E04638"/>
    <w:rsid w:val="00E046E4"/>
    <w:rsid w:val="00E04A24"/>
    <w:rsid w:val="00E055CB"/>
    <w:rsid w:val="00E05CE9"/>
    <w:rsid w:val="00E06A1E"/>
    <w:rsid w:val="00E06C7D"/>
    <w:rsid w:val="00E0706C"/>
    <w:rsid w:val="00E07071"/>
    <w:rsid w:val="00E070E7"/>
    <w:rsid w:val="00E07224"/>
    <w:rsid w:val="00E0748D"/>
    <w:rsid w:val="00E07873"/>
    <w:rsid w:val="00E07C73"/>
    <w:rsid w:val="00E105C6"/>
    <w:rsid w:val="00E11EDB"/>
    <w:rsid w:val="00E11F44"/>
    <w:rsid w:val="00E11F95"/>
    <w:rsid w:val="00E12599"/>
    <w:rsid w:val="00E12F8D"/>
    <w:rsid w:val="00E13425"/>
    <w:rsid w:val="00E14339"/>
    <w:rsid w:val="00E146C6"/>
    <w:rsid w:val="00E1472B"/>
    <w:rsid w:val="00E148C1"/>
    <w:rsid w:val="00E14918"/>
    <w:rsid w:val="00E15A12"/>
    <w:rsid w:val="00E15BA8"/>
    <w:rsid w:val="00E15D40"/>
    <w:rsid w:val="00E16366"/>
    <w:rsid w:val="00E1640A"/>
    <w:rsid w:val="00E16660"/>
    <w:rsid w:val="00E16ABF"/>
    <w:rsid w:val="00E16B64"/>
    <w:rsid w:val="00E16C23"/>
    <w:rsid w:val="00E20A32"/>
    <w:rsid w:val="00E20C6A"/>
    <w:rsid w:val="00E20E74"/>
    <w:rsid w:val="00E214F0"/>
    <w:rsid w:val="00E22045"/>
    <w:rsid w:val="00E225C2"/>
    <w:rsid w:val="00E22EA7"/>
    <w:rsid w:val="00E23072"/>
    <w:rsid w:val="00E230DB"/>
    <w:rsid w:val="00E238E9"/>
    <w:rsid w:val="00E24425"/>
    <w:rsid w:val="00E24D40"/>
    <w:rsid w:val="00E25484"/>
    <w:rsid w:val="00E2549B"/>
    <w:rsid w:val="00E25C3C"/>
    <w:rsid w:val="00E25EFD"/>
    <w:rsid w:val="00E25FAE"/>
    <w:rsid w:val="00E26148"/>
    <w:rsid w:val="00E267A0"/>
    <w:rsid w:val="00E26973"/>
    <w:rsid w:val="00E26AE6"/>
    <w:rsid w:val="00E26EB8"/>
    <w:rsid w:val="00E27C5C"/>
    <w:rsid w:val="00E27CBB"/>
    <w:rsid w:val="00E27F5F"/>
    <w:rsid w:val="00E30267"/>
    <w:rsid w:val="00E304C8"/>
    <w:rsid w:val="00E30CA2"/>
    <w:rsid w:val="00E31193"/>
    <w:rsid w:val="00E31525"/>
    <w:rsid w:val="00E317FE"/>
    <w:rsid w:val="00E31956"/>
    <w:rsid w:val="00E3221E"/>
    <w:rsid w:val="00E32284"/>
    <w:rsid w:val="00E3296D"/>
    <w:rsid w:val="00E33435"/>
    <w:rsid w:val="00E33895"/>
    <w:rsid w:val="00E34613"/>
    <w:rsid w:val="00E3510B"/>
    <w:rsid w:val="00E356B0"/>
    <w:rsid w:val="00E35A3F"/>
    <w:rsid w:val="00E35ABC"/>
    <w:rsid w:val="00E35AC4"/>
    <w:rsid w:val="00E364EA"/>
    <w:rsid w:val="00E3657E"/>
    <w:rsid w:val="00E365D0"/>
    <w:rsid w:val="00E36E73"/>
    <w:rsid w:val="00E37632"/>
    <w:rsid w:val="00E4009D"/>
    <w:rsid w:val="00E42027"/>
    <w:rsid w:val="00E428A9"/>
    <w:rsid w:val="00E42AE0"/>
    <w:rsid w:val="00E42FEB"/>
    <w:rsid w:val="00E4316D"/>
    <w:rsid w:val="00E446E9"/>
    <w:rsid w:val="00E449B2"/>
    <w:rsid w:val="00E45DC1"/>
    <w:rsid w:val="00E4611A"/>
    <w:rsid w:val="00E47D0A"/>
    <w:rsid w:val="00E47DD2"/>
    <w:rsid w:val="00E50E6C"/>
    <w:rsid w:val="00E516E5"/>
    <w:rsid w:val="00E51F16"/>
    <w:rsid w:val="00E52860"/>
    <w:rsid w:val="00E52BEF"/>
    <w:rsid w:val="00E53386"/>
    <w:rsid w:val="00E5410E"/>
    <w:rsid w:val="00E54C0E"/>
    <w:rsid w:val="00E553E2"/>
    <w:rsid w:val="00E55EA9"/>
    <w:rsid w:val="00E562B6"/>
    <w:rsid w:val="00E5719F"/>
    <w:rsid w:val="00E57832"/>
    <w:rsid w:val="00E578DD"/>
    <w:rsid w:val="00E602D2"/>
    <w:rsid w:val="00E60ABF"/>
    <w:rsid w:val="00E610CE"/>
    <w:rsid w:val="00E611EF"/>
    <w:rsid w:val="00E61265"/>
    <w:rsid w:val="00E6186E"/>
    <w:rsid w:val="00E61B62"/>
    <w:rsid w:val="00E61D0D"/>
    <w:rsid w:val="00E62736"/>
    <w:rsid w:val="00E62EC8"/>
    <w:rsid w:val="00E63248"/>
    <w:rsid w:val="00E635C7"/>
    <w:rsid w:val="00E649AC"/>
    <w:rsid w:val="00E64A03"/>
    <w:rsid w:val="00E64A59"/>
    <w:rsid w:val="00E64CC5"/>
    <w:rsid w:val="00E6558F"/>
    <w:rsid w:val="00E65B53"/>
    <w:rsid w:val="00E662CA"/>
    <w:rsid w:val="00E667D6"/>
    <w:rsid w:val="00E672AC"/>
    <w:rsid w:val="00E6762B"/>
    <w:rsid w:val="00E678B6"/>
    <w:rsid w:val="00E6799E"/>
    <w:rsid w:val="00E67BA5"/>
    <w:rsid w:val="00E67DD6"/>
    <w:rsid w:val="00E70719"/>
    <w:rsid w:val="00E7171F"/>
    <w:rsid w:val="00E71A82"/>
    <w:rsid w:val="00E72FE8"/>
    <w:rsid w:val="00E74541"/>
    <w:rsid w:val="00E74D1C"/>
    <w:rsid w:val="00E74E45"/>
    <w:rsid w:val="00E753E2"/>
    <w:rsid w:val="00E75868"/>
    <w:rsid w:val="00E75952"/>
    <w:rsid w:val="00E75E4F"/>
    <w:rsid w:val="00E765B9"/>
    <w:rsid w:val="00E7675B"/>
    <w:rsid w:val="00E76F7C"/>
    <w:rsid w:val="00E77C64"/>
    <w:rsid w:val="00E77CB0"/>
    <w:rsid w:val="00E77DD7"/>
    <w:rsid w:val="00E815D8"/>
    <w:rsid w:val="00E81C55"/>
    <w:rsid w:val="00E81FC9"/>
    <w:rsid w:val="00E82F6A"/>
    <w:rsid w:val="00E8326B"/>
    <w:rsid w:val="00E8331D"/>
    <w:rsid w:val="00E836DD"/>
    <w:rsid w:val="00E839AF"/>
    <w:rsid w:val="00E8448C"/>
    <w:rsid w:val="00E8490E"/>
    <w:rsid w:val="00E84F90"/>
    <w:rsid w:val="00E853DE"/>
    <w:rsid w:val="00E855E1"/>
    <w:rsid w:val="00E862D3"/>
    <w:rsid w:val="00E875E0"/>
    <w:rsid w:val="00E90186"/>
    <w:rsid w:val="00E901AC"/>
    <w:rsid w:val="00E909F6"/>
    <w:rsid w:val="00E90C6E"/>
    <w:rsid w:val="00E90D73"/>
    <w:rsid w:val="00E91863"/>
    <w:rsid w:val="00E92004"/>
    <w:rsid w:val="00E92101"/>
    <w:rsid w:val="00E92296"/>
    <w:rsid w:val="00E928AC"/>
    <w:rsid w:val="00E93090"/>
    <w:rsid w:val="00E93B34"/>
    <w:rsid w:val="00E94030"/>
    <w:rsid w:val="00E94301"/>
    <w:rsid w:val="00E9461E"/>
    <w:rsid w:val="00E953D1"/>
    <w:rsid w:val="00E95A24"/>
    <w:rsid w:val="00E95B6A"/>
    <w:rsid w:val="00E95D81"/>
    <w:rsid w:val="00E960BC"/>
    <w:rsid w:val="00E96602"/>
    <w:rsid w:val="00E977BC"/>
    <w:rsid w:val="00E97A36"/>
    <w:rsid w:val="00EA01F5"/>
    <w:rsid w:val="00EA0E17"/>
    <w:rsid w:val="00EA1173"/>
    <w:rsid w:val="00EA130E"/>
    <w:rsid w:val="00EA1391"/>
    <w:rsid w:val="00EA2B9D"/>
    <w:rsid w:val="00EA2DD7"/>
    <w:rsid w:val="00EA2E61"/>
    <w:rsid w:val="00EA3359"/>
    <w:rsid w:val="00EA3360"/>
    <w:rsid w:val="00EA3916"/>
    <w:rsid w:val="00EA3966"/>
    <w:rsid w:val="00EA3AAD"/>
    <w:rsid w:val="00EA3C14"/>
    <w:rsid w:val="00EA3CB2"/>
    <w:rsid w:val="00EA3E31"/>
    <w:rsid w:val="00EA4041"/>
    <w:rsid w:val="00EA57CD"/>
    <w:rsid w:val="00EB00CA"/>
    <w:rsid w:val="00EB06D9"/>
    <w:rsid w:val="00EB0E4B"/>
    <w:rsid w:val="00EB19A5"/>
    <w:rsid w:val="00EB2053"/>
    <w:rsid w:val="00EB2661"/>
    <w:rsid w:val="00EB2BEF"/>
    <w:rsid w:val="00EB2C22"/>
    <w:rsid w:val="00EB319F"/>
    <w:rsid w:val="00EB32C1"/>
    <w:rsid w:val="00EB3A37"/>
    <w:rsid w:val="00EB3DBF"/>
    <w:rsid w:val="00EB4B12"/>
    <w:rsid w:val="00EB4D18"/>
    <w:rsid w:val="00EB4F2F"/>
    <w:rsid w:val="00EB5DF7"/>
    <w:rsid w:val="00EB60AB"/>
    <w:rsid w:val="00EB628E"/>
    <w:rsid w:val="00EB72B7"/>
    <w:rsid w:val="00EC0212"/>
    <w:rsid w:val="00EC03A8"/>
    <w:rsid w:val="00EC03BC"/>
    <w:rsid w:val="00EC04D2"/>
    <w:rsid w:val="00EC0921"/>
    <w:rsid w:val="00EC1089"/>
    <w:rsid w:val="00EC141A"/>
    <w:rsid w:val="00EC1F74"/>
    <w:rsid w:val="00EC2295"/>
    <w:rsid w:val="00EC270E"/>
    <w:rsid w:val="00EC29D6"/>
    <w:rsid w:val="00EC2FC0"/>
    <w:rsid w:val="00EC3023"/>
    <w:rsid w:val="00EC34A2"/>
    <w:rsid w:val="00EC3BF5"/>
    <w:rsid w:val="00EC3DD3"/>
    <w:rsid w:val="00EC516C"/>
    <w:rsid w:val="00EC51C6"/>
    <w:rsid w:val="00EC53C8"/>
    <w:rsid w:val="00EC5815"/>
    <w:rsid w:val="00EC58EF"/>
    <w:rsid w:val="00EC5EB9"/>
    <w:rsid w:val="00EC6529"/>
    <w:rsid w:val="00EC663D"/>
    <w:rsid w:val="00EC6BD0"/>
    <w:rsid w:val="00EC6BED"/>
    <w:rsid w:val="00EC6C9C"/>
    <w:rsid w:val="00EC6E71"/>
    <w:rsid w:val="00ED0625"/>
    <w:rsid w:val="00ED0D6D"/>
    <w:rsid w:val="00ED1019"/>
    <w:rsid w:val="00ED1761"/>
    <w:rsid w:val="00ED24BF"/>
    <w:rsid w:val="00ED2874"/>
    <w:rsid w:val="00ED2AC6"/>
    <w:rsid w:val="00ED2B4D"/>
    <w:rsid w:val="00ED2BF1"/>
    <w:rsid w:val="00ED2DF5"/>
    <w:rsid w:val="00ED33F4"/>
    <w:rsid w:val="00ED4546"/>
    <w:rsid w:val="00ED4782"/>
    <w:rsid w:val="00ED48DE"/>
    <w:rsid w:val="00ED503D"/>
    <w:rsid w:val="00ED5A0B"/>
    <w:rsid w:val="00ED5BAB"/>
    <w:rsid w:val="00ED631C"/>
    <w:rsid w:val="00ED6459"/>
    <w:rsid w:val="00ED6742"/>
    <w:rsid w:val="00ED73DE"/>
    <w:rsid w:val="00ED742E"/>
    <w:rsid w:val="00ED7C57"/>
    <w:rsid w:val="00EE0266"/>
    <w:rsid w:val="00EE0320"/>
    <w:rsid w:val="00EE0412"/>
    <w:rsid w:val="00EE1066"/>
    <w:rsid w:val="00EE1551"/>
    <w:rsid w:val="00EE20F2"/>
    <w:rsid w:val="00EE2296"/>
    <w:rsid w:val="00EE23CA"/>
    <w:rsid w:val="00EE2C89"/>
    <w:rsid w:val="00EE3560"/>
    <w:rsid w:val="00EE3726"/>
    <w:rsid w:val="00EE4D67"/>
    <w:rsid w:val="00EE5DD3"/>
    <w:rsid w:val="00EE6208"/>
    <w:rsid w:val="00EE6678"/>
    <w:rsid w:val="00EE6A80"/>
    <w:rsid w:val="00EE6E65"/>
    <w:rsid w:val="00EE6FCF"/>
    <w:rsid w:val="00EE7157"/>
    <w:rsid w:val="00EE743F"/>
    <w:rsid w:val="00EE7A2D"/>
    <w:rsid w:val="00EF099E"/>
    <w:rsid w:val="00EF0D91"/>
    <w:rsid w:val="00EF109C"/>
    <w:rsid w:val="00EF11F7"/>
    <w:rsid w:val="00EF1628"/>
    <w:rsid w:val="00EF21E9"/>
    <w:rsid w:val="00EF3375"/>
    <w:rsid w:val="00EF364A"/>
    <w:rsid w:val="00EF4018"/>
    <w:rsid w:val="00EF413E"/>
    <w:rsid w:val="00EF4A4B"/>
    <w:rsid w:val="00EF4C69"/>
    <w:rsid w:val="00EF4EFB"/>
    <w:rsid w:val="00EF54D7"/>
    <w:rsid w:val="00EF583B"/>
    <w:rsid w:val="00EF5B1C"/>
    <w:rsid w:val="00EF6480"/>
    <w:rsid w:val="00EF6919"/>
    <w:rsid w:val="00EF6E6E"/>
    <w:rsid w:val="00EF781E"/>
    <w:rsid w:val="00EF7ED6"/>
    <w:rsid w:val="00F00419"/>
    <w:rsid w:val="00F01522"/>
    <w:rsid w:val="00F01589"/>
    <w:rsid w:val="00F01D30"/>
    <w:rsid w:val="00F02653"/>
    <w:rsid w:val="00F03306"/>
    <w:rsid w:val="00F03368"/>
    <w:rsid w:val="00F03EB4"/>
    <w:rsid w:val="00F0441B"/>
    <w:rsid w:val="00F0463E"/>
    <w:rsid w:val="00F0494C"/>
    <w:rsid w:val="00F04AAA"/>
    <w:rsid w:val="00F04FA2"/>
    <w:rsid w:val="00F054C0"/>
    <w:rsid w:val="00F05513"/>
    <w:rsid w:val="00F06590"/>
    <w:rsid w:val="00F065BF"/>
    <w:rsid w:val="00F065D3"/>
    <w:rsid w:val="00F0678B"/>
    <w:rsid w:val="00F0681F"/>
    <w:rsid w:val="00F0714E"/>
    <w:rsid w:val="00F074B6"/>
    <w:rsid w:val="00F0753F"/>
    <w:rsid w:val="00F10941"/>
    <w:rsid w:val="00F10C14"/>
    <w:rsid w:val="00F10FCE"/>
    <w:rsid w:val="00F1199D"/>
    <w:rsid w:val="00F12435"/>
    <w:rsid w:val="00F12DF9"/>
    <w:rsid w:val="00F1313B"/>
    <w:rsid w:val="00F1361C"/>
    <w:rsid w:val="00F14284"/>
    <w:rsid w:val="00F144B8"/>
    <w:rsid w:val="00F14EA4"/>
    <w:rsid w:val="00F153B2"/>
    <w:rsid w:val="00F15970"/>
    <w:rsid w:val="00F16141"/>
    <w:rsid w:val="00F16A38"/>
    <w:rsid w:val="00F16D3F"/>
    <w:rsid w:val="00F16E1C"/>
    <w:rsid w:val="00F170E3"/>
    <w:rsid w:val="00F1741E"/>
    <w:rsid w:val="00F17C5A"/>
    <w:rsid w:val="00F20170"/>
    <w:rsid w:val="00F20293"/>
    <w:rsid w:val="00F20323"/>
    <w:rsid w:val="00F203E2"/>
    <w:rsid w:val="00F206E1"/>
    <w:rsid w:val="00F2080B"/>
    <w:rsid w:val="00F2147C"/>
    <w:rsid w:val="00F21956"/>
    <w:rsid w:val="00F21FD9"/>
    <w:rsid w:val="00F2234C"/>
    <w:rsid w:val="00F223C3"/>
    <w:rsid w:val="00F22669"/>
    <w:rsid w:val="00F23316"/>
    <w:rsid w:val="00F23350"/>
    <w:rsid w:val="00F23763"/>
    <w:rsid w:val="00F240A1"/>
    <w:rsid w:val="00F246C4"/>
    <w:rsid w:val="00F24B3D"/>
    <w:rsid w:val="00F24C76"/>
    <w:rsid w:val="00F24E7F"/>
    <w:rsid w:val="00F24F41"/>
    <w:rsid w:val="00F24FBA"/>
    <w:rsid w:val="00F251CB"/>
    <w:rsid w:val="00F257C0"/>
    <w:rsid w:val="00F25AE4"/>
    <w:rsid w:val="00F25B61"/>
    <w:rsid w:val="00F25FC6"/>
    <w:rsid w:val="00F2641D"/>
    <w:rsid w:val="00F26915"/>
    <w:rsid w:val="00F26DD7"/>
    <w:rsid w:val="00F274FA"/>
    <w:rsid w:val="00F2776B"/>
    <w:rsid w:val="00F27C1E"/>
    <w:rsid w:val="00F300A5"/>
    <w:rsid w:val="00F30464"/>
    <w:rsid w:val="00F308E6"/>
    <w:rsid w:val="00F30CBF"/>
    <w:rsid w:val="00F30FF0"/>
    <w:rsid w:val="00F312CC"/>
    <w:rsid w:val="00F31E15"/>
    <w:rsid w:val="00F32C52"/>
    <w:rsid w:val="00F3304D"/>
    <w:rsid w:val="00F333A5"/>
    <w:rsid w:val="00F33BC6"/>
    <w:rsid w:val="00F34028"/>
    <w:rsid w:val="00F3405F"/>
    <w:rsid w:val="00F3410F"/>
    <w:rsid w:val="00F3457B"/>
    <w:rsid w:val="00F3463D"/>
    <w:rsid w:val="00F34709"/>
    <w:rsid w:val="00F350A9"/>
    <w:rsid w:val="00F36531"/>
    <w:rsid w:val="00F372C9"/>
    <w:rsid w:val="00F4005E"/>
    <w:rsid w:val="00F403F4"/>
    <w:rsid w:val="00F4042F"/>
    <w:rsid w:val="00F40D47"/>
    <w:rsid w:val="00F410E5"/>
    <w:rsid w:val="00F410FB"/>
    <w:rsid w:val="00F41621"/>
    <w:rsid w:val="00F4187B"/>
    <w:rsid w:val="00F42447"/>
    <w:rsid w:val="00F427E8"/>
    <w:rsid w:val="00F428F2"/>
    <w:rsid w:val="00F42DFA"/>
    <w:rsid w:val="00F431D1"/>
    <w:rsid w:val="00F43AD0"/>
    <w:rsid w:val="00F43ADF"/>
    <w:rsid w:val="00F44C6C"/>
    <w:rsid w:val="00F44CB8"/>
    <w:rsid w:val="00F44EE9"/>
    <w:rsid w:val="00F44FE7"/>
    <w:rsid w:val="00F45025"/>
    <w:rsid w:val="00F4531A"/>
    <w:rsid w:val="00F45B3F"/>
    <w:rsid w:val="00F45CE7"/>
    <w:rsid w:val="00F45D1A"/>
    <w:rsid w:val="00F467B1"/>
    <w:rsid w:val="00F46F35"/>
    <w:rsid w:val="00F46FDB"/>
    <w:rsid w:val="00F47195"/>
    <w:rsid w:val="00F471AB"/>
    <w:rsid w:val="00F5008F"/>
    <w:rsid w:val="00F5025C"/>
    <w:rsid w:val="00F50784"/>
    <w:rsid w:val="00F5146F"/>
    <w:rsid w:val="00F51BB8"/>
    <w:rsid w:val="00F523DA"/>
    <w:rsid w:val="00F525B3"/>
    <w:rsid w:val="00F52CDF"/>
    <w:rsid w:val="00F52DA7"/>
    <w:rsid w:val="00F531CC"/>
    <w:rsid w:val="00F53E1A"/>
    <w:rsid w:val="00F554B3"/>
    <w:rsid w:val="00F56387"/>
    <w:rsid w:val="00F5642E"/>
    <w:rsid w:val="00F56D15"/>
    <w:rsid w:val="00F572B6"/>
    <w:rsid w:val="00F57A16"/>
    <w:rsid w:val="00F600F3"/>
    <w:rsid w:val="00F6022E"/>
    <w:rsid w:val="00F60E80"/>
    <w:rsid w:val="00F610D7"/>
    <w:rsid w:val="00F6124A"/>
    <w:rsid w:val="00F6126D"/>
    <w:rsid w:val="00F61272"/>
    <w:rsid w:val="00F61ACD"/>
    <w:rsid w:val="00F61B48"/>
    <w:rsid w:val="00F627FF"/>
    <w:rsid w:val="00F62C75"/>
    <w:rsid w:val="00F62CEE"/>
    <w:rsid w:val="00F62F0B"/>
    <w:rsid w:val="00F6417D"/>
    <w:rsid w:val="00F643F0"/>
    <w:rsid w:val="00F645BB"/>
    <w:rsid w:val="00F6464B"/>
    <w:rsid w:val="00F64E62"/>
    <w:rsid w:val="00F65C45"/>
    <w:rsid w:val="00F664D6"/>
    <w:rsid w:val="00F671F5"/>
    <w:rsid w:val="00F67797"/>
    <w:rsid w:val="00F67B05"/>
    <w:rsid w:val="00F67C0C"/>
    <w:rsid w:val="00F703A1"/>
    <w:rsid w:val="00F7064C"/>
    <w:rsid w:val="00F7161D"/>
    <w:rsid w:val="00F717BD"/>
    <w:rsid w:val="00F71D8B"/>
    <w:rsid w:val="00F724E6"/>
    <w:rsid w:val="00F73979"/>
    <w:rsid w:val="00F73D17"/>
    <w:rsid w:val="00F74CFA"/>
    <w:rsid w:val="00F75055"/>
    <w:rsid w:val="00F75405"/>
    <w:rsid w:val="00F7548A"/>
    <w:rsid w:val="00F75594"/>
    <w:rsid w:val="00F76339"/>
    <w:rsid w:val="00F76B79"/>
    <w:rsid w:val="00F7730F"/>
    <w:rsid w:val="00F776A4"/>
    <w:rsid w:val="00F77F38"/>
    <w:rsid w:val="00F8080C"/>
    <w:rsid w:val="00F80868"/>
    <w:rsid w:val="00F80FAD"/>
    <w:rsid w:val="00F8130A"/>
    <w:rsid w:val="00F8138E"/>
    <w:rsid w:val="00F81DAF"/>
    <w:rsid w:val="00F820BF"/>
    <w:rsid w:val="00F824FF"/>
    <w:rsid w:val="00F8273B"/>
    <w:rsid w:val="00F82BF9"/>
    <w:rsid w:val="00F82CBE"/>
    <w:rsid w:val="00F83FCA"/>
    <w:rsid w:val="00F8419D"/>
    <w:rsid w:val="00F844F8"/>
    <w:rsid w:val="00F84753"/>
    <w:rsid w:val="00F84B93"/>
    <w:rsid w:val="00F855B3"/>
    <w:rsid w:val="00F85662"/>
    <w:rsid w:val="00F85BB6"/>
    <w:rsid w:val="00F85C20"/>
    <w:rsid w:val="00F85C73"/>
    <w:rsid w:val="00F86245"/>
    <w:rsid w:val="00F86686"/>
    <w:rsid w:val="00F86F4F"/>
    <w:rsid w:val="00F8775F"/>
    <w:rsid w:val="00F877D0"/>
    <w:rsid w:val="00F87BBF"/>
    <w:rsid w:val="00F905CB"/>
    <w:rsid w:val="00F908BC"/>
    <w:rsid w:val="00F90CC4"/>
    <w:rsid w:val="00F90E31"/>
    <w:rsid w:val="00F90F4E"/>
    <w:rsid w:val="00F91B02"/>
    <w:rsid w:val="00F91BA5"/>
    <w:rsid w:val="00F91BDC"/>
    <w:rsid w:val="00F91D25"/>
    <w:rsid w:val="00F92138"/>
    <w:rsid w:val="00F9227B"/>
    <w:rsid w:val="00F923BE"/>
    <w:rsid w:val="00F92E19"/>
    <w:rsid w:val="00F93227"/>
    <w:rsid w:val="00F93566"/>
    <w:rsid w:val="00F935DA"/>
    <w:rsid w:val="00F93D7A"/>
    <w:rsid w:val="00F94CBA"/>
    <w:rsid w:val="00F954A0"/>
    <w:rsid w:val="00F95686"/>
    <w:rsid w:val="00F95DA8"/>
    <w:rsid w:val="00F96268"/>
    <w:rsid w:val="00F96994"/>
    <w:rsid w:val="00F972EC"/>
    <w:rsid w:val="00F9734C"/>
    <w:rsid w:val="00F97CC0"/>
    <w:rsid w:val="00FA13C9"/>
    <w:rsid w:val="00FA1466"/>
    <w:rsid w:val="00FA1BBC"/>
    <w:rsid w:val="00FA20D0"/>
    <w:rsid w:val="00FA21D2"/>
    <w:rsid w:val="00FA22CE"/>
    <w:rsid w:val="00FA23DC"/>
    <w:rsid w:val="00FA2ADD"/>
    <w:rsid w:val="00FA2BFB"/>
    <w:rsid w:val="00FA3669"/>
    <w:rsid w:val="00FA3746"/>
    <w:rsid w:val="00FA3A79"/>
    <w:rsid w:val="00FA3C6C"/>
    <w:rsid w:val="00FA3FBC"/>
    <w:rsid w:val="00FA48BF"/>
    <w:rsid w:val="00FA4DB3"/>
    <w:rsid w:val="00FA4E14"/>
    <w:rsid w:val="00FA5518"/>
    <w:rsid w:val="00FA5BFB"/>
    <w:rsid w:val="00FA5DDC"/>
    <w:rsid w:val="00FA600C"/>
    <w:rsid w:val="00FA613E"/>
    <w:rsid w:val="00FA616E"/>
    <w:rsid w:val="00FA6E44"/>
    <w:rsid w:val="00FA6F56"/>
    <w:rsid w:val="00FA719B"/>
    <w:rsid w:val="00FA7547"/>
    <w:rsid w:val="00FA7D12"/>
    <w:rsid w:val="00FA7DA2"/>
    <w:rsid w:val="00FB0424"/>
    <w:rsid w:val="00FB094C"/>
    <w:rsid w:val="00FB12B9"/>
    <w:rsid w:val="00FB2A69"/>
    <w:rsid w:val="00FB3B24"/>
    <w:rsid w:val="00FB41DF"/>
    <w:rsid w:val="00FB45A7"/>
    <w:rsid w:val="00FB46AB"/>
    <w:rsid w:val="00FB4906"/>
    <w:rsid w:val="00FB4A0C"/>
    <w:rsid w:val="00FB5C66"/>
    <w:rsid w:val="00FB60A7"/>
    <w:rsid w:val="00FB668A"/>
    <w:rsid w:val="00FB75AB"/>
    <w:rsid w:val="00FB7674"/>
    <w:rsid w:val="00FC0E03"/>
    <w:rsid w:val="00FC10E5"/>
    <w:rsid w:val="00FC118E"/>
    <w:rsid w:val="00FC17B1"/>
    <w:rsid w:val="00FC1F26"/>
    <w:rsid w:val="00FC2140"/>
    <w:rsid w:val="00FC21BC"/>
    <w:rsid w:val="00FC2469"/>
    <w:rsid w:val="00FC2F12"/>
    <w:rsid w:val="00FC343C"/>
    <w:rsid w:val="00FC3942"/>
    <w:rsid w:val="00FC3A6F"/>
    <w:rsid w:val="00FC3ADE"/>
    <w:rsid w:val="00FC426A"/>
    <w:rsid w:val="00FC4950"/>
    <w:rsid w:val="00FC4B3D"/>
    <w:rsid w:val="00FC4E5D"/>
    <w:rsid w:val="00FC5507"/>
    <w:rsid w:val="00FC60A7"/>
    <w:rsid w:val="00FC622A"/>
    <w:rsid w:val="00FC6F49"/>
    <w:rsid w:val="00FC6FD8"/>
    <w:rsid w:val="00FC7727"/>
    <w:rsid w:val="00FD0546"/>
    <w:rsid w:val="00FD0628"/>
    <w:rsid w:val="00FD0926"/>
    <w:rsid w:val="00FD1554"/>
    <w:rsid w:val="00FD19CE"/>
    <w:rsid w:val="00FD1FDF"/>
    <w:rsid w:val="00FD2ABB"/>
    <w:rsid w:val="00FD2D65"/>
    <w:rsid w:val="00FD2EC7"/>
    <w:rsid w:val="00FD35AB"/>
    <w:rsid w:val="00FD3657"/>
    <w:rsid w:val="00FD49C1"/>
    <w:rsid w:val="00FD63F3"/>
    <w:rsid w:val="00FD66CD"/>
    <w:rsid w:val="00FD6752"/>
    <w:rsid w:val="00FD684D"/>
    <w:rsid w:val="00FD732C"/>
    <w:rsid w:val="00FD79D9"/>
    <w:rsid w:val="00FD7BE8"/>
    <w:rsid w:val="00FE0E43"/>
    <w:rsid w:val="00FE1073"/>
    <w:rsid w:val="00FE1475"/>
    <w:rsid w:val="00FE1FD5"/>
    <w:rsid w:val="00FE211B"/>
    <w:rsid w:val="00FE2A06"/>
    <w:rsid w:val="00FE32D6"/>
    <w:rsid w:val="00FE4695"/>
    <w:rsid w:val="00FE4B23"/>
    <w:rsid w:val="00FE4CDC"/>
    <w:rsid w:val="00FE524C"/>
    <w:rsid w:val="00FE5578"/>
    <w:rsid w:val="00FE56AC"/>
    <w:rsid w:val="00FE625F"/>
    <w:rsid w:val="00FE64B4"/>
    <w:rsid w:val="00FE7FE8"/>
    <w:rsid w:val="00FF0104"/>
    <w:rsid w:val="00FF1006"/>
    <w:rsid w:val="00FF1193"/>
    <w:rsid w:val="00FF1B34"/>
    <w:rsid w:val="00FF2039"/>
    <w:rsid w:val="00FF2133"/>
    <w:rsid w:val="00FF234E"/>
    <w:rsid w:val="00FF2B1C"/>
    <w:rsid w:val="00FF30C2"/>
    <w:rsid w:val="00FF31BB"/>
    <w:rsid w:val="00FF367E"/>
    <w:rsid w:val="00FF3999"/>
    <w:rsid w:val="00FF3D00"/>
    <w:rsid w:val="00FF3F0A"/>
    <w:rsid w:val="00FF4945"/>
    <w:rsid w:val="00FF590A"/>
    <w:rsid w:val="00FF621B"/>
    <w:rsid w:val="00FF6452"/>
    <w:rsid w:val="00FF6AE1"/>
    <w:rsid w:val="00FF6B0A"/>
    <w:rsid w:val="00FF7159"/>
    <w:rsid w:val="00FF7232"/>
    <w:rsid w:val="00FF7888"/>
    <w:rsid w:val="00FF7ADF"/>
    <w:rsid w:val="01010408"/>
    <w:rsid w:val="010D1B04"/>
    <w:rsid w:val="01182E5E"/>
    <w:rsid w:val="014E1D9C"/>
    <w:rsid w:val="014E74CE"/>
    <w:rsid w:val="01A44E05"/>
    <w:rsid w:val="01C950CF"/>
    <w:rsid w:val="01D0713D"/>
    <w:rsid w:val="01E2096B"/>
    <w:rsid w:val="020948F0"/>
    <w:rsid w:val="022A41BD"/>
    <w:rsid w:val="022A726D"/>
    <w:rsid w:val="02400466"/>
    <w:rsid w:val="0240076B"/>
    <w:rsid w:val="02592ED3"/>
    <w:rsid w:val="027235C6"/>
    <w:rsid w:val="02734792"/>
    <w:rsid w:val="028A6A7F"/>
    <w:rsid w:val="028F4A0E"/>
    <w:rsid w:val="02BD5424"/>
    <w:rsid w:val="02C372DA"/>
    <w:rsid w:val="02D2752A"/>
    <w:rsid w:val="02E306BB"/>
    <w:rsid w:val="031F7BD4"/>
    <w:rsid w:val="033E3951"/>
    <w:rsid w:val="0376146E"/>
    <w:rsid w:val="03A24B3D"/>
    <w:rsid w:val="03BF4015"/>
    <w:rsid w:val="03CB4DA1"/>
    <w:rsid w:val="03CC5E9B"/>
    <w:rsid w:val="03F60609"/>
    <w:rsid w:val="0406315B"/>
    <w:rsid w:val="04152C7F"/>
    <w:rsid w:val="04157D27"/>
    <w:rsid w:val="042428BE"/>
    <w:rsid w:val="0457632B"/>
    <w:rsid w:val="048E2D7E"/>
    <w:rsid w:val="04961737"/>
    <w:rsid w:val="04A266D7"/>
    <w:rsid w:val="04A94609"/>
    <w:rsid w:val="04AB79F6"/>
    <w:rsid w:val="04AC3195"/>
    <w:rsid w:val="04F72AA5"/>
    <w:rsid w:val="04FA2030"/>
    <w:rsid w:val="05005AEC"/>
    <w:rsid w:val="053B19B8"/>
    <w:rsid w:val="056C0F61"/>
    <w:rsid w:val="056F2664"/>
    <w:rsid w:val="058E5378"/>
    <w:rsid w:val="05B51880"/>
    <w:rsid w:val="05BE746C"/>
    <w:rsid w:val="05EB2576"/>
    <w:rsid w:val="05ED4C45"/>
    <w:rsid w:val="0602632F"/>
    <w:rsid w:val="06090B04"/>
    <w:rsid w:val="06177710"/>
    <w:rsid w:val="062D7A9E"/>
    <w:rsid w:val="06645407"/>
    <w:rsid w:val="06982D53"/>
    <w:rsid w:val="06A7361C"/>
    <w:rsid w:val="06B111DE"/>
    <w:rsid w:val="06C13682"/>
    <w:rsid w:val="07106873"/>
    <w:rsid w:val="07190AB8"/>
    <w:rsid w:val="07547E58"/>
    <w:rsid w:val="07683F41"/>
    <w:rsid w:val="07796893"/>
    <w:rsid w:val="07AC1341"/>
    <w:rsid w:val="07AE2415"/>
    <w:rsid w:val="07CB2743"/>
    <w:rsid w:val="08313CE6"/>
    <w:rsid w:val="08345A39"/>
    <w:rsid w:val="08C72DD2"/>
    <w:rsid w:val="094952B9"/>
    <w:rsid w:val="0985356F"/>
    <w:rsid w:val="09CB3C76"/>
    <w:rsid w:val="09D22855"/>
    <w:rsid w:val="0A0645AE"/>
    <w:rsid w:val="0A07110A"/>
    <w:rsid w:val="0A181BE2"/>
    <w:rsid w:val="0A1C72DC"/>
    <w:rsid w:val="0A2D04B6"/>
    <w:rsid w:val="0A380E25"/>
    <w:rsid w:val="0A3A5298"/>
    <w:rsid w:val="0A715EB2"/>
    <w:rsid w:val="0A871636"/>
    <w:rsid w:val="0A9457B6"/>
    <w:rsid w:val="0ABB6AD4"/>
    <w:rsid w:val="0AC83B84"/>
    <w:rsid w:val="0AD72BEA"/>
    <w:rsid w:val="0ADE34B6"/>
    <w:rsid w:val="0B1227DE"/>
    <w:rsid w:val="0B223116"/>
    <w:rsid w:val="0B302FFB"/>
    <w:rsid w:val="0B5D3A8D"/>
    <w:rsid w:val="0B6939EF"/>
    <w:rsid w:val="0B705727"/>
    <w:rsid w:val="0B7802A7"/>
    <w:rsid w:val="0B7D412A"/>
    <w:rsid w:val="0B990439"/>
    <w:rsid w:val="0BDA132E"/>
    <w:rsid w:val="0BE02F1D"/>
    <w:rsid w:val="0BE74AA2"/>
    <w:rsid w:val="0C0235CF"/>
    <w:rsid w:val="0C421E32"/>
    <w:rsid w:val="0C6D2E47"/>
    <w:rsid w:val="0C70680B"/>
    <w:rsid w:val="0C774C5E"/>
    <w:rsid w:val="0CAA3477"/>
    <w:rsid w:val="0CB40335"/>
    <w:rsid w:val="0CB645CC"/>
    <w:rsid w:val="0CBF0AF4"/>
    <w:rsid w:val="0CD13630"/>
    <w:rsid w:val="0D391E83"/>
    <w:rsid w:val="0D5B5533"/>
    <w:rsid w:val="0D630173"/>
    <w:rsid w:val="0D735E74"/>
    <w:rsid w:val="0DD73809"/>
    <w:rsid w:val="0DDD2C05"/>
    <w:rsid w:val="0E012A71"/>
    <w:rsid w:val="0E7406FE"/>
    <w:rsid w:val="0E93368C"/>
    <w:rsid w:val="0EC73979"/>
    <w:rsid w:val="0ECA47C9"/>
    <w:rsid w:val="0EFC06C6"/>
    <w:rsid w:val="0F362943"/>
    <w:rsid w:val="0F3966E9"/>
    <w:rsid w:val="0F3B1476"/>
    <w:rsid w:val="0F465E8A"/>
    <w:rsid w:val="0F46796D"/>
    <w:rsid w:val="0F8B3FA3"/>
    <w:rsid w:val="0F952A90"/>
    <w:rsid w:val="0FAA0772"/>
    <w:rsid w:val="0FDE7567"/>
    <w:rsid w:val="0FE00754"/>
    <w:rsid w:val="0FEC65BB"/>
    <w:rsid w:val="10375562"/>
    <w:rsid w:val="1066352A"/>
    <w:rsid w:val="1093704A"/>
    <w:rsid w:val="109D405D"/>
    <w:rsid w:val="10CE5DDE"/>
    <w:rsid w:val="10DF60E9"/>
    <w:rsid w:val="10E41F09"/>
    <w:rsid w:val="112A0357"/>
    <w:rsid w:val="112F5B47"/>
    <w:rsid w:val="114A4AB8"/>
    <w:rsid w:val="11640B4C"/>
    <w:rsid w:val="11797D1A"/>
    <w:rsid w:val="119E2BBE"/>
    <w:rsid w:val="11BC0106"/>
    <w:rsid w:val="1201596E"/>
    <w:rsid w:val="120C60CF"/>
    <w:rsid w:val="12141777"/>
    <w:rsid w:val="121A2F40"/>
    <w:rsid w:val="122F6075"/>
    <w:rsid w:val="126A11B6"/>
    <w:rsid w:val="12A829B4"/>
    <w:rsid w:val="12EE5E3F"/>
    <w:rsid w:val="131D6AF2"/>
    <w:rsid w:val="131E47E0"/>
    <w:rsid w:val="13320E81"/>
    <w:rsid w:val="134D3BF6"/>
    <w:rsid w:val="134D624E"/>
    <w:rsid w:val="13795169"/>
    <w:rsid w:val="14005B15"/>
    <w:rsid w:val="148717FE"/>
    <w:rsid w:val="149258DF"/>
    <w:rsid w:val="14DE001E"/>
    <w:rsid w:val="14FA5A20"/>
    <w:rsid w:val="151928A2"/>
    <w:rsid w:val="15216FEE"/>
    <w:rsid w:val="15690351"/>
    <w:rsid w:val="156A01E2"/>
    <w:rsid w:val="15B73A91"/>
    <w:rsid w:val="15CE592F"/>
    <w:rsid w:val="15E20CFD"/>
    <w:rsid w:val="15E253FC"/>
    <w:rsid w:val="15F76DBE"/>
    <w:rsid w:val="164527A7"/>
    <w:rsid w:val="165A138C"/>
    <w:rsid w:val="16B27F7B"/>
    <w:rsid w:val="16BC52A1"/>
    <w:rsid w:val="16D1706B"/>
    <w:rsid w:val="16DE3C9C"/>
    <w:rsid w:val="16F009B2"/>
    <w:rsid w:val="16F55DB6"/>
    <w:rsid w:val="17156550"/>
    <w:rsid w:val="175D708B"/>
    <w:rsid w:val="176D7BB6"/>
    <w:rsid w:val="178337F7"/>
    <w:rsid w:val="17A24B8B"/>
    <w:rsid w:val="17A92BDF"/>
    <w:rsid w:val="17B80C3F"/>
    <w:rsid w:val="17C0020D"/>
    <w:rsid w:val="17D02297"/>
    <w:rsid w:val="17DE319F"/>
    <w:rsid w:val="18EC3736"/>
    <w:rsid w:val="18F94ABF"/>
    <w:rsid w:val="19726D47"/>
    <w:rsid w:val="19853E9B"/>
    <w:rsid w:val="19EA7EC8"/>
    <w:rsid w:val="1A20037A"/>
    <w:rsid w:val="1A6D6D72"/>
    <w:rsid w:val="1AA555D7"/>
    <w:rsid w:val="1AAC2C9F"/>
    <w:rsid w:val="1AC75043"/>
    <w:rsid w:val="1AD8421D"/>
    <w:rsid w:val="1AF95B35"/>
    <w:rsid w:val="1B3028B8"/>
    <w:rsid w:val="1B442715"/>
    <w:rsid w:val="1BB6118D"/>
    <w:rsid w:val="1BEF07D4"/>
    <w:rsid w:val="1C352D96"/>
    <w:rsid w:val="1C501327"/>
    <w:rsid w:val="1C6D1A0A"/>
    <w:rsid w:val="1C9020B1"/>
    <w:rsid w:val="1CA532F6"/>
    <w:rsid w:val="1CBD6724"/>
    <w:rsid w:val="1D212D98"/>
    <w:rsid w:val="1D304E6F"/>
    <w:rsid w:val="1DA10BCC"/>
    <w:rsid w:val="1DA33013"/>
    <w:rsid w:val="1DB4658B"/>
    <w:rsid w:val="1DD16229"/>
    <w:rsid w:val="1DDF0627"/>
    <w:rsid w:val="1E0D490E"/>
    <w:rsid w:val="1E135A4A"/>
    <w:rsid w:val="1E4E28C9"/>
    <w:rsid w:val="1E644840"/>
    <w:rsid w:val="1E6C4797"/>
    <w:rsid w:val="1EA13D71"/>
    <w:rsid w:val="1ED20010"/>
    <w:rsid w:val="1EE81746"/>
    <w:rsid w:val="1F57716E"/>
    <w:rsid w:val="1FE34919"/>
    <w:rsid w:val="1FE66299"/>
    <w:rsid w:val="1FFA06EC"/>
    <w:rsid w:val="20073814"/>
    <w:rsid w:val="200F3E0F"/>
    <w:rsid w:val="20487AD4"/>
    <w:rsid w:val="20550841"/>
    <w:rsid w:val="20D23F3B"/>
    <w:rsid w:val="20E60788"/>
    <w:rsid w:val="20E97A70"/>
    <w:rsid w:val="20FB14A6"/>
    <w:rsid w:val="21212036"/>
    <w:rsid w:val="21364BAE"/>
    <w:rsid w:val="219E6732"/>
    <w:rsid w:val="21C96383"/>
    <w:rsid w:val="21F17C91"/>
    <w:rsid w:val="21F55AFB"/>
    <w:rsid w:val="21FB6D72"/>
    <w:rsid w:val="22223255"/>
    <w:rsid w:val="222255EE"/>
    <w:rsid w:val="22254252"/>
    <w:rsid w:val="223C0506"/>
    <w:rsid w:val="22A11139"/>
    <w:rsid w:val="22EF0077"/>
    <w:rsid w:val="22FA455C"/>
    <w:rsid w:val="22FA5EFB"/>
    <w:rsid w:val="23400AFA"/>
    <w:rsid w:val="23474117"/>
    <w:rsid w:val="237B40C5"/>
    <w:rsid w:val="238E2EA5"/>
    <w:rsid w:val="23EC2539"/>
    <w:rsid w:val="23FB0D65"/>
    <w:rsid w:val="241039AF"/>
    <w:rsid w:val="24270FD7"/>
    <w:rsid w:val="24471719"/>
    <w:rsid w:val="245B0DC7"/>
    <w:rsid w:val="24762EA3"/>
    <w:rsid w:val="24794225"/>
    <w:rsid w:val="248A1438"/>
    <w:rsid w:val="24952EE9"/>
    <w:rsid w:val="24C65EFF"/>
    <w:rsid w:val="24D3509F"/>
    <w:rsid w:val="24FE575D"/>
    <w:rsid w:val="255D4793"/>
    <w:rsid w:val="2561060F"/>
    <w:rsid w:val="25BC7A80"/>
    <w:rsid w:val="25EB4426"/>
    <w:rsid w:val="25F75A5E"/>
    <w:rsid w:val="26144CAD"/>
    <w:rsid w:val="26292826"/>
    <w:rsid w:val="26B8122D"/>
    <w:rsid w:val="26D37290"/>
    <w:rsid w:val="273E7AAD"/>
    <w:rsid w:val="275814D8"/>
    <w:rsid w:val="276A6DDC"/>
    <w:rsid w:val="276E36CF"/>
    <w:rsid w:val="27715902"/>
    <w:rsid w:val="27885F04"/>
    <w:rsid w:val="27AF41C0"/>
    <w:rsid w:val="27B96E8B"/>
    <w:rsid w:val="2851008E"/>
    <w:rsid w:val="28BC09DF"/>
    <w:rsid w:val="290121F2"/>
    <w:rsid w:val="291F6159"/>
    <w:rsid w:val="29221527"/>
    <w:rsid w:val="29715599"/>
    <w:rsid w:val="298E5547"/>
    <w:rsid w:val="299A6E75"/>
    <w:rsid w:val="2A14061E"/>
    <w:rsid w:val="2A140BC1"/>
    <w:rsid w:val="2A1700E0"/>
    <w:rsid w:val="2A183790"/>
    <w:rsid w:val="2A9461FA"/>
    <w:rsid w:val="2A9E76C3"/>
    <w:rsid w:val="2AB117A9"/>
    <w:rsid w:val="2AB92320"/>
    <w:rsid w:val="2AE11A00"/>
    <w:rsid w:val="2B3C1862"/>
    <w:rsid w:val="2B4265B2"/>
    <w:rsid w:val="2B4C7E26"/>
    <w:rsid w:val="2B7832F0"/>
    <w:rsid w:val="2BA87956"/>
    <w:rsid w:val="2BAA76C7"/>
    <w:rsid w:val="2BD501A2"/>
    <w:rsid w:val="2C1B330C"/>
    <w:rsid w:val="2C376E65"/>
    <w:rsid w:val="2C597DA9"/>
    <w:rsid w:val="2C5F0588"/>
    <w:rsid w:val="2C69054A"/>
    <w:rsid w:val="2C6C2C3F"/>
    <w:rsid w:val="2C92742C"/>
    <w:rsid w:val="2CD52510"/>
    <w:rsid w:val="2CDB5960"/>
    <w:rsid w:val="2CFC5935"/>
    <w:rsid w:val="2D220523"/>
    <w:rsid w:val="2D335410"/>
    <w:rsid w:val="2D4841F5"/>
    <w:rsid w:val="2DC55609"/>
    <w:rsid w:val="2DF75DC8"/>
    <w:rsid w:val="2E100B4B"/>
    <w:rsid w:val="2E6D014D"/>
    <w:rsid w:val="2E73512F"/>
    <w:rsid w:val="2E970111"/>
    <w:rsid w:val="2E991530"/>
    <w:rsid w:val="2E9E4BC5"/>
    <w:rsid w:val="2EEE7E52"/>
    <w:rsid w:val="2F2F0026"/>
    <w:rsid w:val="2F3A04E6"/>
    <w:rsid w:val="2F5C659D"/>
    <w:rsid w:val="2F7776AF"/>
    <w:rsid w:val="2FE80D3A"/>
    <w:rsid w:val="2FEA3A3B"/>
    <w:rsid w:val="300E2888"/>
    <w:rsid w:val="301866A3"/>
    <w:rsid w:val="306B0E0D"/>
    <w:rsid w:val="306B6480"/>
    <w:rsid w:val="30AC0D57"/>
    <w:rsid w:val="30E30461"/>
    <w:rsid w:val="30E768B4"/>
    <w:rsid w:val="311F70CC"/>
    <w:rsid w:val="31BD54CB"/>
    <w:rsid w:val="31C34C37"/>
    <w:rsid w:val="31E81126"/>
    <w:rsid w:val="31EE459A"/>
    <w:rsid w:val="320614BC"/>
    <w:rsid w:val="32BD7998"/>
    <w:rsid w:val="32FE451E"/>
    <w:rsid w:val="330357FB"/>
    <w:rsid w:val="33097459"/>
    <w:rsid w:val="332C15EA"/>
    <w:rsid w:val="332D5A6D"/>
    <w:rsid w:val="33A801A0"/>
    <w:rsid w:val="33B907A4"/>
    <w:rsid w:val="33CE1896"/>
    <w:rsid w:val="340034B9"/>
    <w:rsid w:val="3417149F"/>
    <w:rsid w:val="34450838"/>
    <w:rsid w:val="34646C1D"/>
    <w:rsid w:val="346717AC"/>
    <w:rsid w:val="3484598E"/>
    <w:rsid w:val="34AA14EA"/>
    <w:rsid w:val="34F54209"/>
    <w:rsid w:val="350D5FDF"/>
    <w:rsid w:val="353C7B57"/>
    <w:rsid w:val="35773495"/>
    <w:rsid w:val="357B256B"/>
    <w:rsid w:val="35B52124"/>
    <w:rsid w:val="35B853A4"/>
    <w:rsid w:val="35CC2E86"/>
    <w:rsid w:val="35EB5C2E"/>
    <w:rsid w:val="35FE393A"/>
    <w:rsid w:val="3622085A"/>
    <w:rsid w:val="36776E8E"/>
    <w:rsid w:val="367B1666"/>
    <w:rsid w:val="36802507"/>
    <w:rsid w:val="368C0E49"/>
    <w:rsid w:val="36E62CF6"/>
    <w:rsid w:val="36FF5FD0"/>
    <w:rsid w:val="37021A10"/>
    <w:rsid w:val="372D1B10"/>
    <w:rsid w:val="376110AC"/>
    <w:rsid w:val="378A674E"/>
    <w:rsid w:val="37C151AF"/>
    <w:rsid w:val="37D95811"/>
    <w:rsid w:val="37E10504"/>
    <w:rsid w:val="380648BE"/>
    <w:rsid w:val="38622589"/>
    <w:rsid w:val="38631B69"/>
    <w:rsid w:val="38C05D05"/>
    <w:rsid w:val="38E450B7"/>
    <w:rsid w:val="39046F02"/>
    <w:rsid w:val="396633A6"/>
    <w:rsid w:val="39BA679D"/>
    <w:rsid w:val="39F60BE3"/>
    <w:rsid w:val="3A212AF0"/>
    <w:rsid w:val="3A4D7445"/>
    <w:rsid w:val="3A561869"/>
    <w:rsid w:val="3A5B1D66"/>
    <w:rsid w:val="3A7D2FD1"/>
    <w:rsid w:val="3AAB7A6C"/>
    <w:rsid w:val="3AAD1165"/>
    <w:rsid w:val="3AC40926"/>
    <w:rsid w:val="3B5D177B"/>
    <w:rsid w:val="3B801765"/>
    <w:rsid w:val="3BAE1E3E"/>
    <w:rsid w:val="3BE7043B"/>
    <w:rsid w:val="3C1122D3"/>
    <w:rsid w:val="3C1D0ED3"/>
    <w:rsid w:val="3C2238EA"/>
    <w:rsid w:val="3C5255AE"/>
    <w:rsid w:val="3C552759"/>
    <w:rsid w:val="3C8B3CCA"/>
    <w:rsid w:val="3CB81FDC"/>
    <w:rsid w:val="3CBB7432"/>
    <w:rsid w:val="3D9D5126"/>
    <w:rsid w:val="3DA829B8"/>
    <w:rsid w:val="3DE95BB2"/>
    <w:rsid w:val="3E05537C"/>
    <w:rsid w:val="3E065B07"/>
    <w:rsid w:val="3E483E0D"/>
    <w:rsid w:val="3E6A7128"/>
    <w:rsid w:val="3E702AE1"/>
    <w:rsid w:val="3E897D02"/>
    <w:rsid w:val="3EDD4B9B"/>
    <w:rsid w:val="3EF86C35"/>
    <w:rsid w:val="3EFA165E"/>
    <w:rsid w:val="3F107813"/>
    <w:rsid w:val="3F7F3C24"/>
    <w:rsid w:val="3FBD23C4"/>
    <w:rsid w:val="3FC01028"/>
    <w:rsid w:val="3FD24D96"/>
    <w:rsid w:val="400566FC"/>
    <w:rsid w:val="402D3A71"/>
    <w:rsid w:val="405A2D7A"/>
    <w:rsid w:val="4094568C"/>
    <w:rsid w:val="40BE1C67"/>
    <w:rsid w:val="41073DB4"/>
    <w:rsid w:val="413D5105"/>
    <w:rsid w:val="415C494F"/>
    <w:rsid w:val="415C62C2"/>
    <w:rsid w:val="41732A2B"/>
    <w:rsid w:val="41840D6B"/>
    <w:rsid w:val="41865404"/>
    <w:rsid w:val="419F3310"/>
    <w:rsid w:val="41F801F1"/>
    <w:rsid w:val="420C1254"/>
    <w:rsid w:val="420E4AFC"/>
    <w:rsid w:val="42676199"/>
    <w:rsid w:val="429C1214"/>
    <w:rsid w:val="429E5B86"/>
    <w:rsid w:val="42C425AF"/>
    <w:rsid w:val="42C574B9"/>
    <w:rsid w:val="42D41217"/>
    <w:rsid w:val="42F02111"/>
    <w:rsid w:val="43031CC9"/>
    <w:rsid w:val="43323CDF"/>
    <w:rsid w:val="43510168"/>
    <w:rsid w:val="43555EFA"/>
    <w:rsid w:val="43575CFF"/>
    <w:rsid w:val="437B74A7"/>
    <w:rsid w:val="43BF14BB"/>
    <w:rsid w:val="43E225F0"/>
    <w:rsid w:val="43FA1B29"/>
    <w:rsid w:val="44156C3B"/>
    <w:rsid w:val="44624AA1"/>
    <w:rsid w:val="44C00711"/>
    <w:rsid w:val="44D76F56"/>
    <w:rsid w:val="44E440AB"/>
    <w:rsid w:val="44EB1C9C"/>
    <w:rsid w:val="45276294"/>
    <w:rsid w:val="452B6A14"/>
    <w:rsid w:val="455C0FBA"/>
    <w:rsid w:val="457C66D7"/>
    <w:rsid w:val="45875DC3"/>
    <w:rsid w:val="45AF0EAA"/>
    <w:rsid w:val="45BF119E"/>
    <w:rsid w:val="45C142B9"/>
    <w:rsid w:val="45C33064"/>
    <w:rsid w:val="45FE74CC"/>
    <w:rsid w:val="46042D87"/>
    <w:rsid w:val="46253BFF"/>
    <w:rsid w:val="46394548"/>
    <w:rsid w:val="466971E8"/>
    <w:rsid w:val="46B15DD6"/>
    <w:rsid w:val="46D52CEC"/>
    <w:rsid w:val="46D5581E"/>
    <w:rsid w:val="47105E2E"/>
    <w:rsid w:val="471C4450"/>
    <w:rsid w:val="4733065F"/>
    <w:rsid w:val="473A4323"/>
    <w:rsid w:val="479F20DF"/>
    <w:rsid w:val="47A2223C"/>
    <w:rsid w:val="47C842D9"/>
    <w:rsid w:val="47CA7BE2"/>
    <w:rsid w:val="47D64298"/>
    <w:rsid w:val="480D5F98"/>
    <w:rsid w:val="48E24A2D"/>
    <w:rsid w:val="49050671"/>
    <w:rsid w:val="49303ABF"/>
    <w:rsid w:val="495E2713"/>
    <w:rsid w:val="495F4CF7"/>
    <w:rsid w:val="4961179E"/>
    <w:rsid w:val="49627253"/>
    <w:rsid w:val="496D27B9"/>
    <w:rsid w:val="49A3023C"/>
    <w:rsid w:val="49AA4ED1"/>
    <w:rsid w:val="49B403C9"/>
    <w:rsid w:val="49D539BF"/>
    <w:rsid w:val="4A7E0248"/>
    <w:rsid w:val="4A897CBA"/>
    <w:rsid w:val="4AB96246"/>
    <w:rsid w:val="4AE40761"/>
    <w:rsid w:val="4B1C3B3E"/>
    <w:rsid w:val="4B2041FF"/>
    <w:rsid w:val="4B4D0D17"/>
    <w:rsid w:val="4B5D0F92"/>
    <w:rsid w:val="4B665795"/>
    <w:rsid w:val="4BA61FD0"/>
    <w:rsid w:val="4BB83589"/>
    <w:rsid w:val="4C011DC3"/>
    <w:rsid w:val="4C820041"/>
    <w:rsid w:val="4C8A3F5F"/>
    <w:rsid w:val="4CC6078A"/>
    <w:rsid w:val="4CCC6ED9"/>
    <w:rsid w:val="4CF42446"/>
    <w:rsid w:val="4D441E7A"/>
    <w:rsid w:val="4D4F4C0B"/>
    <w:rsid w:val="4DC4703C"/>
    <w:rsid w:val="4E122F4D"/>
    <w:rsid w:val="4E142D8E"/>
    <w:rsid w:val="4E495A30"/>
    <w:rsid w:val="4E7C2C94"/>
    <w:rsid w:val="4E90653B"/>
    <w:rsid w:val="4E9C0379"/>
    <w:rsid w:val="4EF47AB5"/>
    <w:rsid w:val="4F770BFB"/>
    <w:rsid w:val="4F7F03FE"/>
    <w:rsid w:val="4F9428EE"/>
    <w:rsid w:val="4FA631E9"/>
    <w:rsid w:val="5016761C"/>
    <w:rsid w:val="50232B63"/>
    <w:rsid w:val="50240C16"/>
    <w:rsid w:val="503F4DC3"/>
    <w:rsid w:val="509B2C09"/>
    <w:rsid w:val="50A55B0B"/>
    <w:rsid w:val="50A744DD"/>
    <w:rsid w:val="50E420FC"/>
    <w:rsid w:val="50F02EB0"/>
    <w:rsid w:val="51322CE6"/>
    <w:rsid w:val="52054E78"/>
    <w:rsid w:val="520E2C38"/>
    <w:rsid w:val="521124B9"/>
    <w:rsid w:val="5224116C"/>
    <w:rsid w:val="522559E0"/>
    <w:rsid w:val="523670E9"/>
    <w:rsid w:val="5241641A"/>
    <w:rsid w:val="525E1BD5"/>
    <w:rsid w:val="52A772D3"/>
    <w:rsid w:val="52BB49E4"/>
    <w:rsid w:val="52E034C9"/>
    <w:rsid w:val="533E0993"/>
    <w:rsid w:val="535575A3"/>
    <w:rsid w:val="536B2EAE"/>
    <w:rsid w:val="536E1662"/>
    <w:rsid w:val="53DF5BDE"/>
    <w:rsid w:val="54024997"/>
    <w:rsid w:val="54186F2E"/>
    <w:rsid w:val="54B40BFC"/>
    <w:rsid w:val="54BD480F"/>
    <w:rsid w:val="54C324AA"/>
    <w:rsid w:val="55015561"/>
    <w:rsid w:val="550E5443"/>
    <w:rsid w:val="55647361"/>
    <w:rsid w:val="55721EB7"/>
    <w:rsid w:val="558233A3"/>
    <w:rsid w:val="559D209C"/>
    <w:rsid w:val="55C33EE3"/>
    <w:rsid w:val="55D34926"/>
    <w:rsid w:val="55F062E2"/>
    <w:rsid w:val="55F66530"/>
    <w:rsid w:val="562447C1"/>
    <w:rsid w:val="56262467"/>
    <w:rsid w:val="568C0A9C"/>
    <w:rsid w:val="56A47E66"/>
    <w:rsid w:val="56CC2716"/>
    <w:rsid w:val="56EF77B0"/>
    <w:rsid w:val="57374C02"/>
    <w:rsid w:val="574F3070"/>
    <w:rsid w:val="577143C0"/>
    <w:rsid w:val="57AA18CB"/>
    <w:rsid w:val="580207BF"/>
    <w:rsid w:val="588C69A8"/>
    <w:rsid w:val="58B87AAF"/>
    <w:rsid w:val="58BF260F"/>
    <w:rsid w:val="58BF2F0F"/>
    <w:rsid w:val="58C22A31"/>
    <w:rsid w:val="58D63E2A"/>
    <w:rsid w:val="58DB21D7"/>
    <w:rsid w:val="58F60867"/>
    <w:rsid w:val="58FC3680"/>
    <w:rsid w:val="59103953"/>
    <w:rsid w:val="592D3E5F"/>
    <w:rsid w:val="594D1D71"/>
    <w:rsid w:val="596826C0"/>
    <w:rsid w:val="5976519C"/>
    <w:rsid w:val="59A55F1D"/>
    <w:rsid w:val="59B80FE9"/>
    <w:rsid w:val="59D071CA"/>
    <w:rsid w:val="5A056863"/>
    <w:rsid w:val="5A434513"/>
    <w:rsid w:val="5A740FFE"/>
    <w:rsid w:val="5A9B6844"/>
    <w:rsid w:val="5AB47149"/>
    <w:rsid w:val="5AC1789F"/>
    <w:rsid w:val="5ADB55DF"/>
    <w:rsid w:val="5AF515D2"/>
    <w:rsid w:val="5B2818C3"/>
    <w:rsid w:val="5B585235"/>
    <w:rsid w:val="5B612BEC"/>
    <w:rsid w:val="5BBE3DA0"/>
    <w:rsid w:val="5BC47FED"/>
    <w:rsid w:val="5BD65D9F"/>
    <w:rsid w:val="5C0133FF"/>
    <w:rsid w:val="5C127EED"/>
    <w:rsid w:val="5C201049"/>
    <w:rsid w:val="5C2124F6"/>
    <w:rsid w:val="5C431149"/>
    <w:rsid w:val="5C796FAE"/>
    <w:rsid w:val="5C870BF8"/>
    <w:rsid w:val="5C873C0F"/>
    <w:rsid w:val="5CA21011"/>
    <w:rsid w:val="5CAA48C8"/>
    <w:rsid w:val="5CB47B23"/>
    <w:rsid w:val="5CFA027E"/>
    <w:rsid w:val="5D8A1162"/>
    <w:rsid w:val="5D9668F4"/>
    <w:rsid w:val="5DA80048"/>
    <w:rsid w:val="5DD922ED"/>
    <w:rsid w:val="5DF32C77"/>
    <w:rsid w:val="5E143A01"/>
    <w:rsid w:val="5E291811"/>
    <w:rsid w:val="5E6F6CBD"/>
    <w:rsid w:val="5F4277AE"/>
    <w:rsid w:val="5F5C3CE8"/>
    <w:rsid w:val="5F765701"/>
    <w:rsid w:val="5FA16E94"/>
    <w:rsid w:val="5FC27382"/>
    <w:rsid w:val="5FF6746B"/>
    <w:rsid w:val="60EC7F79"/>
    <w:rsid w:val="61364320"/>
    <w:rsid w:val="616F7D4D"/>
    <w:rsid w:val="61835216"/>
    <w:rsid w:val="61921296"/>
    <w:rsid w:val="61F05C05"/>
    <w:rsid w:val="62191EEF"/>
    <w:rsid w:val="621D402A"/>
    <w:rsid w:val="62346DBA"/>
    <w:rsid w:val="624A06B2"/>
    <w:rsid w:val="624C13C6"/>
    <w:rsid w:val="62545E86"/>
    <w:rsid w:val="626968A7"/>
    <w:rsid w:val="626C14C9"/>
    <w:rsid w:val="62AC796E"/>
    <w:rsid w:val="62CA3FF8"/>
    <w:rsid w:val="62F52A87"/>
    <w:rsid w:val="63045904"/>
    <w:rsid w:val="63326EB6"/>
    <w:rsid w:val="634537AD"/>
    <w:rsid w:val="634B7515"/>
    <w:rsid w:val="6364343A"/>
    <w:rsid w:val="636649C5"/>
    <w:rsid w:val="637165B6"/>
    <w:rsid w:val="63AE1E4F"/>
    <w:rsid w:val="63B05CF6"/>
    <w:rsid w:val="63E844B2"/>
    <w:rsid w:val="641B72EC"/>
    <w:rsid w:val="641E5201"/>
    <w:rsid w:val="64661DD2"/>
    <w:rsid w:val="64A30443"/>
    <w:rsid w:val="64BB0AC7"/>
    <w:rsid w:val="653933D8"/>
    <w:rsid w:val="653C1ED6"/>
    <w:rsid w:val="6544413E"/>
    <w:rsid w:val="65AC1A9A"/>
    <w:rsid w:val="65D3415A"/>
    <w:rsid w:val="65E34551"/>
    <w:rsid w:val="65F657B4"/>
    <w:rsid w:val="660A7058"/>
    <w:rsid w:val="6639727E"/>
    <w:rsid w:val="665015E4"/>
    <w:rsid w:val="66BB3E53"/>
    <w:rsid w:val="66D80EDB"/>
    <w:rsid w:val="67011F59"/>
    <w:rsid w:val="67080B5E"/>
    <w:rsid w:val="6718700D"/>
    <w:rsid w:val="671D09A5"/>
    <w:rsid w:val="672C7E9E"/>
    <w:rsid w:val="672D1B90"/>
    <w:rsid w:val="67410943"/>
    <w:rsid w:val="67B35343"/>
    <w:rsid w:val="67F37BEE"/>
    <w:rsid w:val="682A7E04"/>
    <w:rsid w:val="68880792"/>
    <w:rsid w:val="68AB160D"/>
    <w:rsid w:val="68AB4314"/>
    <w:rsid w:val="68D1334C"/>
    <w:rsid w:val="68DD7BF4"/>
    <w:rsid w:val="691C1FBE"/>
    <w:rsid w:val="691E0FE5"/>
    <w:rsid w:val="69564F6A"/>
    <w:rsid w:val="69AF0FA0"/>
    <w:rsid w:val="6A01600D"/>
    <w:rsid w:val="6A120B5C"/>
    <w:rsid w:val="6A4F788C"/>
    <w:rsid w:val="6A635C78"/>
    <w:rsid w:val="6A6A7EA5"/>
    <w:rsid w:val="6A700689"/>
    <w:rsid w:val="6ACE7CE9"/>
    <w:rsid w:val="6AD5577C"/>
    <w:rsid w:val="6B0D1DFF"/>
    <w:rsid w:val="6B510CC5"/>
    <w:rsid w:val="6B771716"/>
    <w:rsid w:val="6BC87A3F"/>
    <w:rsid w:val="6BDD76A5"/>
    <w:rsid w:val="6BDE4237"/>
    <w:rsid w:val="6C197560"/>
    <w:rsid w:val="6C2853AF"/>
    <w:rsid w:val="6C3421D3"/>
    <w:rsid w:val="6C4F320C"/>
    <w:rsid w:val="6C686922"/>
    <w:rsid w:val="6C851A48"/>
    <w:rsid w:val="6C933772"/>
    <w:rsid w:val="6C9D70FF"/>
    <w:rsid w:val="6CAA73A6"/>
    <w:rsid w:val="6CDD6BD9"/>
    <w:rsid w:val="6CFB2741"/>
    <w:rsid w:val="6D092BEF"/>
    <w:rsid w:val="6D325318"/>
    <w:rsid w:val="6D4712AC"/>
    <w:rsid w:val="6DEC2B56"/>
    <w:rsid w:val="6E070A16"/>
    <w:rsid w:val="6E1B5E16"/>
    <w:rsid w:val="6E326AE1"/>
    <w:rsid w:val="6E514474"/>
    <w:rsid w:val="6E8D711F"/>
    <w:rsid w:val="6EAF6913"/>
    <w:rsid w:val="6EB625E4"/>
    <w:rsid w:val="6EB87630"/>
    <w:rsid w:val="6EC945FB"/>
    <w:rsid w:val="6EDA199C"/>
    <w:rsid w:val="6F1134FE"/>
    <w:rsid w:val="6F20771D"/>
    <w:rsid w:val="6F56219C"/>
    <w:rsid w:val="6F6D3B6C"/>
    <w:rsid w:val="6FA570EE"/>
    <w:rsid w:val="700662E5"/>
    <w:rsid w:val="701E55BC"/>
    <w:rsid w:val="70636AC0"/>
    <w:rsid w:val="7066078F"/>
    <w:rsid w:val="706E4EB9"/>
    <w:rsid w:val="70764A38"/>
    <w:rsid w:val="70B87648"/>
    <w:rsid w:val="70D8516F"/>
    <w:rsid w:val="70D9305F"/>
    <w:rsid w:val="70DB6982"/>
    <w:rsid w:val="70DD2A82"/>
    <w:rsid w:val="70FA15FC"/>
    <w:rsid w:val="712453E4"/>
    <w:rsid w:val="713A6116"/>
    <w:rsid w:val="71463AE6"/>
    <w:rsid w:val="71566BB9"/>
    <w:rsid w:val="71570BE5"/>
    <w:rsid w:val="71BF4BE8"/>
    <w:rsid w:val="71D931CA"/>
    <w:rsid w:val="720E3209"/>
    <w:rsid w:val="72421880"/>
    <w:rsid w:val="72761793"/>
    <w:rsid w:val="729C0FCF"/>
    <w:rsid w:val="72D169E6"/>
    <w:rsid w:val="736159BC"/>
    <w:rsid w:val="73A6715E"/>
    <w:rsid w:val="73B57968"/>
    <w:rsid w:val="73D27FDB"/>
    <w:rsid w:val="73D72D76"/>
    <w:rsid w:val="73E20A67"/>
    <w:rsid w:val="73E55492"/>
    <w:rsid w:val="74063F04"/>
    <w:rsid w:val="74074804"/>
    <w:rsid w:val="744905CA"/>
    <w:rsid w:val="745A7948"/>
    <w:rsid w:val="74A12B60"/>
    <w:rsid w:val="74A82E3E"/>
    <w:rsid w:val="74AE7FB7"/>
    <w:rsid w:val="74BB5E85"/>
    <w:rsid w:val="74D130D1"/>
    <w:rsid w:val="753F7B6E"/>
    <w:rsid w:val="75595DB8"/>
    <w:rsid w:val="756F55F3"/>
    <w:rsid w:val="757778D4"/>
    <w:rsid w:val="758844E9"/>
    <w:rsid w:val="75890E2F"/>
    <w:rsid w:val="759B0822"/>
    <w:rsid w:val="75A22A9C"/>
    <w:rsid w:val="75AF5EBB"/>
    <w:rsid w:val="75C16065"/>
    <w:rsid w:val="75D72B39"/>
    <w:rsid w:val="75FA674F"/>
    <w:rsid w:val="76143215"/>
    <w:rsid w:val="76147BAB"/>
    <w:rsid w:val="762444B5"/>
    <w:rsid w:val="764C2EF1"/>
    <w:rsid w:val="76513981"/>
    <w:rsid w:val="767427E4"/>
    <w:rsid w:val="76820D98"/>
    <w:rsid w:val="77000D92"/>
    <w:rsid w:val="77124F24"/>
    <w:rsid w:val="77331CC2"/>
    <w:rsid w:val="773768E2"/>
    <w:rsid w:val="77720090"/>
    <w:rsid w:val="77BB45DB"/>
    <w:rsid w:val="7825156C"/>
    <w:rsid w:val="785A6A80"/>
    <w:rsid w:val="786E3D73"/>
    <w:rsid w:val="78CB247D"/>
    <w:rsid w:val="78EB44F7"/>
    <w:rsid w:val="78ED74E7"/>
    <w:rsid w:val="79090FEB"/>
    <w:rsid w:val="79201B4B"/>
    <w:rsid w:val="797816EF"/>
    <w:rsid w:val="797E4B8A"/>
    <w:rsid w:val="79AE26A0"/>
    <w:rsid w:val="79B858F5"/>
    <w:rsid w:val="79C612FE"/>
    <w:rsid w:val="79CF1358"/>
    <w:rsid w:val="7A182BE0"/>
    <w:rsid w:val="7A584CD9"/>
    <w:rsid w:val="7A7A5F58"/>
    <w:rsid w:val="7A917AC0"/>
    <w:rsid w:val="7AAD4FBF"/>
    <w:rsid w:val="7AC40EC9"/>
    <w:rsid w:val="7AD42C5B"/>
    <w:rsid w:val="7AF366E7"/>
    <w:rsid w:val="7B055324"/>
    <w:rsid w:val="7B0B5639"/>
    <w:rsid w:val="7B186ABA"/>
    <w:rsid w:val="7B2E272E"/>
    <w:rsid w:val="7C5E79FB"/>
    <w:rsid w:val="7C772FEC"/>
    <w:rsid w:val="7CAA0A7F"/>
    <w:rsid w:val="7CB62E7D"/>
    <w:rsid w:val="7CD5720F"/>
    <w:rsid w:val="7D272847"/>
    <w:rsid w:val="7D8A6B73"/>
    <w:rsid w:val="7D92372B"/>
    <w:rsid w:val="7D970A1E"/>
    <w:rsid w:val="7DC46EB6"/>
    <w:rsid w:val="7DDD402F"/>
    <w:rsid w:val="7E0D7765"/>
    <w:rsid w:val="7E226F48"/>
    <w:rsid w:val="7E2D145A"/>
    <w:rsid w:val="7E3E199B"/>
    <w:rsid w:val="7E576152"/>
    <w:rsid w:val="7EB01594"/>
    <w:rsid w:val="7EE0668C"/>
    <w:rsid w:val="7EEA5F09"/>
    <w:rsid w:val="7EF14824"/>
    <w:rsid w:val="7F0650D6"/>
    <w:rsid w:val="7F9B7434"/>
    <w:rsid w:val="7FEE45D0"/>
    <w:rsid w:val="7FF60B29"/>
    <w:rsid w:val="9FFE502E"/>
    <w:rsid w:val="FBDFA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ind w:left="864" w:hanging="864"/>
      <w:outlineLvl w:val="3"/>
    </w:pPr>
    <w:rPr>
      <w:rFonts w:ascii="Cambria" w:hAnsi="Cambria"/>
      <w:b/>
      <w:bCs/>
      <w:kern w:val="0"/>
      <w:sz w:val="28"/>
      <w:szCs w:val="28"/>
    </w:rPr>
  </w:style>
  <w:style w:type="paragraph" w:styleId="6">
    <w:name w:val="heading 6"/>
    <w:basedOn w:val="1"/>
    <w:next w:val="1"/>
    <w:link w:val="37"/>
    <w:qFormat/>
    <w:uiPriority w:val="0"/>
    <w:pPr>
      <w:keepNext/>
      <w:keepLines/>
      <w:spacing w:before="240" w:after="64" w:line="319" w:lineRule="auto"/>
      <w:outlineLvl w:val="5"/>
    </w:pPr>
    <w:rPr>
      <w:rFonts w:ascii="Arial" w:hAnsi="Arial" w:eastAsia="黑体"/>
      <w:b/>
      <w:bCs/>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unhideWhenUsed/>
    <w:qFormat/>
    <w:uiPriority w:val="99"/>
    <w:pPr>
      <w:ind w:left="1400" w:leftChars="1400"/>
    </w:pPr>
  </w:style>
  <w:style w:type="paragraph" w:styleId="8">
    <w:name w:val="Normal Indent"/>
    <w:basedOn w:val="1"/>
    <w:link w:val="38"/>
    <w:qFormat/>
    <w:uiPriority w:val="0"/>
    <w:pPr>
      <w:ind w:firstLine="420"/>
    </w:pPr>
    <w:rPr>
      <w:szCs w:val="20"/>
    </w:rPr>
  </w:style>
  <w:style w:type="paragraph" w:styleId="9">
    <w:name w:val="toa heading"/>
    <w:basedOn w:val="1"/>
    <w:next w:val="1"/>
    <w:qFormat/>
    <w:uiPriority w:val="99"/>
    <w:pPr>
      <w:spacing w:before="120"/>
    </w:pPr>
    <w:rPr>
      <w:rFonts w:ascii="Cambria" w:hAnsi="Cambria" w:cs="宋体"/>
      <w:sz w:val="24"/>
    </w:rPr>
  </w:style>
  <w:style w:type="paragraph" w:styleId="10">
    <w:name w:val="annotation text"/>
    <w:basedOn w:val="1"/>
    <w:link w:val="39"/>
    <w:qFormat/>
    <w:uiPriority w:val="0"/>
    <w:pPr>
      <w:jc w:val="left"/>
    </w:pPr>
  </w:style>
  <w:style w:type="paragraph" w:styleId="11">
    <w:name w:val="Body Text 3"/>
    <w:basedOn w:val="1"/>
    <w:link w:val="40"/>
    <w:qFormat/>
    <w:uiPriority w:val="0"/>
    <w:pPr>
      <w:spacing w:line="240" w:lineRule="exact"/>
    </w:pPr>
    <w:rPr>
      <w:rFonts w:ascii="宋体" w:hAnsi="宋体"/>
      <w:color w:val="000000"/>
      <w:szCs w:val="21"/>
    </w:rPr>
  </w:style>
  <w:style w:type="paragraph" w:styleId="12">
    <w:name w:val="Body Text"/>
    <w:basedOn w:val="1"/>
    <w:link w:val="41"/>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next w:val="7"/>
    <w:link w:val="42"/>
    <w:qFormat/>
    <w:uiPriority w:val="0"/>
    <w:rPr>
      <w:rFonts w:ascii="宋体" w:hAnsi="Courier New"/>
      <w:szCs w:val="20"/>
    </w:rPr>
  </w:style>
  <w:style w:type="paragraph" w:styleId="15">
    <w:name w:val="Date"/>
    <w:basedOn w:val="1"/>
    <w:next w:val="1"/>
    <w:link w:val="43"/>
    <w:qFormat/>
    <w:uiPriority w:val="0"/>
    <w:pPr>
      <w:ind w:left="100" w:leftChars="2500"/>
    </w:pPr>
  </w:style>
  <w:style w:type="paragraph" w:styleId="16">
    <w:name w:val="Balloon Text"/>
    <w:basedOn w:val="1"/>
    <w:link w:val="44"/>
    <w:semiHidden/>
    <w:qFormat/>
    <w:uiPriority w:val="0"/>
    <w:rPr>
      <w:sz w:val="18"/>
      <w:szCs w:val="18"/>
    </w:rPr>
  </w:style>
  <w:style w:type="paragraph" w:styleId="17">
    <w:name w:val="footer"/>
    <w:basedOn w:val="1"/>
    <w:link w:val="45"/>
    <w:qFormat/>
    <w:uiPriority w:val="0"/>
    <w:pPr>
      <w:tabs>
        <w:tab w:val="center" w:pos="4153"/>
        <w:tab w:val="right" w:pos="8306"/>
      </w:tabs>
      <w:snapToGrid w:val="0"/>
      <w:jc w:val="left"/>
    </w:pPr>
    <w:rPr>
      <w:sz w:val="18"/>
      <w:szCs w:val="18"/>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unhideWhenUsed/>
    <w:qFormat/>
    <w:uiPriority w:val="0"/>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annotation subject"/>
    <w:basedOn w:val="10"/>
    <w:next w:val="10"/>
    <w:link w:val="47"/>
    <w:semiHidden/>
    <w:qFormat/>
    <w:uiPriority w:val="0"/>
    <w:rPr>
      <w:b/>
      <w:bCs/>
    </w:rPr>
  </w:style>
  <w:style w:type="paragraph" w:styleId="22">
    <w:name w:val="Body Text First Indent"/>
    <w:basedOn w:val="12"/>
    <w:link w:val="48"/>
    <w:unhideWhenUsed/>
    <w:qFormat/>
    <w:uiPriority w:val="99"/>
    <w:pPr>
      <w:ind w:firstLine="420" w:firstLineChars="100"/>
    </w:pPr>
  </w:style>
  <w:style w:type="paragraph" w:styleId="23">
    <w:name w:val="Body Text First Indent 2"/>
    <w:basedOn w:val="13"/>
    <w:qFormat/>
    <w:uiPriority w:val="0"/>
    <w:pPr>
      <w:ind w:left="420" w:leftChars="200" w:firstLine="420" w:firstLineChars="200"/>
    </w:pPr>
    <w:rPr>
      <w:rFonts w:ascii="Times New Roman" w:hAnsi="Times New Roman" w:eastAsia="宋体"/>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FollowedHyperlink"/>
    <w:unhideWhenUsed/>
    <w:qFormat/>
    <w:uiPriority w:val="99"/>
    <w:rPr>
      <w:color w:val="800080"/>
      <w:u w:val="single"/>
    </w:rPr>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character" w:styleId="31">
    <w:name w:val="HTML Sample"/>
    <w:basedOn w:val="26"/>
    <w:semiHidden/>
    <w:unhideWhenUsed/>
    <w:qFormat/>
    <w:uiPriority w:val="0"/>
    <w:rPr>
      <w:rFonts w:ascii="Courier New" w:hAnsi="Courier New"/>
    </w:rPr>
  </w:style>
  <w:style w:type="paragraph" w:customStyle="1" w:styleId="32">
    <w:name w:val="Fließtext"/>
    <w:basedOn w:val="1"/>
    <w:qFormat/>
    <w:uiPriority w:val="0"/>
    <w:pPr>
      <w:overflowPunct w:val="0"/>
      <w:autoSpaceDE w:val="0"/>
      <w:autoSpaceDN w:val="0"/>
      <w:adjustRightInd w:val="0"/>
      <w:textAlignment w:val="baseline"/>
    </w:pPr>
    <w:rPr>
      <w:rFonts w:ascii="Calibri" w:hAnsi="Calibri" w:eastAsia="宋体"/>
      <w:kern w:val="28"/>
    </w:rPr>
  </w:style>
  <w:style w:type="paragraph" w:customStyle="1" w:styleId="33">
    <w:name w:val="表格文字"/>
    <w:basedOn w:val="1"/>
    <w:qFormat/>
    <w:uiPriority w:val="0"/>
    <w:pPr>
      <w:spacing w:before="25" w:after="25"/>
      <w:jc w:val="left"/>
    </w:pPr>
    <w:rPr>
      <w:rFonts w:ascii="Times New Roman" w:hAnsi="Times New Roman" w:eastAsia="宋体"/>
      <w:bCs/>
      <w:spacing w:val="10"/>
      <w:kern w:val="0"/>
      <w:sz w:val="24"/>
    </w:rPr>
  </w:style>
  <w:style w:type="character" w:customStyle="1" w:styleId="34">
    <w:name w:val="标题 1 字符"/>
    <w:link w:val="2"/>
    <w:qFormat/>
    <w:uiPriority w:val="0"/>
    <w:rPr>
      <w:b/>
      <w:bCs/>
      <w:kern w:val="44"/>
      <w:sz w:val="44"/>
      <w:szCs w:val="44"/>
    </w:rPr>
  </w:style>
  <w:style w:type="character" w:customStyle="1" w:styleId="35">
    <w:name w:val="标题 2 字符"/>
    <w:link w:val="3"/>
    <w:semiHidden/>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6 字符"/>
    <w:link w:val="6"/>
    <w:semiHidden/>
    <w:qFormat/>
    <w:uiPriority w:val="0"/>
    <w:rPr>
      <w:rFonts w:ascii="Arial" w:hAnsi="Arial" w:eastAsia="黑体"/>
      <w:b/>
      <w:bCs/>
      <w:kern w:val="2"/>
      <w:sz w:val="24"/>
      <w:szCs w:val="24"/>
    </w:rPr>
  </w:style>
  <w:style w:type="character" w:customStyle="1" w:styleId="38">
    <w:name w:val="正文缩进 字符"/>
    <w:link w:val="8"/>
    <w:qFormat/>
    <w:locked/>
    <w:uiPriority w:val="0"/>
    <w:rPr>
      <w:rFonts w:eastAsia="宋体"/>
      <w:kern w:val="2"/>
      <w:sz w:val="21"/>
      <w:lang w:val="en-US" w:eastAsia="zh-CN" w:bidi="ar-SA"/>
    </w:rPr>
  </w:style>
  <w:style w:type="character" w:customStyle="1" w:styleId="39">
    <w:name w:val="批注文字 字符"/>
    <w:link w:val="10"/>
    <w:qFormat/>
    <w:uiPriority w:val="0"/>
    <w:rPr>
      <w:rFonts w:eastAsia="宋体"/>
      <w:kern w:val="2"/>
      <w:sz w:val="21"/>
      <w:szCs w:val="24"/>
      <w:lang w:val="en-US" w:eastAsia="zh-CN" w:bidi="ar-SA"/>
    </w:rPr>
  </w:style>
  <w:style w:type="character" w:customStyle="1" w:styleId="40">
    <w:name w:val="正文文本 3 字符"/>
    <w:link w:val="11"/>
    <w:qFormat/>
    <w:uiPriority w:val="0"/>
    <w:rPr>
      <w:rFonts w:ascii="宋体" w:hAnsi="宋体"/>
      <w:color w:val="000000"/>
      <w:kern w:val="2"/>
      <w:sz w:val="21"/>
      <w:szCs w:val="21"/>
    </w:rPr>
  </w:style>
  <w:style w:type="character" w:customStyle="1" w:styleId="41">
    <w:name w:val="正文文本 字符"/>
    <w:link w:val="12"/>
    <w:qFormat/>
    <w:locked/>
    <w:uiPriority w:val="0"/>
    <w:rPr>
      <w:kern w:val="2"/>
      <w:sz w:val="21"/>
      <w:szCs w:val="24"/>
    </w:rPr>
  </w:style>
  <w:style w:type="character" w:customStyle="1" w:styleId="42">
    <w:name w:val="纯文本 字符"/>
    <w:link w:val="14"/>
    <w:qFormat/>
    <w:uiPriority w:val="0"/>
    <w:rPr>
      <w:rFonts w:ascii="宋体" w:hAnsi="Courier New" w:eastAsia="宋体"/>
      <w:kern w:val="2"/>
      <w:sz w:val="21"/>
      <w:lang w:val="en-US" w:eastAsia="zh-CN" w:bidi="ar-SA"/>
    </w:rPr>
  </w:style>
  <w:style w:type="character" w:customStyle="1" w:styleId="43">
    <w:name w:val="日期 字符"/>
    <w:link w:val="15"/>
    <w:qFormat/>
    <w:uiPriority w:val="0"/>
    <w:rPr>
      <w:kern w:val="2"/>
      <w:sz w:val="21"/>
      <w:szCs w:val="24"/>
    </w:rPr>
  </w:style>
  <w:style w:type="character" w:customStyle="1" w:styleId="44">
    <w:name w:val="批注框文本 字符"/>
    <w:link w:val="16"/>
    <w:semiHidden/>
    <w:qFormat/>
    <w:uiPriority w:val="0"/>
    <w:rPr>
      <w:kern w:val="2"/>
      <w:sz w:val="18"/>
      <w:szCs w:val="18"/>
    </w:rPr>
  </w:style>
  <w:style w:type="character" w:customStyle="1" w:styleId="45">
    <w:name w:val="页脚 字符"/>
    <w:link w:val="17"/>
    <w:qFormat/>
    <w:uiPriority w:val="0"/>
    <w:rPr>
      <w:kern w:val="2"/>
      <w:sz w:val="18"/>
      <w:szCs w:val="18"/>
    </w:rPr>
  </w:style>
  <w:style w:type="character" w:customStyle="1" w:styleId="46">
    <w:name w:val="页眉 字符"/>
    <w:link w:val="18"/>
    <w:qFormat/>
    <w:uiPriority w:val="0"/>
    <w:rPr>
      <w:kern w:val="2"/>
      <w:sz w:val="18"/>
      <w:szCs w:val="18"/>
    </w:rPr>
  </w:style>
  <w:style w:type="character" w:customStyle="1" w:styleId="47">
    <w:name w:val="批注主题 字符"/>
    <w:link w:val="21"/>
    <w:semiHidden/>
    <w:qFormat/>
    <w:uiPriority w:val="0"/>
    <w:rPr>
      <w:rFonts w:eastAsia="宋体"/>
      <w:b/>
      <w:bCs/>
      <w:kern w:val="2"/>
      <w:sz w:val="21"/>
      <w:szCs w:val="24"/>
      <w:lang w:val="en-US" w:eastAsia="zh-CN" w:bidi="ar-SA"/>
    </w:rPr>
  </w:style>
  <w:style w:type="character" w:customStyle="1" w:styleId="48">
    <w:name w:val="正文文本首行缩进 字符"/>
    <w:basedOn w:val="49"/>
    <w:link w:val="22"/>
    <w:qFormat/>
    <w:locked/>
    <w:uiPriority w:val="99"/>
    <w:rPr>
      <w:kern w:val="2"/>
      <w:sz w:val="21"/>
      <w:szCs w:val="24"/>
    </w:rPr>
  </w:style>
  <w:style w:type="character" w:customStyle="1" w:styleId="49">
    <w:name w:val="正文文本 Char1"/>
    <w:qFormat/>
    <w:locked/>
    <w:uiPriority w:val="0"/>
    <w:rPr>
      <w:kern w:val="2"/>
      <w:sz w:val="21"/>
      <w:szCs w:val="24"/>
    </w:rPr>
  </w:style>
  <w:style w:type="character" w:customStyle="1" w:styleId="50">
    <w:name w:val="Char Char10"/>
    <w:qFormat/>
    <w:locked/>
    <w:uiPriority w:val="0"/>
    <w:rPr>
      <w:rFonts w:ascii="宋体" w:hAnsi="宋体" w:eastAsia="宋体"/>
      <w:kern w:val="2"/>
      <w:sz w:val="21"/>
      <w:szCs w:val="24"/>
      <w:lang w:val="en-US" w:eastAsia="zh-CN" w:bidi="ar-SA"/>
    </w:rPr>
  </w:style>
  <w:style w:type="character" w:customStyle="1" w:styleId="51">
    <w:name w:val="font11"/>
    <w:basedOn w:val="26"/>
    <w:qFormat/>
    <w:uiPriority w:val="0"/>
    <w:rPr>
      <w:rFonts w:hint="eastAsia" w:ascii="宋体" w:hAnsi="宋体" w:eastAsia="宋体" w:cs="宋体"/>
      <w:color w:val="000000"/>
      <w:sz w:val="22"/>
      <w:szCs w:val="22"/>
      <w:u w:val="none"/>
    </w:rPr>
  </w:style>
  <w:style w:type="character" w:customStyle="1" w:styleId="52">
    <w:name w:val="正文首行缩进 Char"/>
    <w:basedOn w:val="53"/>
    <w:qFormat/>
    <w:uiPriority w:val="99"/>
    <w:rPr>
      <w:kern w:val="2"/>
      <w:sz w:val="21"/>
      <w:szCs w:val="24"/>
    </w:rPr>
  </w:style>
  <w:style w:type="character" w:customStyle="1" w:styleId="53">
    <w:name w:val="正文文本 Char"/>
    <w:qFormat/>
    <w:uiPriority w:val="99"/>
    <w:rPr>
      <w:kern w:val="2"/>
      <w:sz w:val="21"/>
      <w:szCs w:val="24"/>
    </w:rPr>
  </w:style>
  <w:style w:type="character" w:customStyle="1" w:styleId="54">
    <w:name w:val="NormalCharacter"/>
    <w:semiHidden/>
    <w:qFormat/>
    <w:uiPriority w:val="99"/>
  </w:style>
  <w:style w:type="character" w:customStyle="1" w:styleId="55">
    <w:name w:val="Char Char3"/>
    <w:qFormat/>
    <w:uiPriority w:val="0"/>
    <w:rPr>
      <w:rFonts w:hint="eastAsia" w:ascii="宋体" w:hAnsi="Courier New" w:eastAsia="宋体"/>
      <w:kern w:val="2"/>
      <w:sz w:val="21"/>
      <w:lang w:val="en-US" w:eastAsia="zh-CN" w:bidi="ar-SA"/>
    </w:rPr>
  </w:style>
  <w:style w:type="character" w:customStyle="1" w:styleId="56">
    <w:name w:val="纯文本 Char2"/>
    <w:semiHidden/>
    <w:qFormat/>
    <w:locked/>
    <w:uiPriority w:val="0"/>
    <w:rPr>
      <w:rFonts w:ascii="宋体" w:hAnsi="Courier New"/>
      <w:kern w:val="2"/>
      <w:sz w:val="21"/>
    </w:rPr>
  </w:style>
  <w:style w:type="character" w:customStyle="1" w:styleId="57">
    <w:name w:val="Char Char101"/>
    <w:qFormat/>
    <w:uiPriority w:val="0"/>
    <w:rPr>
      <w:rFonts w:eastAsia="宋体"/>
      <w:kern w:val="2"/>
      <w:sz w:val="21"/>
      <w:szCs w:val="24"/>
      <w:lang w:val="en-US" w:eastAsia="zh-CN" w:bidi="ar-SA"/>
    </w:rPr>
  </w:style>
  <w:style w:type="character" w:customStyle="1" w:styleId="58">
    <w:name w:val="批注文字 Char1"/>
    <w:semiHidden/>
    <w:qFormat/>
    <w:locked/>
    <w:uiPriority w:val="0"/>
    <w:rPr>
      <w:kern w:val="2"/>
      <w:sz w:val="21"/>
      <w:szCs w:val="24"/>
    </w:rPr>
  </w:style>
  <w:style w:type="character" w:customStyle="1" w:styleId="59">
    <w:name w:val="font31"/>
    <w:basedOn w:val="26"/>
    <w:qFormat/>
    <w:uiPriority w:val="0"/>
    <w:rPr>
      <w:rFonts w:hint="eastAsia" w:ascii="宋体" w:hAnsi="宋体" w:eastAsia="宋体" w:cs="宋体"/>
      <w:color w:val="000000"/>
      <w:sz w:val="22"/>
      <w:szCs w:val="22"/>
      <w:u w:val="none"/>
    </w:rPr>
  </w:style>
  <w:style w:type="character" w:customStyle="1" w:styleId="60">
    <w:name w:val="Char Char31"/>
    <w:qFormat/>
    <w:uiPriority w:val="0"/>
    <w:rPr>
      <w:rFonts w:ascii="宋体" w:hAnsi="Courier New" w:eastAsia="宋体"/>
      <w:kern w:val="2"/>
      <w:sz w:val="21"/>
      <w:lang w:val="en-US" w:eastAsia="zh-CN" w:bidi="ar-SA"/>
    </w:rPr>
  </w:style>
  <w:style w:type="character" w:customStyle="1" w:styleId="61">
    <w:name w:val="Char Char"/>
    <w:qFormat/>
    <w:locked/>
    <w:uiPriority w:val="0"/>
    <w:rPr>
      <w:rFonts w:ascii="宋体" w:hAnsi="宋体" w:eastAsia="宋体"/>
      <w:kern w:val="2"/>
      <w:sz w:val="21"/>
      <w:szCs w:val="24"/>
      <w:lang w:val="en-US" w:eastAsia="zh-CN" w:bidi="ar-SA"/>
    </w:rPr>
  </w:style>
  <w:style w:type="character" w:customStyle="1" w:styleId="62">
    <w:name w:val="批注文字 Char2"/>
    <w:semiHidden/>
    <w:qFormat/>
    <w:locked/>
    <w:uiPriority w:val="0"/>
    <w:rPr>
      <w:kern w:val="2"/>
      <w:sz w:val="21"/>
      <w:szCs w:val="24"/>
    </w:rPr>
  </w:style>
  <w:style w:type="character" w:customStyle="1" w:styleId="63">
    <w:name w:val="纯文本 Char1"/>
    <w:qFormat/>
    <w:locked/>
    <w:uiPriority w:val="0"/>
    <w:rPr>
      <w:rFonts w:ascii="宋体" w:hAnsi="Calibri"/>
    </w:rPr>
  </w:style>
  <w:style w:type="character" w:customStyle="1" w:styleId="64">
    <w:name w:val="列表段落 字符"/>
    <w:link w:val="65"/>
    <w:qFormat/>
    <w:locked/>
    <w:uiPriority w:val="34"/>
    <w:rPr>
      <w:kern w:val="2"/>
      <w:sz w:val="21"/>
    </w:rPr>
  </w:style>
  <w:style w:type="paragraph" w:styleId="65">
    <w:name w:val="List Paragraph"/>
    <w:basedOn w:val="1"/>
    <w:link w:val="64"/>
    <w:qFormat/>
    <w:uiPriority w:val="34"/>
    <w:pPr>
      <w:ind w:firstLine="420" w:firstLineChars="200"/>
    </w:pPr>
    <w:rPr>
      <w:szCs w:val="20"/>
    </w:rPr>
  </w:style>
  <w:style w:type="character" w:customStyle="1" w:styleId="66">
    <w:name w:val="font21"/>
    <w:basedOn w:val="26"/>
    <w:qFormat/>
    <w:uiPriority w:val="0"/>
    <w:rPr>
      <w:rFonts w:hint="default" w:ascii="Times New Roman" w:hAnsi="Times New Roman" w:cs="Times New Roman"/>
      <w:color w:val="000000"/>
      <w:sz w:val="22"/>
      <w:szCs w:val="22"/>
      <w:u w:val="none"/>
    </w:rPr>
  </w:style>
  <w:style w:type="character" w:customStyle="1" w:styleId="67">
    <w:name w:val="font51"/>
    <w:basedOn w:val="26"/>
    <w:qFormat/>
    <w:uiPriority w:val="0"/>
    <w:rPr>
      <w:rFonts w:hint="eastAsia" w:ascii="宋体" w:hAnsi="宋体" w:eastAsia="宋体" w:cs="宋体"/>
      <w:color w:val="000000"/>
      <w:sz w:val="22"/>
      <w:szCs w:val="22"/>
      <w:u w:val="none"/>
    </w:rPr>
  </w:style>
  <w:style w:type="character" w:customStyle="1" w:styleId="68">
    <w:name w:val="font01"/>
    <w:basedOn w:val="26"/>
    <w:qFormat/>
    <w:uiPriority w:val="0"/>
    <w:rPr>
      <w:rFonts w:hint="eastAsia" w:ascii="宋体" w:hAnsi="宋体" w:eastAsia="宋体" w:cs="宋体"/>
      <w:color w:val="000000"/>
      <w:sz w:val="22"/>
      <w:szCs w:val="22"/>
      <w:u w:val="none"/>
    </w:rPr>
  </w:style>
  <w:style w:type="paragraph" w:customStyle="1" w:styleId="69">
    <w:name w:val="1"/>
    <w:basedOn w:val="1"/>
    <w:next w:val="14"/>
    <w:qFormat/>
    <w:uiPriority w:val="0"/>
    <w:rPr>
      <w:rFonts w:ascii="宋体" w:hAnsi="Courier New"/>
      <w:szCs w:val="20"/>
    </w:rPr>
  </w:style>
  <w:style w:type="paragraph" w:customStyle="1" w:styleId="70">
    <w:name w:val="p0"/>
    <w:basedOn w:val="1"/>
    <w:qFormat/>
    <w:uiPriority w:val="0"/>
    <w:pPr>
      <w:widowControl/>
    </w:pPr>
    <w:rPr>
      <w:rFonts w:ascii="Calibri" w:hAnsi="Calibri" w:eastAsia="宋体"/>
      <w:kern w:val="0"/>
      <w:szCs w:val="21"/>
    </w:rPr>
  </w:style>
  <w:style w:type="paragraph" w:customStyle="1" w:styleId="71">
    <w:name w:val="列出段落1"/>
    <w:basedOn w:val="1"/>
    <w:qFormat/>
    <w:uiPriority w:val="34"/>
    <w:pPr>
      <w:ind w:firstLine="420" w:firstLineChars="200"/>
    </w:pPr>
  </w:style>
  <w:style w:type="paragraph" w:customStyle="1" w:styleId="72">
    <w:name w:val="列出段落2"/>
    <w:basedOn w:val="1"/>
    <w:qFormat/>
    <w:uiPriority w:val="34"/>
    <w:pPr>
      <w:ind w:firstLine="420" w:firstLineChars="200"/>
    </w:pPr>
    <w:rPr>
      <w:rFonts w:ascii="Calibri" w:hAnsi="Calibri"/>
      <w:szCs w:val="22"/>
    </w:rPr>
  </w:style>
  <w:style w:type="paragraph" w:customStyle="1" w:styleId="73">
    <w:name w:val="Char"/>
    <w:basedOn w:val="1"/>
    <w:qFormat/>
    <w:uiPriority w:val="0"/>
  </w:style>
  <w:style w:type="paragraph" w:customStyle="1" w:styleId="74">
    <w:name w:val="_Style 4"/>
    <w:basedOn w:val="1"/>
    <w:qFormat/>
    <w:uiPriority w:val="34"/>
    <w:pPr>
      <w:ind w:firstLine="420" w:firstLineChars="200"/>
    </w:pPr>
    <w:rPr>
      <w:rFonts w:ascii="Calibri" w:hAnsi="Calibri"/>
      <w:szCs w:val="22"/>
    </w:rPr>
  </w:style>
  <w:style w:type="paragraph" w:customStyle="1" w:styleId="75">
    <w:name w:val="WPSOffice手动目录 1"/>
    <w:qFormat/>
    <w:uiPriority w:val="0"/>
    <w:rPr>
      <w:rFonts w:ascii="等线" w:hAnsi="等线" w:eastAsia="等线" w:cs="Times New Roman"/>
      <w:lang w:val="en-US" w:eastAsia="zh-CN" w:bidi="ar-SA"/>
    </w:rPr>
  </w:style>
  <w:style w:type="paragraph" w:customStyle="1" w:styleId="7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77">
    <w:name w:val="font41"/>
    <w:basedOn w:val="26"/>
    <w:qFormat/>
    <w:uiPriority w:val="0"/>
    <w:rPr>
      <w:rFonts w:hint="eastAsia" w:ascii="宋体" w:hAnsi="宋体" w:eastAsia="宋体" w:cs="宋体"/>
      <w:color w:val="000000"/>
      <w:sz w:val="24"/>
      <w:szCs w:val="24"/>
      <w:u w:val="none"/>
    </w:rPr>
  </w:style>
  <w:style w:type="paragraph" w:customStyle="1" w:styleId="78">
    <w:name w:val="修订1"/>
    <w:hidden/>
    <w:unhideWhenUsed/>
    <w:qFormat/>
    <w:uiPriority w:val="99"/>
    <w:rPr>
      <w:rFonts w:ascii="等线" w:hAnsi="等线" w:eastAsia="等线" w:cs="Times New Roman"/>
      <w:kern w:val="2"/>
      <w:sz w:val="21"/>
      <w:szCs w:val="24"/>
      <w:lang w:val="en-US" w:eastAsia="zh-CN" w:bidi="ar-SA"/>
    </w:rPr>
  </w:style>
  <w:style w:type="paragraph" w:customStyle="1" w:styleId="7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C96607-5D7C-4D57-83B6-BA9DBEF0B81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34539</Words>
  <Characters>36430</Characters>
  <Lines>288</Lines>
  <Paragraphs>81</Paragraphs>
  <TotalTime>1</TotalTime>
  <ScaleCrop>false</ScaleCrop>
  <LinksUpToDate>false</LinksUpToDate>
  <CharactersWithSpaces>38813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2023-12-06T02:32:00Z</dcterms:created>
  <dc:creator>未定义</dc:creator>
  <cp:lastModifiedBy>NTKO</cp:lastModifiedBy>
  <cp:lastPrinted>2020-08-26T13:41:00Z</cp:lastPrinted>
  <dcterms:modified xsi:type="dcterms:W3CDTF">2024-08-19T06:33:58Z</dcterms:modified>
  <dc:title>医疗设备采购</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51D96A29D90A450E824281299F8EB5DA_13</vt:lpwstr>
  </property>
</Properties>
</file>