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A7526">
      <w:pPr>
        <w:tabs>
          <w:tab w:val="left" w:pos="1710"/>
        </w:tabs>
        <w:spacing w:line="288" w:lineRule="auto"/>
        <w:rPr>
          <w:rFonts w:ascii="Arial" w:hAnsi="Arial" w:eastAsia="宋体" w:cs="Arial"/>
          <w:color w:val="auto"/>
          <w:highlight w:val="none"/>
        </w:rPr>
      </w:pPr>
      <w:bookmarkStart w:id="64" w:name="_GoBack"/>
    </w:p>
    <w:p w14:paraId="43964C06">
      <w:pPr>
        <w:tabs>
          <w:tab w:val="left" w:pos="1710"/>
        </w:tabs>
        <w:spacing w:line="288" w:lineRule="auto"/>
        <w:rPr>
          <w:rFonts w:ascii="Arial" w:hAnsi="Arial" w:eastAsia="宋体" w:cs="Arial"/>
          <w:color w:val="auto"/>
          <w:highlight w:val="none"/>
        </w:rPr>
      </w:pPr>
    </w:p>
    <w:p w14:paraId="1934962B">
      <w:pPr>
        <w:tabs>
          <w:tab w:val="left" w:pos="1710"/>
        </w:tabs>
        <w:spacing w:line="288" w:lineRule="auto"/>
        <w:rPr>
          <w:rFonts w:ascii="Arial" w:hAnsi="Arial" w:eastAsia="宋体" w:cs="Arial"/>
          <w:color w:val="auto"/>
          <w:highlight w:val="none"/>
        </w:rPr>
      </w:pPr>
    </w:p>
    <w:p w14:paraId="40A1DC92">
      <w:pPr>
        <w:tabs>
          <w:tab w:val="left" w:pos="1710"/>
        </w:tabs>
        <w:spacing w:line="288" w:lineRule="auto"/>
        <w:rPr>
          <w:rFonts w:ascii="Arial" w:hAnsi="Arial" w:eastAsia="宋体" w:cs="Arial"/>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6417"/>
      </w:tblGrid>
      <w:tr w14:paraId="4185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200" w:type="dxa"/>
            <w:gridSpan w:val="2"/>
            <w:tcBorders>
              <w:top w:val="nil"/>
              <w:left w:val="nil"/>
              <w:right w:val="nil"/>
            </w:tcBorders>
          </w:tcPr>
          <w:p w14:paraId="3173CE89">
            <w:pPr>
              <w:snapToGrid w:val="0"/>
              <w:spacing w:line="288" w:lineRule="auto"/>
              <w:jc w:val="center"/>
              <w:rPr>
                <w:rFonts w:ascii="Arial" w:hAnsi="Arial" w:eastAsia="宋体" w:cs="Arial"/>
                <w:b/>
                <w:color w:val="auto"/>
                <w:sz w:val="60"/>
                <w:szCs w:val="60"/>
                <w:highlight w:val="none"/>
              </w:rPr>
            </w:pPr>
            <w:r>
              <w:rPr>
                <w:rFonts w:ascii="Arial" w:hAnsi="Arial" w:eastAsia="宋体" w:cs="Arial"/>
                <w:b/>
                <w:color w:val="auto"/>
                <w:sz w:val="60"/>
                <w:szCs w:val="60"/>
                <w:highlight w:val="none"/>
              </w:rPr>
              <w:t>谈 判 文 件</w:t>
            </w:r>
          </w:p>
        </w:tc>
      </w:tr>
      <w:tr w14:paraId="678D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83" w:type="dxa"/>
            <w:vAlign w:val="center"/>
          </w:tcPr>
          <w:p w14:paraId="32881A0A">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项目编号：</w:t>
            </w:r>
          </w:p>
        </w:tc>
        <w:tc>
          <w:tcPr>
            <w:tcW w:w="6417" w:type="dxa"/>
            <w:vAlign w:val="center"/>
          </w:tcPr>
          <w:p w14:paraId="3535C635">
            <w:pPr>
              <w:spacing w:line="288" w:lineRule="auto"/>
              <w:rPr>
                <w:rFonts w:hint="eastAsia" w:ascii="Arial" w:hAnsi="Arial" w:eastAsia="宋体" w:cs="Arial"/>
                <w:b/>
                <w:color w:val="auto"/>
                <w:sz w:val="32"/>
                <w:szCs w:val="32"/>
                <w:highlight w:val="none"/>
                <w:lang w:eastAsia="zh-CN"/>
              </w:rPr>
            </w:pPr>
            <w:r>
              <w:rPr>
                <w:rFonts w:hint="eastAsia" w:ascii="Arial" w:hAnsi="Arial" w:eastAsia="宋体" w:cs="Arial"/>
                <w:b/>
                <w:color w:val="auto"/>
                <w:sz w:val="32"/>
                <w:szCs w:val="32"/>
                <w:highlight w:val="none"/>
                <w:lang w:eastAsia="zh-CN"/>
              </w:rPr>
              <w:t>GXJD-24114CC031163</w:t>
            </w:r>
          </w:p>
        </w:tc>
      </w:tr>
      <w:tr w14:paraId="2161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83" w:type="dxa"/>
            <w:vAlign w:val="center"/>
          </w:tcPr>
          <w:p w14:paraId="1EBEE5C7">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项目名称：</w:t>
            </w:r>
          </w:p>
        </w:tc>
        <w:tc>
          <w:tcPr>
            <w:tcW w:w="6417" w:type="dxa"/>
            <w:vAlign w:val="center"/>
          </w:tcPr>
          <w:p w14:paraId="0D3ACA55">
            <w:pPr>
              <w:spacing w:line="288" w:lineRule="auto"/>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材料学院采购计算平台等设备</w:t>
            </w:r>
          </w:p>
        </w:tc>
      </w:tr>
      <w:tr w14:paraId="0D25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783" w:type="dxa"/>
            <w:vAlign w:val="center"/>
          </w:tcPr>
          <w:p w14:paraId="67648465">
            <w:pPr>
              <w:spacing w:line="288" w:lineRule="auto"/>
              <w:rPr>
                <w:rFonts w:ascii="Arial" w:hAnsi="Arial" w:eastAsia="宋体" w:cs="Arial"/>
                <w:b/>
                <w:color w:val="auto"/>
                <w:sz w:val="32"/>
                <w:szCs w:val="32"/>
                <w:highlight w:val="none"/>
              </w:rPr>
            </w:pPr>
            <w:r>
              <w:rPr>
                <w:rFonts w:ascii="Arial" w:hAnsi="Arial" w:eastAsia="宋体" w:cs="Arial"/>
                <w:b/>
                <w:color w:val="auto"/>
                <w:sz w:val="32"/>
                <w:szCs w:val="32"/>
                <w:highlight w:val="none"/>
              </w:rPr>
              <w:t>联系电话：</w:t>
            </w:r>
          </w:p>
        </w:tc>
        <w:tc>
          <w:tcPr>
            <w:tcW w:w="6417" w:type="dxa"/>
            <w:vAlign w:val="center"/>
          </w:tcPr>
          <w:p w14:paraId="5FC50C6A">
            <w:pPr>
              <w:spacing w:line="288" w:lineRule="auto"/>
              <w:rPr>
                <w:rFonts w:ascii="Arial" w:hAnsi="Arial" w:eastAsia="宋体" w:cs="Arial"/>
                <w:b/>
                <w:color w:val="auto"/>
                <w:sz w:val="32"/>
                <w:szCs w:val="32"/>
                <w:highlight w:val="none"/>
              </w:rPr>
            </w:pPr>
            <w:r>
              <w:rPr>
                <w:rFonts w:hint="eastAsia" w:ascii="Arial" w:hAnsi="Arial" w:eastAsia="宋体" w:cs="Arial"/>
                <w:b/>
                <w:color w:val="auto"/>
                <w:sz w:val="32"/>
                <w:szCs w:val="32"/>
                <w:highlight w:val="none"/>
              </w:rPr>
              <w:t>0773-3696789转2</w:t>
            </w:r>
          </w:p>
        </w:tc>
      </w:tr>
    </w:tbl>
    <w:p w14:paraId="5C4FEB27">
      <w:pPr>
        <w:tabs>
          <w:tab w:val="left" w:pos="1710"/>
        </w:tabs>
        <w:spacing w:line="288" w:lineRule="auto"/>
        <w:rPr>
          <w:rFonts w:ascii="Arial" w:hAnsi="Arial" w:eastAsia="宋体" w:cs="Arial"/>
          <w:color w:val="auto"/>
          <w:highlight w:val="none"/>
        </w:rPr>
      </w:pPr>
    </w:p>
    <w:p w14:paraId="709DB947">
      <w:pPr>
        <w:spacing w:line="288" w:lineRule="auto"/>
        <w:rPr>
          <w:rFonts w:ascii="Arial" w:hAnsi="Arial" w:eastAsia="宋体" w:cs="Arial"/>
          <w:color w:val="auto"/>
          <w:highlight w:val="none"/>
        </w:rPr>
      </w:pPr>
    </w:p>
    <w:p w14:paraId="61B87A4F">
      <w:pPr>
        <w:spacing w:line="288" w:lineRule="auto"/>
        <w:rPr>
          <w:rFonts w:ascii="Arial" w:hAnsi="Arial" w:eastAsia="宋体" w:cs="Arial"/>
          <w:color w:val="auto"/>
          <w:highlight w:val="none"/>
        </w:rPr>
      </w:pPr>
    </w:p>
    <w:p w14:paraId="20CF9D70">
      <w:pPr>
        <w:spacing w:line="288" w:lineRule="auto"/>
        <w:rPr>
          <w:rFonts w:ascii="Arial" w:hAnsi="Arial" w:eastAsia="宋体" w:cs="Arial"/>
          <w:color w:val="auto"/>
          <w:highlight w:val="none"/>
        </w:rPr>
      </w:pPr>
    </w:p>
    <w:p w14:paraId="2F45D9F2">
      <w:pPr>
        <w:spacing w:line="288" w:lineRule="auto"/>
        <w:rPr>
          <w:rFonts w:ascii="Arial" w:hAnsi="Arial" w:eastAsia="宋体" w:cs="Arial"/>
          <w:color w:val="auto"/>
          <w:highlight w:val="none"/>
        </w:rPr>
      </w:pPr>
    </w:p>
    <w:p w14:paraId="08AC4CEE">
      <w:pPr>
        <w:spacing w:line="288" w:lineRule="auto"/>
        <w:rPr>
          <w:rFonts w:ascii="Arial" w:hAnsi="Arial" w:eastAsia="宋体" w:cs="Arial"/>
          <w:color w:val="auto"/>
          <w:highlight w:val="none"/>
        </w:rPr>
      </w:pPr>
    </w:p>
    <w:p w14:paraId="67B6A015">
      <w:pPr>
        <w:spacing w:line="288" w:lineRule="auto"/>
        <w:rPr>
          <w:rFonts w:ascii="Arial" w:hAnsi="Arial" w:eastAsia="宋体" w:cs="Arial"/>
          <w:color w:val="auto"/>
          <w:highlight w:val="none"/>
        </w:rPr>
      </w:pPr>
    </w:p>
    <w:tbl>
      <w:tblPr>
        <w:tblStyle w:val="24"/>
        <w:tblW w:w="0" w:type="auto"/>
        <w:jc w:val="center"/>
        <w:tblLayout w:type="fixed"/>
        <w:tblCellMar>
          <w:top w:w="0" w:type="dxa"/>
          <w:left w:w="108" w:type="dxa"/>
          <w:bottom w:w="0" w:type="dxa"/>
          <w:right w:w="108" w:type="dxa"/>
        </w:tblCellMar>
      </w:tblPr>
      <w:tblGrid>
        <w:gridCol w:w="2707"/>
        <w:gridCol w:w="6"/>
        <w:gridCol w:w="5925"/>
      </w:tblGrid>
      <w:tr w14:paraId="15949E8E">
        <w:tblPrEx>
          <w:tblCellMar>
            <w:top w:w="0" w:type="dxa"/>
            <w:left w:w="108" w:type="dxa"/>
            <w:bottom w:w="0" w:type="dxa"/>
            <w:right w:w="108" w:type="dxa"/>
          </w:tblCellMar>
        </w:tblPrEx>
        <w:trPr>
          <w:trHeight w:val="703" w:hRule="atLeast"/>
          <w:jc w:val="center"/>
        </w:trPr>
        <w:tc>
          <w:tcPr>
            <w:tcW w:w="2707" w:type="dxa"/>
            <w:vAlign w:val="center"/>
          </w:tcPr>
          <w:p w14:paraId="7BD2BF49">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 xml:space="preserve">  采购人：</w:t>
            </w:r>
          </w:p>
        </w:tc>
        <w:tc>
          <w:tcPr>
            <w:tcW w:w="5931" w:type="dxa"/>
            <w:gridSpan w:val="2"/>
            <w:vAlign w:val="center"/>
          </w:tcPr>
          <w:p w14:paraId="04E44CC9">
            <w:pPr>
              <w:autoSpaceDE w:val="0"/>
              <w:autoSpaceDN w:val="0"/>
              <w:adjustRightInd w:val="0"/>
              <w:spacing w:line="288" w:lineRule="auto"/>
              <w:jc w:val="left"/>
              <w:rPr>
                <w:rFonts w:ascii="Arial" w:hAnsi="Arial" w:eastAsia="宋体" w:cs="Arial"/>
                <w:b/>
                <w:color w:val="auto"/>
                <w:sz w:val="32"/>
                <w:szCs w:val="32"/>
                <w:highlight w:val="none"/>
              </w:rPr>
            </w:pPr>
            <w:r>
              <w:rPr>
                <w:rFonts w:ascii="Arial" w:hAnsi="Arial" w:eastAsia="宋体" w:cs="Arial"/>
                <w:b/>
                <w:color w:val="auto"/>
                <w:sz w:val="32"/>
                <w:szCs w:val="32"/>
                <w:highlight w:val="none"/>
              </w:rPr>
              <w:t>桂林理工大学</w:t>
            </w:r>
          </w:p>
        </w:tc>
      </w:tr>
      <w:tr w14:paraId="406C4618">
        <w:tblPrEx>
          <w:tblCellMar>
            <w:top w:w="0" w:type="dxa"/>
            <w:left w:w="108" w:type="dxa"/>
            <w:bottom w:w="0" w:type="dxa"/>
            <w:right w:w="108" w:type="dxa"/>
          </w:tblCellMar>
        </w:tblPrEx>
        <w:trPr>
          <w:trHeight w:val="583" w:hRule="atLeast"/>
          <w:jc w:val="center"/>
        </w:trPr>
        <w:tc>
          <w:tcPr>
            <w:tcW w:w="2713" w:type="dxa"/>
            <w:gridSpan w:val="2"/>
          </w:tcPr>
          <w:p w14:paraId="22471401">
            <w:pPr>
              <w:autoSpaceDE w:val="0"/>
              <w:autoSpaceDN w:val="0"/>
              <w:adjustRightInd w:val="0"/>
              <w:spacing w:line="288" w:lineRule="auto"/>
              <w:jc w:val="right"/>
              <w:rPr>
                <w:rFonts w:ascii="Arial" w:hAnsi="Arial" w:eastAsia="宋体" w:cs="Arial"/>
                <w:b/>
                <w:color w:val="auto"/>
                <w:sz w:val="32"/>
                <w:szCs w:val="32"/>
                <w:highlight w:val="none"/>
              </w:rPr>
            </w:pPr>
            <w:r>
              <w:rPr>
                <w:rFonts w:ascii="Arial" w:hAnsi="Arial" w:eastAsia="宋体" w:cs="Arial"/>
                <w:b/>
                <w:color w:val="auto"/>
                <w:sz w:val="32"/>
                <w:szCs w:val="32"/>
                <w:highlight w:val="none"/>
              </w:rPr>
              <w:t>采购代理机构：</w:t>
            </w:r>
          </w:p>
        </w:tc>
        <w:tc>
          <w:tcPr>
            <w:tcW w:w="5925" w:type="dxa"/>
          </w:tcPr>
          <w:p w14:paraId="220C725B">
            <w:pPr>
              <w:autoSpaceDE w:val="0"/>
              <w:autoSpaceDN w:val="0"/>
              <w:adjustRightInd w:val="0"/>
              <w:spacing w:line="288" w:lineRule="auto"/>
              <w:rPr>
                <w:rFonts w:hint="eastAsia" w:ascii="Arial" w:hAnsi="Arial" w:eastAsia="宋体" w:cs="Arial"/>
                <w:b/>
                <w:color w:val="auto"/>
                <w:sz w:val="32"/>
                <w:szCs w:val="32"/>
                <w:highlight w:val="none"/>
                <w:u w:val="single"/>
                <w:lang w:eastAsia="zh-CN"/>
              </w:rPr>
            </w:pPr>
            <w:r>
              <w:rPr>
                <w:rFonts w:hint="eastAsia" w:ascii="Arial" w:hAnsi="Arial" w:eastAsia="宋体" w:cs="Arial"/>
                <w:b/>
                <w:color w:val="auto"/>
                <w:sz w:val="32"/>
                <w:szCs w:val="32"/>
                <w:highlight w:val="none"/>
                <w:lang w:eastAsia="zh-CN"/>
              </w:rPr>
              <w:t>广西机电设备招标有限公司</w:t>
            </w:r>
          </w:p>
        </w:tc>
      </w:tr>
    </w:tbl>
    <w:p w14:paraId="391536A8">
      <w:pPr>
        <w:autoSpaceDE w:val="0"/>
        <w:autoSpaceDN w:val="0"/>
        <w:adjustRightInd w:val="0"/>
        <w:spacing w:line="288" w:lineRule="auto"/>
        <w:jc w:val="center"/>
        <w:rPr>
          <w:rFonts w:ascii="Arial" w:hAnsi="Arial" w:eastAsia="宋体" w:cs="Arial"/>
          <w:b/>
          <w:color w:val="auto"/>
          <w:sz w:val="32"/>
          <w:szCs w:val="32"/>
          <w:highlight w:val="none"/>
        </w:rPr>
      </w:pPr>
    </w:p>
    <w:p w14:paraId="7AFBE09C">
      <w:pPr>
        <w:autoSpaceDE w:val="0"/>
        <w:autoSpaceDN w:val="0"/>
        <w:adjustRightInd w:val="0"/>
        <w:spacing w:line="288" w:lineRule="auto"/>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2024年</w:t>
      </w:r>
      <w:r>
        <w:rPr>
          <w:rFonts w:hint="eastAsia" w:ascii="Arial" w:hAnsi="Arial" w:eastAsia="宋体" w:cs="Arial"/>
          <w:b/>
          <w:color w:val="auto"/>
          <w:sz w:val="32"/>
          <w:szCs w:val="32"/>
          <w:highlight w:val="none"/>
          <w:lang w:val="en-US" w:eastAsia="zh-CN"/>
        </w:rPr>
        <w:t>7</w:t>
      </w:r>
      <w:r>
        <w:rPr>
          <w:rFonts w:ascii="Arial" w:hAnsi="Arial" w:eastAsia="宋体" w:cs="Arial"/>
          <w:b/>
          <w:color w:val="auto"/>
          <w:sz w:val="32"/>
          <w:szCs w:val="32"/>
          <w:highlight w:val="none"/>
        </w:rPr>
        <w:t>月</w:t>
      </w:r>
    </w:p>
    <w:p w14:paraId="6159960A">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542ECA60">
      <w:pPr>
        <w:tabs>
          <w:tab w:val="left" w:pos="1080"/>
        </w:tabs>
        <w:spacing w:line="480" w:lineRule="exact"/>
        <w:jc w:val="center"/>
        <w:rPr>
          <w:rFonts w:ascii="Arial" w:hAnsi="Arial" w:eastAsia="宋体" w:cs="Arial"/>
          <w:b/>
          <w:color w:val="auto"/>
          <w:sz w:val="32"/>
          <w:szCs w:val="32"/>
          <w:highlight w:val="none"/>
        </w:rPr>
      </w:pPr>
    </w:p>
    <w:sdt>
      <w:sdtPr>
        <w:rPr>
          <w:rFonts w:ascii="Arial" w:hAnsi="Arial" w:eastAsia="宋体" w:cs="Arial"/>
          <w:b/>
          <w:bCs/>
          <w:color w:val="auto"/>
          <w:kern w:val="0"/>
          <w:sz w:val="24"/>
          <w:szCs w:val="32"/>
          <w:highlight w:val="none"/>
        </w:rPr>
        <w:id w:val="147472183"/>
        <w:docPartObj>
          <w:docPartGallery w:val="Table of Contents"/>
          <w:docPartUnique/>
        </w:docPartObj>
      </w:sdtPr>
      <w:sdtEndPr>
        <w:rPr>
          <w:rFonts w:ascii="Arial" w:hAnsi="Arial" w:eastAsia="宋体" w:cs="Arial"/>
          <w:b/>
          <w:bCs/>
          <w:color w:val="auto"/>
          <w:kern w:val="0"/>
          <w:sz w:val="28"/>
          <w:szCs w:val="28"/>
          <w:highlight w:val="none"/>
        </w:rPr>
      </w:sdtEndPr>
      <w:sdtContent>
        <w:p w14:paraId="0F82BDCF">
          <w:pPr>
            <w:jc w:val="center"/>
            <w:rPr>
              <w:rFonts w:ascii="Arial" w:hAnsi="Arial" w:eastAsia="宋体" w:cs="Arial"/>
              <w:color w:val="auto"/>
              <w:sz w:val="96"/>
              <w:szCs w:val="160"/>
              <w:highlight w:val="none"/>
            </w:rPr>
          </w:pPr>
          <w:r>
            <w:rPr>
              <w:rFonts w:ascii="Arial" w:hAnsi="Arial" w:eastAsia="宋体" w:cs="Arial"/>
              <w:b/>
              <w:bCs/>
              <w:color w:val="auto"/>
              <w:kern w:val="0"/>
              <w:sz w:val="44"/>
              <w:szCs w:val="52"/>
              <w:highlight w:val="none"/>
            </w:rPr>
            <w:t>目  录</w:t>
          </w:r>
        </w:p>
        <w:p w14:paraId="7F5337D0">
          <w:pPr>
            <w:pStyle w:val="19"/>
            <w:tabs>
              <w:tab w:val="right" w:leader="dot" w:pos="9923"/>
            </w:tabs>
            <w:rPr>
              <w:rFonts w:ascii="Arial" w:hAnsi="Arial" w:eastAsia="宋体" w:cs="Arial"/>
              <w:color w:val="auto"/>
              <w:sz w:val="28"/>
              <w:szCs w:val="28"/>
              <w:highlight w:val="none"/>
            </w:rPr>
          </w:pPr>
          <w:r>
            <w:rPr>
              <w:rFonts w:ascii="Arial" w:hAnsi="Arial" w:eastAsia="宋体" w:cs="Arial"/>
              <w:color w:val="auto"/>
              <w:sz w:val="32"/>
              <w:szCs w:val="32"/>
              <w:highlight w:val="none"/>
            </w:rPr>
            <w:fldChar w:fldCharType="begin"/>
          </w:r>
          <w:r>
            <w:rPr>
              <w:rFonts w:ascii="Arial" w:hAnsi="Arial" w:eastAsia="宋体" w:cs="Arial"/>
              <w:color w:val="auto"/>
              <w:sz w:val="32"/>
              <w:szCs w:val="32"/>
              <w:highlight w:val="none"/>
            </w:rPr>
            <w:instrText xml:space="preserve">TOC \o "1-1" \h \u </w:instrText>
          </w:r>
          <w:r>
            <w:rPr>
              <w:rFonts w:ascii="Arial" w:hAnsi="Arial" w:eastAsia="宋体" w:cs="Arial"/>
              <w:color w:val="auto"/>
              <w:sz w:val="32"/>
              <w:szCs w:val="32"/>
              <w:highlight w:val="none"/>
            </w:rPr>
            <w:fldChar w:fldCharType="separate"/>
          </w:r>
          <w:r>
            <w:rPr>
              <w:color w:val="auto"/>
              <w:highlight w:val="none"/>
            </w:rPr>
            <w:fldChar w:fldCharType="begin"/>
          </w:r>
          <w:r>
            <w:rPr>
              <w:color w:val="auto"/>
              <w:highlight w:val="none"/>
            </w:rPr>
            <w:instrText xml:space="preserve"> HYPERLINK \l "_Toc11589" </w:instrText>
          </w:r>
          <w:r>
            <w:rPr>
              <w:color w:val="auto"/>
              <w:highlight w:val="none"/>
            </w:rPr>
            <w:fldChar w:fldCharType="separate"/>
          </w:r>
          <w:r>
            <w:rPr>
              <w:rFonts w:ascii="Arial" w:hAnsi="Arial" w:eastAsia="宋体" w:cs="Arial"/>
              <w:color w:val="auto"/>
              <w:sz w:val="28"/>
              <w:szCs w:val="28"/>
              <w:highlight w:val="none"/>
            </w:rPr>
            <w:t>第一章 竞争性谈判公告</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_Toc11589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1</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787E0AE8">
          <w:pPr>
            <w:pStyle w:val="19"/>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"_Toc20458" </w:instrText>
          </w:r>
          <w:r>
            <w:rPr>
              <w:color w:val="auto"/>
              <w:highlight w:val="none"/>
            </w:rPr>
            <w:fldChar w:fldCharType="separate"/>
          </w:r>
          <w:r>
            <w:rPr>
              <w:rFonts w:ascii="Arial" w:hAnsi="Arial" w:eastAsia="宋体" w:cs="Arial"/>
              <w:bCs/>
              <w:color w:val="auto"/>
              <w:kern w:val="44"/>
              <w:sz w:val="28"/>
              <w:szCs w:val="28"/>
              <w:highlight w:val="none"/>
            </w:rPr>
            <w:t xml:space="preserve">第二章 </w:t>
          </w:r>
          <w:r>
            <w:rPr>
              <w:rFonts w:ascii="Arial" w:hAnsi="Arial" w:eastAsia="宋体" w:cs="Arial"/>
              <w:bCs/>
              <w:color w:val="auto"/>
              <w:sz w:val="28"/>
              <w:szCs w:val="28"/>
              <w:highlight w:val="none"/>
            </w:rPr>
            <w:t>供应商须知</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_Toc20458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3</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2F0AE348">
          <w:pPr>
            <w:pStyle w:val="19"/>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"_Toc8686" </w:instrText>
          </w:r>
          <w:r>
            <w:rPr>
              <w:color w:val="auto"/>
              <w:highlight w:val="none"/>
            </w:rPr>
            <w:fldChar w:fldCharType="separate"/>
          </w:r>
          <w:r>
            <w:rPr>
              <w:rFonts w:ascii="Arial" w:hAnsi="Arial" w:eastAsia="宋体" w:cs="Arial"/>
              <w:color w:val="auto"/>
              <w:sz w:val="28"/>
              <w:szCs w:val="28"/>
              <w:highlight w:val="none"/>
            </w:rPr>
            <w:t>第三章  项目采购需求</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_Toc8686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16</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41692FB4">
          <w:pPr>
            <w:pStyle w:val="19"/>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"_Toc16632" </w:instrText>
          </w:r>
          <w:r>
            <w:rPr>
              <w:color w:val="auto"/>
              <w:highlight w:val="none"/>
            </w:rPr>
            <w:fldChar w:fldCharType="separate"/>
          </w:r>
          <w:r>
            <w:rPr>
              <w:rFonts w:ascii="Arial" w:hAnsi="Arial" w:eastAsia="宋体" w:cs="Arial"/>
              <w:color w:val="auto"/>
              <w:sz w:val="28"/>
              <w:szCs w:val="28"/>
              <w:highlight w:val="none"/>
            </w:rPr>
            <w:t>第四章  评审办法</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_Toc16632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23</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5988BD07">
          <w:pPr>
            <w:pStyle w:val="19"/>
            <w:tabs>
              <w:tab w:val="right" w:leader="dot" w:pos="9923"/>
            </w:tabs>
            <w:rPr>
              <w:rFonts w:ascii="Arial" w:hAnsi="Arial" w:eastAsia="宋体" w:cs="Arial"/>
              <w:color w:val="auto"/>
              <w:sz w:val="28"/>
              <w:szCs w:val="28"/>
              <w:highlight w:val="none"/>
            </w:rPr>
          </w:pPr>
          <w:r>
            <w:rPr>
              <w:color w:val="auto"/>
              <w:highlight w:val="none"/>
            </w:rPr>
            <w:fldChar w:fldCharType="begin"/>
          </w:r>
          <w:r>
            <w:rPr>
              <w:color w:val="auto"/>
              <w:highlight w:val="none"/>
            </w:rPr>
            <w:instrText xml:space="preserve"> HYPERLINK \l "_Toc7117" </w:instrText>
          </w:r>
          <w:r>
            <w:rPr>
              <w:color w:val="auto"/>
              <w:highlight w:val="none"/>
            </w:rPr>
            <w:fldChar w:fldCharType="separate"/>
          </w:r>
          <w:r>
            <w:rPr>
              <w:rFonts w:ascii="Arial" w:hAnsi="Arial" w:eastAsia="宋体" w:cs="Arial"/>
              <w:color w:val="auto"/>
              <w:sz w:val="28"/>
              <w:szCs w:val="28"/>
              <w:highlight w:val="none"/>
            </w:rPr>
            <w:t>第五章  采购合同（合同主要条款及格式）</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_Toc7117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24</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1137BE37">
          <w:pPr>
            <w:pStyle w:val="19"/>
            <w:tabs>
              <w:tab w:val="right" w:leader="dot" w:pos="9923"/>
            </w:tabs>
            <w:rPr>
              <w:color w:val="auto"/>
              <w:highlight w:val="none"/>
            </w:rPr>
          </w:pPr>
          <w:r>
            <w:rPr>
              <w:color w:val="auto"/>
              <w:highlight w:val="none"/>
            </w:rPr>
            <w:fldChar w:fldCharType="begin"/>
          </w:r>
          <w:r>
            <w:rPr>
              <w:color w:val="auto"/>
              <w:highlight w:val="none"/>
            </w:rPr>
            <w:instrText xml:space="preserve"> HYPERLINK \l "_Toc15843" </w:instrText>
          </w:r>
          <w:r>
            <w:rPr>
              <w:color w:val="auto"/>
              <w:highlight w:val="none"/>
            </w:rPr>
            <w:fldChar w:fldCharType="separate"/>
          </w:r>
          <w:r>
            <w:rPr>
              <w:rFonts w:ascii="Arial" w:hAnsi="Arial" w:eastAsia="宋体" w:cs="Arial"/>
              <w:color w:val="auto"/>
              <w:sz w:val="28"/>
              <w:szCs w:val="28"/>
              <w:highlight w:val="none"/>
            </w:rPr>
            <w:t>第六章 响应文件（格式）</w:t>
          </w:r>
          <w:r>
            <w:rPr>
              <w:rFonts w:ascii="Arial" w:hAnsi="Arial" w:eastAsia="宋体" w:cs="Arial"/>
              <w:color w:val="auto"/>
              <w:sz w:val="28"/>
              <w:szCs w:val="28"/>
              <w:highlight w:val="none"/>
            </w:rPr>
            <w:tab/>
          </w:r>
          <w:r>
            <w:rPr>
              <w:rFonts w:ascii="Arial" w:hAnsi="Arial" w:eastAsia="宋体" w:cs="Arial"/>
              <w:color w:val="auto"/>
              <w:sz w:val="28"/>
              <w:szCs w:val="28"/>
              <w:highlight w:val="none"/>
            </w:rPr>
            <w:fldChar w:fldCharType="begin"/>
          </w:r>
          <w:r>
            <w:rPr>
              <w:rFonts w:ascii="Arial" w:hAnsi="Arial" w:eastAsia="宋体" w:cs="Arial"/>
              <w:color w:val="auto"/>
              <w:sz w:val="28"/>
              <w:szCs w:val="28"/>
              <w:highlight w:val="none"/>
            </w:rPr>
            <w:instrText xml:space="preserve"> PAGEREF _Toc15843 \h </w:instrText>
          </w:r>
          <w:r>
            <w:rPr>
              <w:rFonts w:ascii="Arial" w:hAnsi="Arial" w:eastAsia="宋体" w:cs="Arial"/>
              <w:color w:val="auto"/>
              <w:sz w:val="28"/>
              <w:szCs w:val="28"/>
              <w:highlight w:val="none"/>
            </w:rPr>
            <w:fldChar w:fldCharType="separate"/>
          </w:r>
          <w:r>
            <w:rPr>
              <w:rFonts w:ascii="Arial" w:hAnsi="Arial" w:eastAsia="宋体" w:cs="Arial"/>
              <w:color w:val="auto"/>
              <w:sz w:val="28"/>
              <w:szCs w:val="28"/>
              <w:highlight w:val="none"/>
            </w:rPr>
            <w:t>30</w:t>
          </w:r>
          <w:r>
            <w:rPr>
              <w:rFonts w:ascii="Arial" w:hAnsi="Arial" w:eastAsia="宋体" w:cs="Arial"/>
              <w:color w:val="auto"/>
              <w:sz w:val="28"/>
              <w:szCs w:val="28"/>
              <w:highlight w:val="none"/>
            </w:rPr>
            <w:fldChar w:fldCharType="end"/>
          </w:r>
          <w:r>
            <w:rPr>
              <w:rFonts w:ascii="Arial" w:hAnsi="Arial" w:eastAsia="宋体" w:cs="Arial"/>
              <w:color w:val="auto"/>
              <w:sz w:val="28"/>
              <w:szCs w:val="28"/>
              <w:highlight w:val="none"/>
            </w:rPr>
            <w:fldChar w:fldCharType="end"/>
          </w:r>
        </w:p>
        <w:p w14:paraId="3A817AA8">
          <w:pPr>
            <w:pStyle w:val="5"/>
            <w:rPr>
              <w:rFonts w:ascii="Arial" w:hAnsi="Arial" w:eastAsia="宋体" w:cs="Arial"/>
              <w:color w:val="auto"/>
              <w:highlight w:val="none"/>
            </w:rPr>
            <w:sectPr>
              <w:headerReference r:id="rId3" w:type="default"/>
              <w:footerReference r:id="rId4" w:type="default"/>
              <w:pgSz w:w="11906" w:h="16838"/>
              <w:pgMar w:top="1134" w:right="1417" w:bottom="1134" w:left="1417" w:header="720" w:footer="720" w:gutter="0"/>
              <w:pgNumType w:start="0"/>
              <w:cols w:space="720" w:num="1"/>
              <w:titlePg/>
              <w:docGrid w:type="linesAndChars" w:linePitch="331" w:charSpace="0"/>
            </w:sectPr>
          </w:pPr>
          <w:r>
            <w:rPr>
              <w:rFonts w:ascii="Arial" w:hAnsi="Arial" w:eastAsia="宋体" w:cs="Arial"/>
              <w:color w:val="auto"/>
              <w:szCs w:val="48"/>
              <w:highlight w:val="none"/>
            </w:rPr>
            <w:fldChar w:fldCharType="end"/>
          </w:r>
        </w:p>
      </w:sdtContent>
    </w:sdt>
    <w:p w14:paraId="40AEF649">
      <w:pPr>
        <w:pStyle w:val="2"/>
        <w:snapToGrid w:val="0"/>
        <w:spacing w:before="0" w:after="0" w:line="240" w:lineRule="auto"/>
        <w:jc w:val="center"/>
        <w:rPr>
          <w:color w:val="auto"/>
          <w:highlight w:val="none"/>
        </w:rPr>
      </w:pPr>
      <w:bookmarkStart w:id="0" w:name="_Toc25419"/>
      <w:bookmarkStart w:id="1" w:name="_Toc11589"/>
      <w:r>
        <w:rPr>
          <w:color w:val="auto"/>
          <w:highlight w:val="none"/>
        </w:rPr>
        <w:t>第一章 竞争性谈判</w:t>
      </w:r>
      <w:bookmarkEnd w:id="0"/>
      <w:r>
        <w:rPr>
          <w:color w:val="auto"/>
          <w:highlight w:val="none"/>
        </w:rPr>
        <w:t>公告</w:t>
      </w:r>
      <w:bookmarkEnd w:id="1"/>
    </w:p>
    <w:p w14:paraId="30FBC13F">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color w:val="auto"/>
          <w:highlight w:val="none"/>
        </w:rPr>
      </w:pPr>
      <w:r>
        <w:rPr>
          <w:rFonts w:ascii="Arial" w:hAnsi="Arial" w:eastAsia="宋体" w:cs="Arial"/>
          <w:color w:val="auto"/>
          <w:highlight w:val="none"/>
        </w:rPr>
        <w:t>项目概况</w:t>
      </w:r>
    </w:p>
    <w:p w14:paraId="25DF969C">
      <w:pPr>
        <w:pBdr>
          <w:top w:val="single" w:color="auto" w:sz="4" w:space="1"/>
          <w:left w:val="single" w:color="auto" w:sz="4" w:space="4"/>
          <w:bottom w:val="single" w:color="auto" w:sz="4" w:space="1"/>
          <w:right w:val="single" w:color="auto" w:sz="4" w:space="4"/>
        </w:pBdr>
        <w:spacing w:line="320" w:lineRule="exact"/>
        <w:ind w:firstLine="420" w:firstLineChars="200"/>
        <w:rPr>
          <w:rFonts w:ascii="Arial" w:hAnsi="Arial" w:eastAsia="宋体" w:cs="Arial"/>
          <w:color w:val="auto"/>
          <w:highlight w:val="none"/>
        </w:rPr>
      </w:pPr>
      <w:r>
        <w:rPr>
          <w:rFonts w:hint="eastAsia" w:ascii="Arial" w:hAnsi="Arial" w:eastAsia="宋体" w:cs="Arial"/>
          <w:bCs/>
          <w:color w:val="auto"/>
          <w:highlight w:val="none"/>
          <w:u w:val="single"/>
        </w:rPr>
        <w:t>材料学院采购计算平台等设备</w:t>
      </w:r>
      <w:r>
        <w:rPr>
          <w:rFonts w:ascii="Arial" w:hAnsi="Arial" w:eastAsia="宋体" w:cs="Arial"/>
          <w:bCs/>
          <w:color w:val="auto"/>
          <w:highlight w:val="none"/>
          <w:u w:val="single"/>
        </w:rPr>
        <w:t>（项目编号：</w:t>
      </w:r>
      <w:r>
        <w:rPr>
          <w:rFonts w:hint="eastAsia" w:ascii="Arial" w:hAnsi="Arial" w:eastAsia="宋体" w:cs="Arial"/>
          <w:bCs/>
          <w:color w:val="auto"/>
          <w:highlight w:val="none"/>
          <w:u w:val="single"/>
          <w:lang w:eastAsia="zh-CN"/>
        </w:rPr>
        <w:t>GXJD-24114CC031163</w:t>
      </w:r>
      <w:r>
        <w:rPr>
          <w:rFonts w:ascii="Arial" w:hAnsi="Arial" w:eastAsia="宋体" w:cs="Arial"/>
          <w:bCs/>
          <w:color w:val="auto"/>
          <w:highlight w:val="none"/>
          <w:u w:val="single"/>
        </w:rPr>
        <w:t>）</w:t>
      </w:r>
      <w:r>
        <w:rPr>
          <w:rFonts w:ascii="Arial" w:hAnsi="Arial" w:eastAsia="宋体" w:cs="Arial"/>
          <w:color w:val="auto"/>
          <w:highlight w:val="none"/>
        </w:rPr>
        <w:t>的潜在供应商应登录中国招标投标公共服务平台网（www.cebpubservice.com），从网上下载竞争性谈判文件电子版，并于</w:t>
      </w:r>
      <w:r>
        <w:rPr>
          <w:rFonts w:ascii="Arial" w:hAnsi="Arial" w:eastAsia="宋体" w:cs="Arial"/>
          <w:color w:val="auto"/>
          <w:highlight w:val="none"/>
          <w:u w:val="single"/>
        </w:rPr>
        <w:t>2024年</w:t>
      </w:r>
      <w:r>
        <w:rPr>
          <w:rFonts w:hint="eastAsia" w:ascii="Arial" w:hAnsi="Arial" w:eastAsia="宋体" w:cs="Arial"/>
          <w:color w:val="auto"/>
          <w:highlight w:val="none"/>
          <w:u w:val="single"/>
          <w:lang w:val="en-US" w:eastAsia="zh-CN"/>
        </w:rPr>
        <w:t>7</w:t>
      </w:r>
      <w:r>
        <w:rPr>
          <w:rFonts w:ascii="Arial" w:hAnsi="Arial" w:eastAsia="宋体" w:cs="Arial"/>
          <w:color w:val="auto"/>
          <w:highlight w:val="none"/>
          <w:u w:val="single"/>
        </w:rPr>
        <w:t>月</w:t>
      </w:r>
      <w:r>
        <w:rPr>
          <w:rFonts w:hint="eastAsia" w:ascii="Arial" w:hAnsi="Arial" w:eastAsia="宋体" w:cs="Arial"/>
          <w:color w:val="auto"/>
          <w:highlight w:val="none"/>
          <w:u w:val="single"/>
          <w:lang w:val="en-US" w:eastAsia="zh-CN"/>
        </w:rPr>
        <w:t>29</w:t>
      </w:r>
      <w:r>
        <w:rPr>
          <w:rFonts w:ascii="Arial" w:hAnsi="Arial" w:eastAsia="宋体" w:cs="Arial"/>
          <w:color w:val="auto"/>
          <w:highlight w:val="none"/>
          <w:u w:val="single"/>
        </w:rPr>
        <w:t>日</w:t>
      </w:r>
      <w:r>
        <w:rPr>
          <w:rFonts w:hint="eastAsia" w:ascii="Arial" w:hAnsi="Arial" w:eastAsia="宋体" w:cs="Arial"/>
          <w:bCs/>
          <w:color w:val="auto"/>
          <w:highlight w:val="none"/>
          <w:u w:val="single"/>
          <w:lang w:val="en-US" w:eastAsia="zh-CN"/>
        </w:rPr>
        <w:t>15</w:t>
      </w:r>
      <w:r>
        <w:rPr>
          <w:rFonts w:ascii="Arial" w:hAnsi="Arial" w:eastAsia="宋体" w:cs="Arial"/>
          <w:bCs/>
          <w:color w:val="auto"/>
          <w:highlight w:val="none"/>
          <w:u w:val="single"/>
        </w:rPr>
        <w:t>：</w:t>
      </w:r>
      <w:r>
        <w:rPr>
          <w:rFonts w:hint="eastAsia" w:ascii="Arial" w:hAnsi="Arial" w:eastAsia="宋体" w:cs="Arial"/>
          <w:bCs/>
          <w:color w:val="auto"/>
          <w:highlight w:val="none"/>
          <w:u w:val="single"/>
          <w:lang w:val="en-US" w:eastAsia="zh-CN"/>
        </w:rPr>
        <w:t>0</w:t>
      </w:r>
      <w:r>
        <w:rPr>
          <w:rFonts w:ascii="Arial" w:hAnsi="Arial" w:eastAsia="宋体" w:cs="Arial"/>
          <w:bCs/>
          <w:color w:val="auto"/>
          <w:highlight w:val="none"/>
          <w:u w:val="single"/>
        </w:rPr>
        <w:t>0</w:t>
      </w:r>
      <w:r>
        <w:rPr>
          <w:rFonts w:ascii="Arial" w:hAnsi="Arial" w:eastAsia="宋体" w:cs="Arial"/>
          <w:bCs/>
          <w:color w:val="auto"/>
          <w:highlight w:val="none"/>
        </w:rPr>
        <w:t>（北京时间）前提交响应文件</w:t>
      </w:r>
      <w:r>
        <w:rPr>
          <w:rFonts w:ascii="Arial" w:hAnsi="Arial" w:eastAsia="宋体" w:cs="Arial"/>
          <w:color w:val="auto"/>
          <w:highlight w:val="none"/>
        </w:rPr>
        <w:t>。</w:t>
      </w:r>
    </w:p>
    <w:p w14:paraId="5248999A">
      <w:pPr>
        <w:snapToGrid w:val="0"/>
        <w:spacing w:line="360"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一、项目基本情况</w:t>
      </w:r>
    </w:p>
    <w:p w14:paraId="70A03594">
      <w:pPr>
        <w:snapToGrid w:val="0"/>
        <w:spacing w:line="360" w:lineRule="auto"/>
        <w:ind w:firstLine="420" w:firstLineChars="200"/>
        <w:rPr>
          <w:rFonts w:hint="eastAsia" w:ascii="Arial" w:hAnsi="Arial" w:eastAsia="宋体" w:cs="Arial"/>
          <w:color w:val="auto"/>
          <w:szCs w:val="21"/>
          <w:highlight w:val="none"/>
          <w:lang w:eastAsia="zh-CN"/>
        </w:rPr>
      </w:pPr>
      <w:r>
        <w:rPr>
          <w:rFonts w:ascii="Arial" w:hAnsi="Arial" w:eastAsia="宋体" w:cs="Arial"/>
          <w:color w:val="auto"/>
          <w:highlight w:val="none"/>
        </w:rPr>
        <w:t>项目编号：</w:t>
      </w:r>
      <w:r>
        <w:rPr>
          <w:rFonts w:hint="eastAsia" w:ascii="Arial" w:hAnsi="Arial" w:eastAsia="宋体" w:cs="Arial"/>
          <w:color w:val="auto"/>
          <w:szCs w:val="21"/>
          <w:highlight w:val="none"/>
          <w:lang w:eastAsia="zh-CN"/>
        </w:rPr>
        <w:t>GXJD-24114CC031163</w:t>
      </w:r>
    </w:p>
    <w:p w14:paraId="2E064861">
      <w:pPr>
        <w:snapToGrid w:val="0"/>
        <w:spacing w:line="360" w:lineRule="auto"/>
        <w:ind w:firstLine="420" w:firstLineChars="200"/>
        <w:rPr>
          <w:rFonts w:ascii="Arial" w:hAnsi="Arial" w:eastAsia="宋体" w:cs="Arial"/>
          <w:color w:val="auto"/>
          <w:highlight w:val="none"/>
          <w:u w:val="single"/>
        </w:rPr>
      </w:pPr>
      <w:r>
        <w:rPr>
          <w:rFonts w:ascii="Arial" w:hAnsi="Arial" w:eastAsia="宋体" w:cs="Arial"/>
          <w:color w:val="auto"/>
          <w:highlight w:val="none"/>
        </w:rPr>
        <w:t>项目名称：</w:t>
      </w:r>
      <w:r>
        <w:rPr>
          <w:rFonts w:hint="eastAsia" w:ascii="Arial" w:hAnsi="Arial" w:eastAsia="宋体" w:cs="Arial"/>
          <w:color w:val="auto"/>
          <w:highlight w:val="none"/>
        </w:rPr>
        <w:t>材料学院采购计算平台等设备</w:t>
      </w:r>
    </w:p>
    <w:p w14:paraId="0BAC8C3F">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采购方式：竞争性谈判</w:t>
      </w:r>
    </w:p>
    <w:p w14:paraId="6C6C497B">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采购预算金额：</w:t>
      </w:r>
      <w:r>
        <w:rPr>
          <w:rFonts w:hint="eastAsia" w:ascii="Arial" w:hAnsi="Arial" w:eastAsia="宋体" w:cs="Arial"/>
          <w:color w:val="auto"/>
          <w:highlight w:val="none"/>
        </w:rPr>
        <w:t>人民币捌拾万元整（¥800000.00）</w:t>
      </w:r>
    </w:p>
    <w:p w14:paraId="67BDFBB1">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项目采购需求：</w:t>
      </w:r>
      <w:r>
        <w:rPr>
          <w:rFonts w:hint="eastAsia" w:ascii="Arial" w:hAnsi="Arial" w:eastAsia="宋体" w:cs="Arial"/>
          <w:color w:val="auto"/>
          <w:highlight w:val="none"/>
        </w:rPr>
        <w:t>IT管理系统1套、服务材料筛选的机器学习系统软件1套、基于图神经网络的晶体结构表征及属性预测软件1套、基于原子环境的结构特征提取软件3套、晶体结构预测软件3套</w:t>
      </w:r>
      <w:r>
        <w:rPr>
          <w:rFonts w:ascii="Arial" w:hAnsi="Arial" w:eastAsia="宋体" w:cs="Arial"/>
          <w:color w:val="auto"/>
          <w:szCs w:val="21"/>
          <w:highlight w:val="none"/>
        </w:rPr>
        <w:t>，</w:t>
      </w:r>
      <w:r>
        <w:rPr>
          <w:rFonts w:ascii="Arial" w:hAnsi="Arial" w:eastAsia="宋体" w:cs="Arial"/>
          <w:color w:val="auto"/>
          <w:highlight w:val="none"/>
        </w:rPr>
        <w:t>如需进一步了解，具体详见谈判文件。</w:t>
      </w:r>
    </w:p>
    <w:p w14:paraId="55933800">
      <w:pPr>
        <w:snapToGrid w:val="0"/>
        <w:spacing w:line="360"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二、供应商的资格条件：</w:t>
      </w:r>
    </w:p>
    <w:p w14:paraId="70D6E86B">
      <w:pPr>
        <w:snapToGrid w:val="0"/>
        <w:spacing w:line="360" w:lineRule="auto"/>
        <w:ind w:firstLine="420" w:firstLineChars="200"/>
        <w:rPr>
          <w:rFonts w:ascii="Arial" w:hAnsi="Arial" w:eastAsia="宋体" w:cs="Arial"/>
          <w:color w:val="auto"/>
          <w:highlight w:val="none"/>
        </w:rPr>
      </w:pPr>
      <w:bookmarkStart w:id="2" w:name="_Toc28359014"/>
      <w:bookmarkStart w:id="3" w:name="_Toc28359091"/>
      <w:r>
        <w:rPr>
          <w:rFonts w:ascii="Arial" w:hAnsi="Arial" w:eastAsia="宋体" w:cs="Arial"/>
          <w:color w:val="auto"/>
          <w:highlight w:val="none"/>
        </w:rPr>
        <w:t>1.符合《中华人民共和国政府采购法》第二十二条规定。</w:t>
      </w:r>
    </w:p>
    <w:p w14:paraId="61435CF9">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2.供应商的特定资格要求：</w:t>
      </w:r>
      <w:r>
        <w:rPr>
          <w:rFonts w:hint="eastAsia" w:ascii="Arial" w:hAnsi="Arial" w:eastAsia="宋体" w:cs="Arial"/>
          <w:b/>
          <w:bCs/>
          <w:color w:val="auto"/>
          <w:highlight w:val="none"/>
        </w:rPr>
        <w:t>本项目非专门面向中小微企业采购</w:t>
      </w:r>
      <w:r>
        <w:rPr>
          <w:rFonts w:ascii="Arial" w:hAnsi="Arial" w:eastAsia="宋体" w:cs="Arial"/>
          <w:b/>
          <w:bCs/>
          <w:color w:val="auto"/>
          <w:highlight w:val="none"/>
        </w:rPr>
        <w:t>。</w:t>
      </w:r>
    </w:p>
    <w:p w14:paraId="04854404">
      <w:pPr>
        <w:snapToGrid w:val="0"/>
        <w:spacing w:line="360" w:lineRule="auto"/>
        <w:ind w:firstLine="420" w:firstLineChars="200"/>
        <w:rPr>
          <w:rFonts w:ascii="Arial" w:hAnsi="Arial" w:eastAsia="宋体" w:cs="Arial"/>
          <w:color w:val="auto"/>
          <w:highlight w:val="none"/>
        </w:rPr>
      </w:pPr>
      <w:r>
        <w:rPr>
          <w:rFonts w:ascii="Arial" w:hAnsi="Arial" w:eastAsia="宋体" w:cs="Arial"/>
          <w:color w:val="auto"/>
          <w:highlight w:val="none"/>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79ED21F8">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4.对在“信用中国”网站(www.creditchina.gov.cn)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54744B89">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5.本项目不接受联合体参与谈判。</w:t>
      </w:r>
    </w:p>
    <w:bookmarkEnd w:id="2"/>
    <w:bookmarkEnd w:id="3"/>
    <w:p w14:paraId="548546C4">
      <w:pPr>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三、获取采购文件</w:t>
      </w:r>
    </w:p>
    <w:p w14:paraId="0F646126">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获取竞争性谈判文件方式：潜在供应商登陆中国招标投标公共服务平台网（www.cebpubservice.com），从网上下载竞争性谈判文件电子版；并根据竞争性谈判文件规定的响应文件递交截止时间和地点直接提交响应文件参与谈判。</w:t>
      </w:r>
    </w:p>
    <w:p w14:paraId="36D6905C">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售价(元)：0元。</w:t>
      </w:r>
    </w:p>
    <w:p w14:paraId="5CAF4085">
      <w:pPr>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四、谈判保证金的金额（人民币）：</w:t>
      </w:r>
      <w:r>
        <w:rPr>
          <w:rFonts w:hint="eastAsia" w:ascii="Arial" w:hAnsi="Arial" w:eastAsia="宋体" w:cs="Arial"/>
          <w:b/>
          <w:bCs/>
          <w:color w:val="auto"/>
          <w:szCs w:val="21"/>
          <w:highlight w:val="none"/>
        </w:rPr>
        <w:t>捌仟元整（¥8000.00）</w:t>
      </w:r>
      <w:r>
        <w:rPr>
          <w:rFonts w:ascii="Arial" w:hAnsi="Arial" w:eastAsia="宋体" w:cs="Arial"/>
          <w:b/>
          <w:bCs/>
          <w:color w:val="auto"/>
          <w:szCs w:val="21"/>
          <w:highlight w:val="none"/>
        </w:rPr>
        <w:t>；（须足额缴纳）</w:t>
      </w:r>
    </w:p>
    <w:p w14:paraId="45538D97">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供应商应于截标时间前将谈判保证金以电汇、转账形式从供应商账户一次性足额交纳至以下账号。本项目谈判保证金交纳账号信息如下：</w:t>
      </w:r>
    </w:p>
    <w:p w14:paraId="1CFE78B5">
      <w:pPr>
        <w:snapToGrid w:val="0"/>
        <w:spacing w:line="312"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开户银行：平安银行南宁分行营业部</w:t>
      </w:r>
    </w:p>
    <w:p w14:paraId="6D0AE18B">
      <w:pPr>
        <w:snapToGrid w:val="0"/>
        <w:spacing w:line="312"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开户名称：广西机电设备招标有限公司</w:t>
      </w:r>
    </w:p>
    <w:p w14:paraId="04CBD979">
      <w:pPr>
        <w:snapToGrid w:val="0"/>
        <w:spacing w:line="312" w:lineRule="auto"/>
        <w:ind w:firstLine="420" w:firstLineChars="200"/>
        <w:rPr>
          <w:rFonts w:hint="eastAsia" w:ascii="Arial" w:hAnsi="Arial" w:eastAsia="宋体" w:cs="Arial"/>
          <w:color w:val="auto"/>
          <w:highlight w:val="none"/>
        </w:rPr>
      </w:pPr>
      <w:r>
        <w:rPr>
          <w:rFonts w:hint="eastAsia" w:ascii="Arial" w:hAnsi="Arial" w:eastAsia="宋体" w:cs="Arial"/>
          <w:color w:val="auto"/>
          <w:highlight w:val="none"/>
        </w:rPr>
        <w:t>开户账户：30210485450313</w:t>
      </w:r>
    </w:p>
    <w:p w14:paraId="4A337EB0">
      <w:pPr>
        <w:snapToGrid w:val="0"/>
        <w:spacing w:line="312" w:lineRule="auto"/>
        <w:ind w:firstLine="420" w:firstLineChars="200"/>
        <w:rPr>
          <w:rFonts w:ascii="Arial" w:hAnsi="Arial" w:eastAsia="宋体" w:cs="Arial"/>
          <w:color w:val="auto"/>
          <w:highlight w:val="none"/>
        </w:rPr>
      </w:pPr>
      <w:r>
        <w:rPr>
          <w:rFonts w:ascii="Arial" w:hAnsi="Arial" w:eastAsia="宋体" w:cs="Arial"/>
          <w:color w:val="auto"/>
          <w:highlight w:val="none"/>
        </w:rPr>
        <w:t>特别说明：本项目保证金退还时将采用原路返回的方式，因此本项目不接受现金、支付宝、微信等第三方支付形式递交的保证金。凡未在规定时间内足额交纳或以其它方式交纳的谈判保证金均视为无效，其响应文件一律作无效处理。</w:t>
      </w:r>
    </w:p>
    <w:p w14:paraId="5332AAA6">
      <w:pPr>
        <w:keepNext w:val="0"/>
        <w:keepLines w:val="0"/>
        <w:pageBreakBefore w:val="0"/>
        <w:widowControl w:val="0"/>
        <w:kinsoku/>
        <w:wordWrap/>
        <w:overflowPunct/>
        <w:topLinePunct w:val="0"/>
        <w:autoSpaceDE/>
        <w:autoSpaceDN/>
        <w:bidi w:val="0"/>
        <w:snapToGrid w:val="0"/>
        <w:spacing w:line="300" w:lineRule="auto"/>
        <w:ind w:firstLine="422" w:firstLineChars="20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五、响应文件提交</w:t>
      </w:r>
    </w:p>
    <w:p w14:paraId="1E1F7735">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color w:val="auto"/>
          <w:szCs w:val="21"/>
          <w:highlight w:val="none"/>
        </w:rPr>
        <w:t>首次响应文件提交截止时间：2024年</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29</w:t>
      </w:r>
      <w:r>
        <w:rPr>
          <w:rFonts w:hint="eastAsia" w:ascii="Arial" w:hAnsi="Arial" w:eastAsia="宋体" w:cs="Arial"/>
          <w:color w:val="auto"/>
          <w:szCs w:val="21"/>
          <w:highlight w:val="none"/>
        </w:rPr>
        <w:t>日</w:t>
      </w:r>
      <w:r>
        <w:rPr>
          <w:rFonts w:hint="eastAsia" w:ascii="Arial" w:hAnsi="Arial" w:eastAsia="宋体" w:cs="Arial"/>
          <w:bCs/>
          <w:color w:val="auto"/>
          <w:szCs w:val="21"/>
          <w:highlight w:val="none"/>
          <w:lang w:val="en-US" w:eastAsia="zh-CN"/>
        </w:rPr>
        <w:t>15</w:t>
      </w:r>
      <w:r>
        <w:rPr>
          <w:rFonts w:ascii="Arial" w:hAnsi="Arial" w:eastAsia="宋体" w:cs="Arial"/>
          <w:bCs/>
          <w:color w:val="auto"/>
          <w:szCs w:val="21"/>
          <w:highlight w:val="none"/>
        </w:rPr>
        <w:t>时</w:t>
      </w:r>
      <w:r>
        <w:rPr>
          <w:rFonts w:hint="eastAsia" w:ascii="Arial" w:hAnsi="Arial" w:eastAsia="宋体" w:cs="Arial"/>
          <w:bCs/>
          <w:color w:val="auto"/>
          <w:szCs w:val="21"/>
          <w:highlight w:val="none"/>
          <w:lang w:val="en-US" w:eastAsia="zh-CN"/>
        </w:rPr>
        <w:t>0</w:t>
      </w:r>
      <w:r>
        <w:rPr>
          <w:rFonts w:ascii="Arial" w:hAnsi="Arial" w:eastAsia="宋体" w:cs="Arial"/>
          <w:bCs/>
          <w:color w:val="auto"/>
          <w:szCs w:val="21"/>
          <w:highlight w:val="none"/>
        </w:rPr>
        <w:t>0分</w:t>
      </w:r>
    </w:p>
    <w:p w14:paraId="5F4939B1">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bCs/>
          <w:color w:val="auto"/>
          <w:szCs w:val="21"/>
          <w:highlight w:val="none"/>
        </w:rPr>
        <w:t>首次响应文件提交起止时间：</w:t>
      </w:r>
      <w:r>
        <w:rPr>
          <w:rFonts w:ascii="Arial" w:hAnsi="Arial" w:eastAsia="宋体" w:cs="Arial"/>
          <w:color w:val="auto"/>
          <w:szCs w:val="21"/>
          <w:highlight w:val="none"/>
        </w:rPr>
        <w:t xml:space="preserve">2024年 </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29</w:t>
      </w:r>
      <w:r>
        <w:rPr>
          <w:rFonts w:hint="eastAsia" w:ascii="Arial" w:hAnsi="Arial" w:eastAsia="宋体" w:cs="Arial"/>
          <w:color w:val="auto"/>
          <w:szCs w:val="21"/>
          <w:highlight w:val="none"/>
        </w:rPr>
        <w:t>日</w:t>
      </w:r>
      <w:r>
        <w:rPr>
          <w:rFonts w:hint="eastAsia" w:ascii="Arial" w:hAnsi="Arial" w:eastAsia="宋体" w:cs="Arial"/>
          <w:bCs/>
          <w:color w:val="auto"/>
          <w:szCs w:val="21"/>
          <w:highlight w:val="none"/>
          <w:lang w:val="en-US" w:eastAsia="zh-CN"/>
        </w:rPr>
        <w:t>14</w:t>
      </w:r>
      <w:r>
        <w:rPr>
          <w:rFonts w:ascii="Arial" w:hAnsi="Arial" w:eastAsia="宋体" w:cs="Arial"/>
          <w:bCs/>
          <w:color w:val="auto"/>
          <w:szCs w:val="21"/>
          <w:highlight w:val="none"/>
        </w:rPr>
        <w:t>时30分起至</w:t>
      </w:r>
      <w:r>
        <w:rPr>
          <w:rFonts w:hint="eastAsia" w:ascii="Arial" w:hAnsi="Arial" w:eastAsia="宋体" w:cs="Arial"/>
          <w:bCs/>
          <w:color w:val="auto"/>
          <w:szCs w:val="21"/>
          <w:highlight w:val="none"/>
          <w:lang w:val="en-US" w:eastAsia="zh-CN"/>
        </w:rPr>
        <w:t>15</w:t>
      </w:r>
      <w:r>
        <w:rPr>
          <w:rFonts w:ascii="Arial" w:hAnsi="Arial" w:eastAsia="宋体" w:cs="Arial"/>
          <w:bCs/>
          <w:color w:val="auto"/>
          <w:szCs w:val="21"/>
          <w:highlight w:val="none"/>
        </w:rPr>
        <w:t>时</w:t>
      </w:r>
      <w:r>
        <w:rPr>
          <w:rFonts w:hint="eastAsia" w:ascii="Arial" w:hAnsi="Arial" w:eastAsia="宋体" w:cs="Arial"/>
          <w:bCs/>
          <w:color w:val="auto"/>
          <w:szCs w:val="21"/>
          <w:highlight w:val="none"/>
          <w:lang w:val="en-US" w:eastAsia="zh-CN"/>
        </w:rPr>
        <w:t>0</w:t>
      </w:r>
      <w:r>
        <w:rPr>
          <w:rFonts w:ascii="Arial" w:hAnsi="Arial" w:eastAsia="宋体" w:cs="Arial"/>
          <w:bCs/>
          <w:color w:val="auto"/>
          <w:szCs w:val="21"/>
          <w:highlight w:val="none"/>
        </w:rPr>
        <w:t>0分止</w:t>
      </w:r>
    </w:p>
    <w:p w14:paraId="5511AF64">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bookmarkStart w:id="4" w:name="_Toc35393634"/>
      <w:bookmarkStart w:id="5" w:name="_Toc28359017"/>
      <w:bookmarkStart w:id="6" w:name="_Toc35393803"/>
      <w:bookmarkStart w:id="7" w:name="_Toc28359094"/>
      <w:r>
        <w:rPr>
          <w:rFonts w:ascii="Arial" w:hAnsi="Arial" w:eastAsia="宋体" w:cs="Arial"/>
          <w:color w:val="auto"/>
          <w:szCs w:val="21"/>
          <w:highlight w:val="none"/>
        </w:rPr>
        <w:t>首次响应文件提交地点：</w:t>
      </w:r>
      <w:r>
        <w:rPr>
          <w:rFonts w:hint="eastAsia" w:ascii="Arial" w:hAnsi="Arial" w:eastAsia="宋体" w:cs="Arial"/>
          <w:color w:val="auto"/>
          <w:szCs w:val="21"/>
          <w:highlight w:val="none"/>
        </w:rPr>
        <w:t>广西机电设备招标有限公司桂林分公司</w:t>
      </w:r>
      <w:r>
        <w:rPr>
          <w:rFonts w:hint="eastAsia" w:ascii="Arial" w:hAnsi="Arial" w:eastAsia="宋体" w:cs="Arial"/>
          <w:color w:val="auto"/>
          <w:szCs w:val="21"/>
          <w:highlight w:val="none"/>
          <w:lang w:val="en-US" w:eastAsia="zh-CN"/>
        </w:rPr>
        <w:t>开标室</w:t>
      </w:r>
    </w:p>
    <w:p w14:paraId="162658E1">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bCs/>
          <w:color w:val="auto"/>
          <w:szCs w:val="21"/>
          <w:highlight w:val="none"/>
        </w:rPr>
        <w:t>注：供应商应当在首次响应文件提交截止时间前，</w:t>
      </w:r>
      <w:r>
        <w:rPr>
          <w:rFonts w:ascii="Arial" w:hAnsi="Arial" w:eastAsia="宋体" w:cs="Arial"/>
          <w:b/>
          <w:color w:val="auto"/>
          <w:szCs w:val="21"/>
          <w:highlight w:val="none"/>
        </w:rPr>
        <w:t>授权代表</w:t>
      </w:r>
      <w:r>
        <w:rPr>
          <w:rFonts w:ascii="Arial" w:hAnsi="Arial" w:eastAsia="宋体" w:cs="Arial"/>
          <w:b/>
          <w:bCs/>
          <w:color w:val="auto"/>
          <w:kern w:val="0"/>
          <w:szCs w:val="21"/>
          <w:highlight w:val="none"/>
        </w:rPr>
        <w:t>携带授权委托书及身份证原件（法定代表人携带法定代表人身份证原件与法定代表人身份证明原件）</w:t>
      </w:r>
      <w:r>
        <w:rPr>
          <w:rFonts w:ascii="Arial" w:hAnsi="Arial" w:eastAsia="宋体" w:cs="Arial"/>
          <w:bCs/>
          <w:color w:val="auto"/>
          <w:szCs w:val="21"/>
          <w:highlight w:val="none"/>
        </w:rPr>
        <w:t>将响应文件密封送达首次响应文件提交地点。在首次响应文件提交截止时间后送达的响应文件为无效文件，采购代理机构应当拒收。</w:t>
      </w:r>
    </w:p>
    <w:p w14:paraId="5A92A1FB">
      <w:pPr>
        <w:keepNext w:val="0"/>
        <w:keepLines w:val="0"/>
        <w:pageBreakBefore w:val="0"/>
        <w:widowControl w:val="0"/>
        <w:kinsoku/>
        <w:wordWrap/>
        <w:overflowPunct/>
        <w:topLinePunct w:val="0"/>
        <w:autoSpaceDE/>
        <w:autoSpaceDN/>
        <w:bidi w:val="0"/>
        <w:adjustRightInd w:val="0"/>
        <w:snapToGrid w:val="0"/>
        <w:spacing w:after="0" w:line="300" w:lineRule="auto"/>
        <w:ind w:firstLine="422" w:firstLineChars="200"/>
        <w:textAlignment w:val="auto"/>
        <w:rPr>
          <w:rFonts w:ascii="Arial" w:hAnsi="Arial" w:eastAsia="宋体" w:cs="Arial"/>
          <w:b/>
          <w:bCs/>
          <w:color w:val="auto"/>
          <w:szCs w:val="21"/>
          <w:highlight w:val="none"/>
        </w:rPr>
      </w:pPr>
      <w:bookmarkStart w:id="8" w:name="_Toc28359016"/>
      <w:bookmarkStart w:id="9" w:name="_Toc28359093"/>
      <w:bookmarkStart w:id="10" w:name="_Toc35393633"/>
      <w:bookmarkStart w:id="11" w:name="_Toc35393802"/>
      <w:r>
        <w:rPr>
          <w:rFonts w:ascii="Arial" w:hAnsi="Arial" w:eastAsia="宋体" w:cs="Arial"/>
          <w:b/>
          <w:bCs/>
          <w:color w:val="auto"/>
          <w:szCs w:val="21"/>
          <w:highlight w:val="none"/>
        </w:rPr>
        <w:t>六、</w:t>
      </w:r>
      <w:bookmarkEnd w:id="8"/>
      <w:bookmarkEnd w:id="9"/>
      <w:bookmarkEnd w:id="10"/>
      <w:bookmarkEnd w:id="11"/>
      <w:r>
        <w:rPr>
          <w:rFonts w:ascii="Arial" w:hAnsi="Arial" w:eastAsia="宋体" w:cs="Arial"/>
          <w:b/>
          <w:bCs/>
          <w:color w:val="auto"/>
          <w:szCs w:val="21"/>
          <w:highlight w:val="none"/>
        </w:rPr>
        <w:t>响应文件开启时间、谈判时间及地点</w:t>
      </w:r>
    </w:p>
    <w:p w14:paraId="69354AF7">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bCs/>
          <w:color w:val="auto"/>
          <w:szCs w:val="21"/>
          <w:highlight w:val="none"/>
        </w:rPr>
        <w:t>响应文件开启时间</w:t>
      </w:r>
      <w:r>
        <w:rPr>
          <w:rFonts w:ascii="Arial" w:hAnsi="Arial" w:eastAsia="宋体" w:cs="Arial"/>
          <w:color w:val="auto"/>
          <w:szCs w:val="21"/>
          <w:highlight w:val="none"/>
        </w:rPr>
        <w:t>：首次响应文件提交截止时间后</w:t>
      </w:r>
    </w:p>
    <w:p w14:paraId="0BE082C2">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color w:val="auto"/>
          <w:szCs w:val="21"/>
          <w:highlight w:val="none"/>
        </w:rPr>
      </w:pPr>
      <w:r>
        <w:rPr>
          <w:rFonts w:ascii="Arial" w:hAnsi="Arial" w:eastAsia="宋体" w:cs="Arial"/>
          <w:bCs/>
          <w:color w:val="auto"/>
          <w:szCs w:val="21"/>
          <w:highlight w:val="none"/>
        </w:rPr>
        <w:t>谈判时间：</w:t>
      </w:r>
      <w:r>
        <w:rPr>
          <w:rFonts w:ascii="Arial" w:hAnsi="Arial" w:eastAsia="宋体" w:cs="Arial"/>
          <w:color w:val="auto"/>
          <w:szCs w:val="21"/>
          <w:highlight w:val="none"/>
        </w:rPr>
        <w:t>首次响应文件提交截止时间后（具体时间由采购代理机构另行通知）</w:t>
      </w:r>
    </w:p>
    <w:p w14:paraId="2E7C1D82">
      <w:pPr>
        <w:keepNext w:val="0"/>
        <w:keepLines w:val="0"/>
        <w:pageBreakBefore w:val="0"/>
        <w:widowControl w:val="0"/>
        <w:kinsoku/>
        <w:wordWrap/>
        <w:overflowPunct/>
        <w:topLinePunct w:val="0"/>
        <w:autoSpaceDE/>
        <w:autoSpaceDN/>
        <w:bidi w:val="0"/>
        <w:adjustRightInd w:val="0"/>
        <w:snapToGrid w:val="0"/>
        <w:spacing w:after="0" w:line="300" w:lineRule="auto"/>
        <w:ind w:firstLine="420" w:firstLineChars="200"/>
        <w:textAlignment w:val="auto"/>
        <w:rPr>
          <w:rFonts w:ascii="Arial" w:hAnsi="Arial" w:eastAsia="宋体" w:cs="Arial"/>
          <w:bCs/>
          <w:color w:val="auto"/>
          <w:szCs w:val="21"/>
          <w:highlight w:val="none"/>
        </w:rPr>
      </w:pPr>
      <w:r>
        <w:rPr>
          <w:rFonts w:ascii="Arial" w:hAnsi="Arial" w:eastAsia="宋体" w:cs="Arial"/>
          <w:color w:val="auto"/>
          <w:szCs w:val="21"/>
          <w:highlight w:val="none"/>
        </w:rPr>
        <w:t>地点：</w:t>
      </w:r>
      <w:r>
        <w:rPr>
          <w:rFonts w:hint="eastAsia" w:ascii="Arial" w:hAnsi="Arial" w:eastAsia="宋体" w:cs="Arial"/>
          <w:color w:val="auto"/>
          <w:szCs w:val="21"/>
          <w:highlight w:val="none"/>
          <w:lang w:eastAsia="zh-CN"/>
        </w:rPr>
        <w:t>广西机电设备招标有限公司</w:t>
      </w:r>
      <w:r>
        <w:rPr>
          <w:rFonts w:hint="eastAsia" w:ascii="Arial" w:hAnsi="Arial" w:eastAsia="宋体" w:cs="Arial"/>
          <w:color w:val="auto"/>
          <w:szCs w:val="21"/>
          <w:highlight w:val="none"/>
        </w:rPr>
        <w:t>桂林分公司</w:t>
      </w:r>
      <w:r>
        <w:rPr>
          <w:rFonts w:hint="eastAsia" w:ascii="Arial" w:hAnsi="Arial" w:eastAsia="宋体" w:cs="Arial"/>
          <w:color w:val="auto"/>
          <w:szCs w:val="21"/>
          <w:highlight w:val="none"/>
          <w:lang w:val="en-US" w:eastAsia="zh-CN"/>
        </w:rPr>
        <w:t>评标室</w:t>
      </w:r>
    </w:p>
    <w:p w14:paraId="1E12EB32">
      <w:pPr>
        <w:keepNext w:val="0"/>
        <w:keepLines w:val="0"/>
        <w:pageBreakBefore w:val="0"/>
        <w:widowControl w:val="0"/>
        <w:kinsoku/>
        <w:wordWrap/>
        <w:overflowPunct/>
        <w:topLinePunct w:val="0"/>
        <w:autoSpaceDE/>
        <w:autoSpaceDN/>
        <w:bidi w:val="0"/>
        <w:adjustRightInd w:val="0"/>
        <w:snapToGrid w:val="0"/>
        <w:spacing w:line="300" w:lineRule="auto"/>
        <w:ind w:firstLine="422" w:firstLineChars="200"/>
        <w:textAlignment w:val="auto"/>
        <w:rPr>
          <w:rFonts w:ascii="Arial" w:hAnsi="Arial" w:eastAsia="宋体" w:cs="Arial"/>
          <w:b/>
          <w:bCs/>
          <w:color w:val="auto"/>
          <w:szCs w:val="21"/>
          <w:highlight w:val="none"/>
        </w:rPr>
      </w:pPr>
      <w:r>
        <w:rPr>
          <w:rFonts w:ascii="Arial" w:hAnsi="Arial" w:eastAsia="宋体" w:cs="Arial"/>
          <w:b/>
          <w:bCs/>
          <w:color w:val="auto"/>
          <w:szCs w:val="21"/>
          <w:highlight w:val="none"/>
        </w:rPr>
        <w:t>七、公告期限</w:t>
      </w:r>
      <w:bookmarkEnd w:id="4"/>
      <w:bookmarkEnd w:id="5"/>
      <w:bookmarkEnd w:id="6"/>
      <w:bookmarkEnd w:id="7"/>
    </w:p>
    <w:p w14:paraId="783180AC">
      <w:pPr>
        <w:adjustRightInd w:val="0"/>
        <w:snapToGrid w:val="0"/>
        <w:spacing w:line="312" w:lineRule="auto"/>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自本公告发布之日起3个工作日。</w:t>
      </w:r>
    </w:p>
    <w:p w14:paraId="4F2E986E">
      <w:pPr>
        <w:adjustRightInd w:val="0"/>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八、其他补充事宜</w:t>
      </w:r>
    </w:p>
    <w:p w14:paraId="3F4490C9">
      <w:pPr>
        <w:tabs>
          <w:tab w:val="left" w:pos="410"/>
        </w:tabs>
        <w:snapToGrid w:val="0"/>
        <w:spacing w:line="312" w:lineRule="auto"/>
        <w:ind w:firstLine="420" w:firstLineChars="200"/>
        <w:rPr>
          <w:rFonts w:ascii="Arial" w:hAnsi="Arial" w:eastAsia="宋体" w:cs="Arial"/>
          <w:color w:val="auto"/>
          <w:kern w:val="0"/>
          <w:szCs w:val="21"/>
          <w:highlight w:val="none"/>
        </w:rPr>
      </w:pPr>
      <w:bookmarkStart w:id="12" w:name="_Toc28359018"/>
      <w:bookmarkStart w:id="13" w:name="_Toc35393805"/>
      <w:bookmarkStart w:id="14" w:name="_Toc35393636"/>
      <w:bookmarkStart w:id="15" w:name="_Toc28359095"/>
      <w:r>
        <w:rPr>
          <w:rFonts w:ascii="Arial" w:hAnsi="Arial" w:eastAsia="宋体" w:cs="Arial"/>
          <w:color w:val="auto"/>
          <w:kern w:val="0"/>
          <w:szCs w:val="21"/>
          <w:highlight w:val="none"/>
        </w:rPr>
        <w:t>公告媒体：中国招标投标公共服务平台（http://www.cebpubservice.com/）。</w:t>
      </w:r>
    </w:p>
    <w:p w14:paraId="0EC1B5A5">
      <w:pPr>
        <w:adjustRightInd w:val="0"/>
        <w:snapToGrid w:val="0"/>
        <w:spacing w:line="312" w:lineRule="auto"/>
        <w:ind w:firstLine="422" w:firstLineChars="200"/>
        <w:rPr>
          <w:rFonts w:ascii="Arial" w:hAnsi="Arial" w:eastAsia="宋体" w:cs="Arial"/>
          <w:b/>
          <w:bCs/>
          <w:color w:val="auto"/>
          <w:szCs w:val="21"/>
          <w:highlight w:val="none"/>
        </w:rPr>
      </w:pPr>
      <w:r>
        <w:rPr>
          <w:rFonts w:ascii="Arial" w:hAnsi="Arial" w:eastAsia="宋体" w:cs="Arial"/>
          <w:b/>
          <w:bCs/>
          <w:color w:val="auto"/>
          <w:szCs w:val="21"/>
          <w:highlight w:val="none"/>
        </w:rPr>
        <w:t>九、凡对本次采购提出询问，请按以下方式联系</w:t>
      </w:r>
      <w:bookmarkEnd w:id="12"/>
      <w:bookmarkEnd w:id="13"/>
      <w:bookmarkEnd w:id="14"/>
      <w:bookmarkEnd w:id="15"/>
      <w:r>
        <w:rPr>
          <w:rFonts w:ascii="Arial" w:hAnsi="Arial" w:eastAsia="宋体" w:cs="Arial"/>
          <w:b/>
          <w:bCs/>
          <w:color w:val="auto"/>
          <w:szCs w:val="21"/>
          <w:highlight w:val="none"/>
        </w:rPr>
        <w:t>：</w:t>
      </w:r>
    </w:p>
    <w:p w14:paraId="0F087280">
      <w:pPr>
        <w:adjustRightInd w:val="0"/>
        <w:snapToGrid w:val="0"/>
        <w:spacing w:line="312" w:lineRule="auto"/>
        <w:ind w:firstLine="420" w:firstLineChars="200"/>
        <w:rPr>
          <w:rFonts w:ascii="Arial" w:hAnsi="Arial" w:eastAsia="宋体" w:cs="Arial"/>
          <w:color w:val="auto"/>
          <w:szCs w:val="21"/>
          <w:highlight w:val="none"/>
        </w:rPr>
      </w:pPr>
      <w:bookmarkStart w:id="16" w:name="_Toc28359096"/>
      <w:bookmarkStart w:id="17" w:name="_Toc35393806"/>
      <w:bookmarkStart w:id="18" w:name="_Toc35393637"/>
      <w:bookmarkStart w:id="19" w:name="_Toc28359019"/>
      <w:r>
        <w:rPr>
          <w:rFonts w:ascii="Arial" w:hAnsi="Arial" w:eastAsia="宋体" w:cs="Arial"/>
          <w:color w:val="auto"/>
          <w:szCs w:val="21"/>
          <w:highlight w:val="none"/>
        </w:rPr>
        <w:t>1.采购人信息</w:t>
      </w:r>
      <w:bookmarkEnd w:id="16"/>
      <w:bookmarkEnd w:id="17"/>
      <w:bookmarkEnd w:id="18"/>
      <w:bookmarkEnd w:id="19"/>
    </w:p>
    <w:p w14:paraId="30D42A57">
      <w:pPr>
        <w:adjustRightInd w:val="0"/>
        <w:snapToGrid w:val="0"/>
        <w:spacing w:line="312"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名称：桂林理工大学</w:t>
      </w:r>
    </w:p>
    <w:p w14:paraId="5BD88397">
      <w:pPr>
        <w:adjustRightInd w:val="0"/>
        <w:snapToGrid w:val="0"/>
        <w:spacing w:line="312"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地址：广西桂林市建干路12号</w:t>
      </w:r>
    </w:p>
    <w:p w14:paraId="35F8096E">
      <w:pPr>
        <w:adjustRightInd w:val="0"/>
        <w:snapToGrid w:val="0"/>
        <w:spacing w:line="312"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联系方式：0773-5895090</w:t>
      </w:r>
    </w:p>
    <w:p w14:paraId="18216D48">
      <w:pPr>
        <w:adjustRightInd w:val="0"/>
        <w:snapToGrid w:val="0"/>
        <w:spacing w:after="0" w:line="288" w:lineRule="auto"/>
        <w:ind w:firstLine="420" w:firstLineChars="200"/>
        <w:rPr>
          <w:rFonts w:ascii="Arial" w:hAnsi="Arial" w:eastAsia="宋体" w:cs="Arial"/>
          <w:color w:val="auto"/>
          <w:szCs w:val="21"/>
          <w:highlight w:val="none"/>
        </w:rPr>
      </w:pPr>
      <w:bookmarkStart w:id="20" w:name="_Toc28359097"/>
      <w:bookmarkStart w:id="21" w:name="_Toc35393807"/>
      <w:bookmarkStart w:id="22" w:name="_Toc35393638"/>
      <w:bookmarkStart w:id="23" w:name="_Toc28359020"/>
      <w:r>
        <w:rPr>
          <w:rFonts w:ascii="Arial" w:hAnsi="Arial" w:eastAsia="宋体" w:cs="Arial"/>
          <w:color w:val="auto"/>
          <w:szCs w:val="21"/>
          <w:highlight w:val="none"/>
        </w:rPr>
        <w:t>2.采购代理机构信息</w:t>
      </w:r>
      <w:bookmarkEnd w:id="20"/>
      <w:bookmarkEnd w:id="21"/>
      <w:bookmarkEnd w:id="22"/>
      <w:bookmarkEnd w:id="23"/>
    </w:p>
    <w:p w14:paraId="3E10243A">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名称：广西机电设备招标有限公司</w:t>
      </w:r>
    </w:p>
    <w:p w14:paraId="40285B44">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地址：桂林市骖鸾路31号湘商大厦6楼603（桂林分公司）</w:t>
      </w:r>
    </w:p>
    <w:p w14:paraId="49CDC4A5">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项目联系人：曾昭卉</w:t>
      </w:r>
    </w:p>
    <w:p w14:paraId="1718BE2F">
      <w:pPr>
        <w:adjustRightInd w:val="0"/>
        <w:snapToGrid w:val="0"/>
        <w:spacing w:after="0" w:line="288" w:lineRule="auto"/>
        <w:ind w:firstLine="420" w:firstLineChars="200"/>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联系方式：0773-3696789转2</w:t>
      </w:r>
    </w:p>
    <w:p w14:paraId="003EB7A9">
      <w:pPr>
        <w:adjustRightInd w:val="0"/>
        <w:snapToGrid w:val="0"/>
        <w:spacing w:line="312" w:lineRule="auto"/>
        <w:jc w:val="right"/>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广西机电设备招标有限公司</w:t>
      </w:r>
    </w:p>
    <w:p w14:paraId="46149CF5">
      <w:pPr>
        <w:adjustRightInd w:val="0"/>
        <w:snapToGrid w:val="0"/>
        <w:spacing w:line="312" w:lineRule="auto"/>
        <w:jc w:val="right"/>
        <w:rPr>
          <w:rFonts w:ascii="Arial" w:hAnsi="Arial" w:eastAsia="宋体" w:cs="Arial"/>
          <w:color w:val="auto"/>
          <w:szCs w:val="21"/>
          <w:highlight w:val="none"/>
        </w:rPr>
        <w:sectPr>
          <w:footerReference r:id="rId6" w:type="first"/>
          <w:footerReference r:id="rId5" w:type="default"/>
          <w:pgSz w:w="11906" w:h="16838"/>
          <w:pgMar w:top="1417" w:right="1417" w:bottom="1417" w:left="1417" w:header="680" w:footer="907" w:gutter="0"/>
          <w:pgNumType w:start="1"/>
          <w:cols w:space="720" w:num="1"/>
          <w:titlePg/>
          <w:docGrid w:linePitch="271" w:charSpace="0"/>
        </w:sectPr>
      </w:pPr>
      <w:r>
        <w:rPr>
          <w:rFonts w:ascii="Arial" w:hAnsi="Arial" w:eastAsia="宋体" w:cs="Arial"/>
          <w:color w:val="auto"/>
          <w:szCs w:val="21"/>
          <w:highlight w:val="none"/>
        </w:rPr>
        <w:t>2024年</w:t>
      </w:r>
      <w:r>
        <w:rPr>
          <w:rFonts w:hint="eastAsia" w:ascii="Arial" w:hAnsi="Arial" w:eastAsia="宋体" w:cs="Arial"/>
          <w:color w:val="auto"/>
          <w:szCs w:val="21"/>
          <w:highlight w:val="none"/>
          <w:lang w:val="en-US" w:eastAsia="zh-CN"/>
        </w:rPr>
        <w:t>7</w:t>
      </w:r>
      <w:r>
        <w:rPr>
          <w:rFonts w:ascii="Arial" w:hAnsi="Arial" w:eastAsia="宋体" w:cs="Arial"/>
          <w:color w:val="auto"/>
          <w:szCs w:val="21"/>
          <w:highlight w:val="none"/>
        </w:rPr>
        <w:t>月</w:t>
      </w:r>
      <w:r>
        <w:rPr>
          <w:rFonts w:hint="eastAsia" w:ascii="Arial" w:hAnsi="Arial" w:eastAsia="宋体" w:cs="Arial"/>
          <w:color w:val="auto"/>
          <w:szCs w:val="21"/>
          <w:highlight w:val="none"/>
          <w:lang w:val="en-US" w:eastAsia="zh-CN"/>
        </w:rPr>
        <w:t>23</w:t>
      </w:r>
      <w:r>
        <w:rPr>
          <w:rFonts w:ascii="Arial" w:hAnsi="Arial" w:eastAsia="宋体" w:cs="Arial"/>
          <w:color w:val="auto"/>
          <w:szCs w:val="21"/>
          <w:highlight w:val="none"/>
        </w:rPr>
        <w:t>日</w:t>
      </w:r>
    </w:p>
    <w:p w14:paraId="09E0F47D">
      <w:pPr>
        <w:pStyle w:val="2"/>
        <w:ind w:left="1080" w:hanging="1080"/>
        <w:jc w:val="center"/>
        <w:rPr>
          <w:rFonts w:ascii="Arial" w:hAnsi="Arial" w:eastAsia="宋体" w:cs="Arial"/>
          <w:color w:val="auto"/>
          <w:sz w:val="32"/>
          <w:szCs w:val="32"/>
          <w:highlight w:val="none"/>
        </w:rPr>
      </w:pPr>
      <w:bookmarkStart w:id="24" w:name="_Toc10921"/>
      <w:bookmarkStart w:id="25" w:name="_Toc20458"/>
      <w:r>
        <w:rPr>
          <w:rFonts w:ascii="Arial" w:hAnsi="Arial" w:eastAsia="宋体" w:cs="Arial"/>
          <w:color w:val="auto"/>
          <w:sz w:val="32"/>
          <w:szCs w:val="32"/>
          <w:highlight w:val="none"/>
        </w:rPr>
        <w:t>第二章</w:t>
      </w:r>
      <w:r>
        <w:rPr>
          <w:rFonts w:hint="eastAsia" w:ascii="Arial" w:hAnsi="Arial" w:eastAsia="宋体" w:cs="Arial"/>
          <w:color w:val="auto"/>
          <w:sz w:val="32"/>
          <w:szCs w:val="32"/>
          <w:highlight w:val="none"/>
        </w:rPr>
        <w:t xml:space="preserve"> </w:t>
      </w:r>
      <w:r>
        <w:rPr>
          <w:rStyle w:val="36"/>
          <w:rFonts w:ascii="Arial" w:hAnsi="Arial" w:eastAsia="宋体" w:cs="Arial"/>
          <w:b/>
          <w:bCs/>
          <w:color w:val="auto"/>
          <w:highlight w:val="none"/>
        </w:rPr>
        <w:t>供应商须知</w:t>
      </w:r>
      <w:bookmarkEnd w:id="24"/>
      <w:bookmarkEnd w:id="25"/>
    </w:p>
    <w:p w14:paraId="0C3DCD04">
      <w:pPr>
        <w:tabs>
          <w:tab w:val="left" w:pos="1065"/>
          <w:tab w:val="center" w:pos="4411"/>
        </w:tabs>
        <w:spacing w:line="340" w:lineRule="exact"/>
        <w:jc w:val="center"/>
        <w:rPr>
          <w:rFonts w:ascii="Arial" w:hAnsi="Arial" w:eastAsia="宋体" w:cs="Arial"/>
          <w:b/>
          <w:color w:val="auto"/>
          <w:sz w:val="24"/>
          <w:highlight w:val="none"/>
        </w:rPr>
      </w:pPr>
      <w:r>
        <w:rPr>
          <w:rFonts w:ascii="Arial" w:hAnsi="Arial" w:eastAsia="宋体" w:cs="Arial"/>
          <w:b/>
          <w:color w:val="auto"/>
          <w:sz w:val="24"/>
          <w:highlight w:val="none"/>
        </w:rPr>
        <w:t>供 应 商 须 知 前 附 表</w:t>
      </w:r>
    </w:p>
    <w:tbl>
      <w:tblPr>
        <w:tblStyle w:val="24"/>
        <w:tblW w:w="98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77"/>
        <w:gridCol w:w="1549"/>
        <w:gridCol w:w="6612"/>
      </w:tblGrid>
      <w:tr w14:paraId="0537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28" w:type="dxa"/>
            <w:vAlign w:val="center"/>
          </w:tcPr>
          <w:p w14:paraId="6B07C68D">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序号</w:t>
            </w:r>
          </w:p>
        </w:tc>
        <w:tc>
          <w:tcPr>
            <w:tcW w:w="877" w:type="dxa"/>
            <w:vAlign w:val="center"/>
          </w:tcPr>
          <w:p w14:paraId="28F33A2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条款号</w:t>
            </w:r>
          </w:p>
        </w:tc>
        <w:tc>
          <w:tcPr>
            <w:tcW w:w="1549" w:type="dxa"/>
            <w:vAlign w:val="center"/>
          </w:tcPr>
          <w:p w14:paraId="28549020">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条款名称</w:t>
            </w:r>
          </w:p>
        </w:tc>
        <w:tc>
          <w:tcPr>
            <w:tcW w:w="6612" w:type="dxa"/>
            <w:vAlign w:val="center"/>
          </w:tcPr>
          <w:p w14:paraId="78FD30CF">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内容、要求</w:t>
            </w:r>
          </w:p>
        </w:tc>
      </w:tr>
      <w:tr w14:paraId="3BFE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vAlign w:val="center"/>
          </w:tcPr>
          <w:p w14:paraId="4F37333E">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877" w:type="dxa"/>
            <w:vAlign w:val="center"/>
          </w:tcPr>
          <w:p w14:paraId="083431B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1549" w:type="dxa"/>
            <w:vAlign w:val="center"/>
          </w:tcPr>
          <w:p w14:paraId="44F88E20">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项目名称及项目编号</w:t>
            </w:r>
          </w:p>
        </w:tc>
        <w:tc>
          <w:tcPr>
            <w:tcW w:w="6612" w:type="dxa"/>
          </w:tcPr>
          <w:p w14:paraId="75B78DEC">
            <w:pPr>
              <w:snapToGrid w:val="0"/>
              <w:spacing w:line="300" w:lineRule="auto"/>
              <w:rPr>
                <w:rFonts w:ascii="Arial" w:hAnsi="Arial" w:eastAsia="宋体" w:cs="Arial"/>
                <w:color w:val="auto"/>
                <w:highlight w:val="none"/>
              </w:rPr>
            </w:pPr>
            <w:r>
              <w:rPr>
                <w:rFonts w:ascii="Arial" w:hAnsi="Arial" w:eastAsia="宋体" w:cs="Arial"/>
                <w:color w:val="auto"/>
                <w:szCs w:val="21"/>
                <w:highlight w:val="none"/>
              </w:rPr>
              <w:t>项目名称：</w:t>
            </w:r>
            <w:r>
              <w:rPr>
                <w:rFonts w:hint="eastAsia" w:ascii="Arial" w:hAnsi="Arial" w:eastAsia="宋体" w:cs="Arial"/>
                <w:color w:val="auto"/>
                <w:highlight w:val="none"/>
              </w:rPr>
              <w:t>材料学院采购计算平台等设备</w:t>
            </w:r>
          </w:p>
          <w:p w14:paraId="396793C5">
            <w:pPr>
              <w:snapToGrid w:val="0"/>
              <w:spacing w:line="300" w:lineRule="auto"/>
              <w:rPr>
                <w:rFonts w:hint="eastAsia" w:ascii="Arial" w:hAnsi="Arial" w:eastAsia="宋体" w:cs="Arial"/>
                <w:color w:val="auto"/>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GXJD-24114CC031163</w:t>
            </w:r>
          </w:p>
        </w:tc>
      </w:tr>
      <w:tr w14:paraId="1319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828" w:type="dxa"/>
            <w:vAlign w:val="center"/>
          </w:tcPr>
          <w:p w14:paraId="5124F68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877" w:type="dxa"/>
            <w:vAlign w:val="center"/>
          </w:tcPr>
          <w:p w14:paraId="18EBD508">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549" w:type="dxa"/>
            <w:vAlign w:val="center"/>
          </w:tcPr>
          <w:p w14:paraId="7535D979">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供应商资格</w:t>
            </w:r>
          </w:p>
        </w:tc>
        <w:tc>
          <w:tcPr>
            <w:tcW w:w="6612" w:type="dxa"/>
            <w:vAlign w:val="center"/>
          </w:tcPr>
          <w:p w14:paraId="1B7F4EBE">
            <w:pPr>
              <w:tabs>
                <w:tab w:val="left" w:pos="1635"/>
              </w:tabs>
              <w:snapToGrid w:val="0"/>
              <w:spacing w:line="300" w:lineRule="auto"/>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3.1符合《中华人民共和国政府采购法》第二十二条规定。</w:t>
            </w:r>
          </w:p>
          <w:p w14:paraId="452144AE">
            <w:pPr>
              <w:tabs>
                <w:tab w:val="left" w:pos="1635"/>
              </w:tabs>
              <w:snapToGrid w:val="0"/>
              <w:spacing w:line="300" w:lineRule="auto"/>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3.2供应商的特定资格要求：</w:t>
            </w:r>
            <w:r>
              <w:rPr>
                <w:rFonts w:hint="eastAsia" w:ascii="Arial" w:hAnsi="Arial" w:eastAsia="宋体" w:cs="Arial"/>
                <w:b/>
                <w:bCs/>
                <w:color w:val="auto"/>
                <w:highlight w:val="none"/>
              </w:rPr>
              <w:t>本项目非专门面向中小微企业采购</w:t>
            </w:r>
            <w:r>
              <w:rPr>
                <w:rFonts w:ascii="Arial" w:hAnsi="Arial" w:eastAsia="宋体" w:cs="Arial"/>
                <w:b/>
                <w:bCs/>
                <w:color w:val="auto"/>
                <w:highlight w:val="none"/>
              </w:rPr>
              <w:t>。</w:t>
            </w:r>
          </w:p>
          <w:p w14:paraId="61916E5B">
            <w:pPr>
              <w:snapToGrid w:val="0"/>
              <w:spacing w:line="300" w:lineRule="auto"/>
              <w:rPr>
                <w:rFonts w:ascii="Arial" w:hAnsi="Arial" w:eastAsia="宋体" w:cs="Arial"/>
                <w:color w:val="auto"/>
                <w:kern w:val="0"/>
                <w:szCs w:val="21"/>
                <w:highlight w:val="none"/>
              </w:rPr>
            </w:pPr>
            <w:r>
              <w:rPr>
                <w:rFonts w:ascii="Arial" w:hAnsi="Arial" w:eastAsia="宋体" w:cs="Arial"/>
                <w:color w:val="auto"/>
                <w:kern w:val="0"/>
                <w:szCs w:val="21"/>
                <w:highlight w:val="none"/>
              </w:rPr>
              <w:t>3.3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12BEB73E">
            <w:pPr>
              <w:snapToGrid w:val="0"/>
              <w:spacing w:line="300" w:lineRule="auto"/>
              <w:rPr>
                <w:rFonts w:ascii="Arial" w:hAnsi="Arial" w:eastAsia="宋体" w:cs="Arial"/>
                <w:color w:val="auto"/>
                <w:kern w:val="0"/>
                <w:szCs w:val="21"/>
                <w:highlight w:val="none"/>
              </w:rPr>
            </w:pPr>
            <w:r>
              <w:rPr>
                <w:rFonts w:ascii="Arial" w:hAnsi="Arial" w:eastAsia="宋体" w:cs="Arial"/>
                <w:color w:val="auto"/>
                <w:kern w:val="0"/>
                <w:szCs w:val="21"/>
                <w:highlight w:val="none"/>
              </w:rPr>
              <w:t>3.4.对在“信用中国”网站(www.creditchina.gov.cn)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6DA9831C">
            <w:pPr>
              <w:snapToGrid w:val="0"/>
              <w:spacing w:line="300" w:lineRule="auto"/>
              <w:rPr>
                <w:rFonts w:ascii="Arial" w:hAnsi="Arial" w:eastAsia="宋体" w:cs="Arial"/>
                <w:color w:val="auto"/>
                <w:highlight w:val="none"/>
              </w:rPr>
            </w:pPr>
            <w:r>
              <w:rPr>
                <w:rFonts w:ascii="Arial" w:hAnsi="Arial" w:eastAsia="宋体" w:cs="Arial"/>
                <w:color w:val="auto"/>
                <w:kern w:val="0"/>
                <w:szCs w:val="21"/>
                <w:highlight w:val="none"/>
              </w:rPr>
              <w:t>3.5.本项目不接受联合体参与谈判。</w:t>
            </w:r>
          </w:p>
        </w:tc>
      </w:tr>
      <w:tr w14:paraId="31BA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8" w:type="dxa"/>
            <w:vAlign w:val="center"/>
          </w:tcPr>
          <w:p w14:paraId="3DA683AE">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877" w:type="dxa"/>
            <w:vAlign w:val="center"/>
          </w:tcPr>
          <w:p w14:paraId="55AE7A35">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549" w:type="dxa"/>
            <w:vAlign w:val="center"/>
          </w:tcPr>
          <w:p w14:paraId="4AC04F6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谈判费用</w:t>
            </w:r>
          </w:p>
        </w:tc>
        <w:tc>
          <w:tcPr>
            <w:tcW w:w="6612" w:type="dxa"/>
            <w:vAlign w:val="center"/>
          </w:tcPr>
          <w:p w14:paraId="0F03C881">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 xml:space="preserve">不论谈判结果如何，供应商均应自行承担所有与谈判有关的全部费用。 </w:t>
            </w:r>
          </w:p>
        </w:tc>
      </w:tr>
      <w:tr w14:paraId="0C92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Align w:val="center"/>
          </w:tcPr>
          <w:p w14:paraId="462F302B">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877" w:type="dxa"/>
            <w:vAlign w:val="center"/>
          </w:tcPr>
          <w:p w14:paraId="320B6524">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1549" w:type="dxa"/>
            <w:vAlign w:val="center"/>
          </w:tcPr>
          <w:p w14:paraId="74A5041A">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szCs w:val="21"/>
                <w:highlight w:val="none"/>
              </w:rPr>
              <w:t>谈判报价及</w:t>
            </w:r>
            <w:r>
              <w:rPr>
                <w:rFonts w:ascii="Arial" w:hAnsi="Arial" w:eastAsia="宋体" w:cs="Arial"/>
                <w:color w:val="auto"/>
                <w:position w:val="-2"/>
                <w:szCs w:val="21"/>
                <w:highlight w:val="none"/>
              </w:rPr>
              <w:t>采购预算金额</w:t>
            </w:r>
          </w:p>
        </w:tc>
        <w:tc>
          <w:tcPr>
            <w:tcW w:w="6612" w:type="dxa"/>
            <w:vAlign w:val="center"/>
          </w:tcPr>
          <w:p w14:paraId="5F91DC28">
            <w:pPr>
              <w:spacing w:line="340" w:lineRule="exact"/>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ascii="Arial" w:hAnsi="Arial" w:eastAsia="宋体" w:cs="Arial"/>
                <w:b/>
                <w:bCs/>
                <w:color w:val="auto"/>
                <w:szCs w:val="21"/>
                <w:highlight w:val="none"/>
              </w:rPr>
              <w:t>采购预算金额：</w:t>
            </w:r>
            <w:r>
              <w:rPr>
                <w:rFonts w:hint="eastAsia" w:ascii="Arial" w:hAnsi="Arial" w:eastAsia="宋体" w:cs="Arial"/>
                <w:b/>
                <w:bCs/>
                <w:color w:val="auto"/>
                <w:szCs w:val="21"/>
                <w:highlight w:val="none"/>
              </w:rPr>
              <w:t>人民币捌拾万元整（¥800000.00）</w:t>
            </w:r>
            <w:r>
              <w:rPr>
                <w:rFonts w:ascii="Arial" w:hAnsi="Arial" w:eastAsia="宋体" w:cs="Arial"/>
                <w:b/>
                <w:bCs/>
                <w:color w:val="auto"/>
                <w:szCs w:val="21"/>
                <w:highlight w:val="none"/>
              </w:rPr>
              <w:t>。</w:t>
            </w:r>
            <w:r>
              <w:rPr>
                <w:rFonts w:ascii="Arial" w:hAnsi="Arial" w:eastAsia="宋体" w:cs="Arial"/>
                <w:color w:val="auto"/>
                <w:szCs w:val="21"/>
                <w:highlight w:val="none"/>
              </w:rPr>
              <w:t>供应商报价超过相应采购预算金额的，响应文件作无效处理。</w:t>
            </w:r>
          </w:p>
          <w:p w14:paraId="2A02F4BE">
            <w:pPr>
              <w:tabs>
                <w:tab w:val="left" w:pos="1305"/>
              </w:tabs>
              <w:spacing w:line="340" w:lineRule="exact"/>
              <w:rPr>
                <w:rFonts w:ascii="Arial" w:hAnsi="Arial" w:eastAsia="宋体" w:cs="Arial"/>
                <w:color w:val="auto"/>
                <w:szCs w:val="21"/>
                <w:highlight w:val="none"/>
              </w:rPr>
            </w:pPr>
            <w:r>
              <w:rPr>
                <w:rFonts w:ascii="Arial" w:hAnsi="Arial" w:eastAsia="宋体" w:cs="Arial"/>
                <w:color w:val="auto"/>
                <w:szCs w:val="21"/>
                <w:highlight w:val="none"/>
              </w:rPr>
              <w:t>13.2供应商必须就“项目采购需求”中所有内容作完整唯一报价，否则，其响应将被拒绝。</w:t>
            </w:r>
          </w:p>
          <w:p w14:paraId="594D0DC2">
            <w:pPr>
              <w:tabs>
                <w:tab w:val="left" w:pos="1305"/>
              </w:tabs>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13.3 谈判报价包括</w:t>
            </w:r>
            <w:r>
              <w:rPr>
                <w:rFonts w:hint="eastAsia" w:ascii="Arial" w:hAnsi="Arial" w:eastAsia="宋体" w:cs="Arial"/>
                <w:color w:val="auto"/>
                <w:szCs w:val="21"/>
                <w:highlight w:val="none"/>
              </w:rPr>
              <w:t>本次采购范围内货物货款、货物标准附件、备品备件、专用工具、包装、运输、装卸、保险、税金、货到就位以及安装、安装所需辅材、调试、培训、保修和采购文件要求提供的所有伴随服务、工程等费用和税费</w:t>
            </w:r>
            <w:r>
              <w:rPr>
                <w:rFonts w:ascii="Arial" w:hAnsi="Arial" w:eastAsia="宋体" w:cs="Arial"/>
                <w:color w:val="auto"/>
                <w:szCs w:val="21"/>
                <w:highlight w:val="none"/>
              </w:rPr>
              <w:t>；供应商综合考虑在报价中。</w:t>
            </w:r>
          </w:p>
          <w:p w14:paraId="0E9C2642">
            <w:pPr>
              <w:tabs>
                <w:tab w:val="left" w:pos="1305"/>
              </w:tabs>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tc>
      </w:tr>
      <w:tr w14:paraId="1EDA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3A48E76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5</w:t>
            </w:r>
          </w:p>
        </w:tc>
        <w:tc>
          <w:tcPr>
            <w:tcW w:w="877" w:type="dxa"/>
            <w:vAlign w:val="center"/>
          </w:tcPr>
          <w:p w14:paraId="6B275802">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14.1</w:t>
            </w:r>
          </w:p>
        </w:tc>
        <w:tc>
          <w:tcPr>
            <w:tcW w:w="1549" w:type="dxa"/>
            <w:vAlign w:val="center"/>
          </w:tcPr>
          <w:p w14:paraId="1AF527D3">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响应文件有效期</w:t>
            </w:r>
          </w:p>
        </w:tc>
        <w:tc>
          <w:tcPr>
            <w:tcW w:w="6612" w:type="dxa"/>
            <w:vAlign w:val="center"/>
          </w:tcPr>
          <w:p w14:paraId="4F1403E7">
            <w:pPr>
              <w:tabs>
                <w:tab w:val="left" w:pos="1305"/>
              </w:tabs>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响应文件递交截止时间之日起90天，有效期不足的响应文件将被拒绝。</w:t>
            </w:r>
          </w:p>
        </w:tc>
      </w:tr>
      <w:tr w14:paraId="74A0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8" w:type="dxa"/>
            <w:vAlign w:val="center"/>
          </w:tcPr>
          <w:p w14:paraId="4A212406">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6</w:t>
            </w:r>
          </w:p>
        </w:tc>
        <w:tc>
          <w:tcPr>
            <w:tcW w:w="877" w:type="dxa"/>
            <w:vAlign w:val="center"/>
          </w:tcPr>
          <w:p w14:paraId="30F93D94">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15.1</w:t>
            </w:r>
          </w:p>
        </w:tc>
        <w:tc>
          <w:tcPr>
            <w:tcW w:w="1549" w:type="dxa"/>
            <w:vAlign w:val="center"/>
          </w:tcPr>
          <w:p w14:paraId="1AD93D24">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响应文件份数</w:t>
            </w:r>
          </w:p>
        </w:tc>
        <w:tc>
          <w:tcPr>
            <w:tcW w:w="6612" w:type="dxa"/>
            <w:vAlign w:val="center"/>
          </w:tcPr>
          <w:p w14:paraId="34978742">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正本壹册，副本贰册，须完整提交（A4纸装订）。</w:t>
            </w:r>
          </w:p>
        </w:tc>
      </w:tr>
      <w:tr w14:paraId="6C31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269F7C4B">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7</w:t>
            </w:r>
          </w:p>
        </w:tc>
        <w:tc>
          <w:tcPr>
            <w:tcW w:w="877" w:type="dxa"/>
            <w:vAlign w:val="center"/>
          </w:tcPr>
          <w:p w14:paraId="0CA3174D">
            <w:pPr>
              <w:snapToGrid w:val="0"/>
              <w:spacing w:line="300" w:lineRule="auto"/>
              <w:jc w:val="center"/>
              <w:rPr>
                <w:rFonts w:ascii="Arial" w:hAnsi="Arial" w:eastAsia="宋体" w:cs="Arial"/>
                <w:color w:val="auto"/>
                <w:position w:val="10"/>
                <w:szCs w:val="21"/>
                <w:highlight w:val="none"/>
              </w:rPr>
            </w:pPr>
            <w:r>
              <w:rPr>
                <w:rFonts w:ascii="Arial" w:hAnsi="Arial" w:eastAsia="宋体" w:cs="Arial"/>
                <w:color w:val="auto"/>
                <w:position w:val="10"/>
                <w:szCs w:val="21"/>
                <w:highlight w:val="none"/>
              </w:rPr>
              <w:t>15.2</w:t>
            </w:r>
          </w:p>
        </w:tc>
        <w:tc>
          <w:tcPr>
            <w:tcW w:w="1549" w:type="dxa"/>
            <w:vAlign w:val="center"/>
          </w:tcPr>
          <w:p w14:paraId="7F2511B1">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响应文件装订要求</w:t>
            </w:r>
          </w:p>
        </w:tc>
        <w:tc>
          <w:tcPr>
            <w:tcW w:w="6612" w:type="dxa"/>
            <w:vAlign w:val="center"/>
          </w:tcPr>
          <w:p w14:paraId="073BEBD0">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tc>
      </w:tr>
      <w:tr w14:paraId="2555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8" w:type="dxa"/>
            <w:vAlign w:val="center"/>
          </w:tcPr>
          <w:p w14:paraId="137E419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8</w:t>
            </w:r>
          </w:p>
        </w:tc>
        <w:tc>
          <w:tcPr>
            <w:tcW w:w="877" w:type="dxa"/>
            <w:vAlign w:val="center"/>
          </w:tcPr>
          <w:p w14:paraId="4BF497A5">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15.6</w:t>
            </w:r>
          </w:p>
        </w:tc>
        <w:tc>
          <w:tcPr>
            <w:tcW w:w="1549" w:type="dxa"/>
            <w:vAlign w:val="center"/>
          </w:tcPr>
          <w:p w14:paraId="26B72124">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响应文件包装、密封、标记</w:t>
            </w:r>
          </w:p>
        </w:tc>
        <w:tc>
          <w:tcPr>
            <w:tcW w:w="6612" w:type="dxa"/>
            <w:vAlign w:val="center"/>
          </w:tcPr>
          <w:p w14:paraId="5F0C90DD">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15.6.1响应文件包装、密封：供应商须将响应文件正、副本全部装入一个或多个包封袋/箱（响应文件的补充、修改可另行单独递交）中并加以密封，封口处必须密封签字【供应商的法定代表人（负责人)或委托代理人签字均可】或加盖供应商公章，以示密封。</w:t>
            </w:r>
          </w:p>
          <w:p w14:paraId="231D2E32">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15.6.2响应文件袋（盒、箱）标记：</w:t>
            </w:r>
          </w:p>
          <w:p w14:paraId="20BECFB1">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项目名称：</w:t>
            </w:r>
            <w:r>
              <w:rPr>
                <w:rFonts w:hint="eastAsia" w:ascii="Arial" w:hAnsi="Arial" w:eastAsia="宋体" w:cs="Arial"/>
                <w:color w:val="auto"/>
                <w:szCs w:val="21"/>
                <w:highlight w:val="none"/>
              </w:rPr>
              <w:t>材料学院采购计算平台等设备</w:t>
            </w:r>
          </w:p>
          <w:p w14:paraId="4CF7F865">
            <w:pPr>
              <w:snapToGrid w:val="0"/>
              <w:spacing w:line="300" w:lineRule="auto"/>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GXJD-24114CC031163</w:t>
            </w:r>
          </w:p>
          <w:p w14:paraId="26DE556E">
            <w:pPr>
              <w:snapToGrid w:val="0"/>
              <w:spacing w:line="300" w:lineRule="auto"/>
              <w:rPr>
                <w:rFonts w:hint="eastAsia" w:ascii="Arial" w:hAnsi="Arial" w:eastAsia="宋体" w:cs="Arial"/>
                <w:color w:val="auto"/>
                <w:szCs w:val="21"/>
                <w:highlight w:val="none"/>
                <w:lang w:eastAsia="zh-CN"/>
              </w:rPr>
            </w:pPr>
            <w:r>
              <w:rPr>
                <w:rFonts w:ascii="Arial" w:hAnsi="Arial" w:eastAsia="宋体" w:cs="Arial"/>
                <w:color w:val="auto"/>
                <w:szCs w:val="21"/>
                <w:highlight w:val="none"/>
              </w:rPr>
              <w:t>采购代理机构：</w:t>
            </w:r>
            <w:r>
              <w:rPr>
                <w:rFonts w:hint="eastAsia" w:ascii="Arial" w:hAnsi="Arial" w:eastAsia="宋体" w:cs="Arial"/>
                <w:color w:val="auto"/>
                <w:szCs w:val="21"/>
                <w:highlight w:val="none"/>
                <w:lang w:eastAsia="zh-CN"/>
              </w:rPr>
              <w:t>广西机电设备招标有限公司</w:t>
            </w:r>
          </w:p>
          <w:p w14:paraId="200C2001">
            <w:pPr>
              <w:snapToGrid w:val="0"/>
              <w:spacing w:line="300" w:lineRule="auto"/>
              <w:rPr>
                <w:rFonts w:ascii="Arial" w:hAnsi="Arial" w:eastAsia="宋体" w:cs="Arial"/>
                <w:color w:val="auto"/>
                <w:highlight w:val="none"/>
              </w:rPr>
            </w:pPr>
            <w:r>
              <w:rPr>
                <w:rFonts w:ascii="Arial" w:hAnsi="Arial" w:eastAsia="宋体" w:cs="Arial"/>
                <w:color w:val="auto"/>
                <w:szCs w:val="21"/>
                <w:highlight w:val="none"/>
              </w:rPr>
              <w:t>供应商名称：</w:t>
            </w:r>
          </w:p>
        </w:tc>
      </w:tr>
      <w:tr w14:paraId="549D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6D574A87">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9</w:t>
            </w:r>
          </w:p>
        </w:tc>
        <w:tc>
          <w:tcPr>
            <w:tcW w:w="877" w:type="dxa"/>
            <w:vAlign w:val="center"/>
          </w:tcPr>
          <w:p w14:paraId="542CE685">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15.7</w:t>
            </w:r>
          </w:p>
        </w:tc>
        <w:tc>
          <w:tcPr>
            <w:tcW w:w="1549" w:type="dxa"/>
            <w:vAlign w:val="center"/>
          </w:tcPr>
          <w:p w14:paraId="2D16404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供应商公章</w:t>
            </w:r>
          </w:p>
        </w:tc>
        <w:tc>
          <w:tcPr>
            <w:tcW w:w="6612" w:type="dxa"/>
            <w:vAlign w:val="center"/>
          </w:tcPr>
          <w:p w14:paraId="33A801A8">
            <w:pPr>
              <w:snapToGrid w:val="0"/>
              <w:spacing w:line="300" w:lineRule="auto"/>
              <w:rPr>
                <w:rFonts w:ascii="Arial" w:hAnsi="Arial" w:eastAsia="宋体" w:cs="Arial"/>
                <w:color w:val="auto"/>
                <w:szCs w:val="21"/>
                <w:highlight w:val="none"/>
              </w:rPr>
            </w:pPr>
            <w:r>
              <w:rPr>
                <w:rFonts w:ascii="Arial" w:hAnsi="Arial" w:eastAsia="宋体" w:cs="Arial"/>
                <w:color w:val="auto"/>
                <w:highlight w:val="none"/>
              </w:rPr>
              <w:t>本竞争性谈判文件中描述供应商的“公章”是指根据我国对公章的管理规定，用供应商登记注册法定主体的名称合法制作的公章，除本竞争性谈判文件中有特殊规定外，供应商的其他专用章均不能代替公章。</w:t>
            </w:r>
          </w:p>
        </w:tc>
      </w:tr>
      <w:tr w14:paraId="0B5A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4E1083FD">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10</w:t>
            </w:r>
          </w:p>
        </w:tc>
        <w:tc>
          <w:tcPr>
            <w:tcW w:w="877" w:type="dxa"/>
            <w:vAlign w:val="center"/>
          </w:tcPr>
          <w:p w14:paraId="4AA0D93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17.1</w:t>
            </w:r>
          </w:p>
        </w:tc>
        <w:tc>
          <w:tcPr>
            <w:tcW w:w="1549" w:type="dxa"/>
            <w:vAlign w:val="center"/>
          </w:tcPr>
          <w:p w14:paraId="27DF0A47">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响应文件递交</w:t>
            </w:r>
          </w:p>
        </w:tc>
        <w:tc>
          <w:tcPr>
            <w:tcW w:w="6612" w:type="dxa"/>
            <w:vAlign w:val="center"/>
          </w:tcPr>
          <w:p w14:paraId="0B375960">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供应商必须于</w:t>
            </w:r>
            <w:r>
              <w:rPr>
                <w:rFonts w:ascii="Arial" w:hAnsi="Arial" w:eastAsia="宋体" w:cs="Arial"/>
                <w:color w:val="auto"/>
                <w:highlight w:val="none"/>
              </w:rPr>
              <w:t>2024年</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29</w:t>
            </w:r>
            <w:r>
              <w:rPr>
                <w:rFonts w:hint="eastAsia" w:ascii="Arial" w:hAnsi="Arial" w:eastAsia="宋体" w:cs="Arial"/>
                <w:color w:val="auto"/>
                <w:szCs w:val="21"/>
                <w:highlight w:val="none"/>
              </w:rPr>
              <w:t>日</w:t>
            </w:r>
            <w:r>
              <w:rPr>
                <w:rFonts w:hint="eastAsia" w:ascii="Arial" w:hAnsi="Arial" w:eastAsia="宋体" w:cs="Arial"/>
                <w:color w:val="auto"/>
                <w:szCs w:val="21"/>
                <w:highlight w:val="none"/>
                <w:lang w:val="en-US" w:eastAsia="zh-CN"/>
              </w:rPr>
              <w:t>14</w:t>
            </w:r>
            <w:r>
              <w:rPr>
                <w:rFonts w:ascii="Arial" w:hAnsi="Arial" w:eastAsia="宋体" w:cs="Arial"/>
                <w:color w:val="auto"/>
                <w:szCs w:val="21"/>
                <w:highlight w:val="none"/>
              </w:rPr>
              <w:t>时30分起至</w:t>
            </w:r>
            <w:r>
              <w:rPr>
                <w:rFonts w:hint="eastAsia" w:ascii="Arial" w:hAnsi="Arial" w:eastAsia="宋体" w:cs="Arial"/>
                <w:color w:val="auto"/>
                <w:szCs w:val="21"/>
                <w:highlight w:val="none"/>
                <w:lang w:val="en-US" w:eastAsia="zh-CN"/>
              </w:rPr>
              <w:t>15</w:t>
            </w:r>
            <w:r>
              <w:rPr>
                <w:rFonts w:ascii="Arial" w:hAnsi="Arial" w:eastAsia="宋体" w:cs="Arial"/>
                <w:color w:val="auto"/>
                <w:szCs w:val="21"/>
                <w:highlight w:val="none"/>
              </w:rPr>
              <w:t>时</w:t>
            </w:r>
            <w:r>
              <w:rPr>
                <w:rFonts w:hint="eastAsia" w:ascii="Arial" w:hAnsi="Arial" w:eastAsia="宋体" w:cs="Arial"/>
                <w:color w:val="auto"/>
                <w:szCs w:val="21"/>
                <w:highlight w:val="none"/>
                <w:lang w:val="en-US" w:eastAsia="zh-CN"/>
              </w:rPr>
              <w:t>0</w:t>
            </w:r>
            <w:r>
              <w:rPr>
                <w:rFonts w:ascii="Arial" w:hAnsi="Arial" w:eastAsia="宋体" w:cs="Arial"/>
                <w:color w:val="auto"/>
                <w:szCs w:val="21"/>
                <w:highlight w:val="none"/>
              </w:rPr>
              <w:t>0分止，将响应文件密封提交至</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桂林分公司开标室</w:t>
            </w:r>
            <w:r>
              <w:rPr>
                <w:rFonts w:ascii="Arial" w:hAnsi="Arial" w:eastAsia="宋体" w:cs="Arial"/>
                <w:b/>
                <w:bCs/>
                <w:color w:val="auto"/>
                <w:szCs w:val="21"/>
                <w:highlight w:val="none"/>
              </w:rPr>
              <w:t>，</w:t>
            </w:r>
            <w:r>
              <w:rPr>
                <w:rFonts w:ascii="Arial" w:hAnsi="Arial" w:eastAsia="宋体" w:cs="Arial"/>
                <w:b/>
                <w:bCs/>
                <w:color w:val="auto"/>
                <w:highlight w:val="none"/>
              </w:rPr>
              <w:t>供应商参加谈判的法定代表人或委托代理人须持有效证件（法定代表人凭身份证或委托代理人凭法人授权委托书原件、本人身份证原件，不须密封，单独提交），依时到达指定地点提交响应文件，未携带以上相关材料递交的或逾期送达的或未按照谈判文件要求密封的响应文件将予以拒收</w:t>
            </w:r>
            <w:r>
              <w:rPr>
                <w:rFonts w:ascii="Arial" w:hAnsi="Arial" w:eastAsia="宋体" w:cs="Arial"/>
                <w:b/>
                <w:bCs/>
                <w:color w:val="auto"/>
                <w:szCs w:val="21"/>
                <w:highlight w:val="none"/>
              </w:rPr>
              <w:t>。</w:t>
            </w:r>
          </w:p>
        </w:tc>
      </w:tr>
      <w:tr w14:paraId="2AA4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28" w:type="dxa"/>
            <w:vAlign w:val="center"/>
          </w:tcPr>
          <w:p w14:paraId="30E7CE4B">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11</w:t>
            </w:r>
          </w:p>
        </w:tc>
        <w:tc>
          <w:tcPr>
            <w:tcW w:w="877" w:type="dxa"/>
            <w:vAlign w:val="center"/>
          </w:tcPr>
          <w:p w14:paraId="6203DF2B">
            <w:pPr>
              <w:snapToGrid w:val="0"/>
              <w:spacing w:line="300" w:lineRule="auto"/>
              <w:ind w:firstLine="105" w:firstLineChars="50"/>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18.1</w:t>
            </w:r>
          </w:p>
        </w:tc>
        <w:tc>
          <w:tcPr>
            <w:tcW w:w="1549" w:type="dxa"/>
            <w:vAlign w:val="center"/>
          </w:tcPr>
          <w:p w14:paraId="0527B93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谈判小组组成</w:t>
            </w:r>
          </w:p>
        </w:tc>
        <w:tc>
          <w:tcPr>
            <w:tcW w:w="6612" w:type="dxa"/>
            <w:vAlign w:val="center"/>
          </w:tcPr>
          <w:p w14:paraId="0A853720">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谈判及评审组织工作由采购代理机构负责，具体谈判、评审工作由依法组建的谈判小组负责，谈判小组由采购人代表和有关方面的专家组成。谈判小组的构成：3人，其中采购人代表 1 人，有关专家 2人。</w:t>
            </w:r>
          </w:p>
        </w:tc>
      </w:tr>
      <w:tr w14:paraId="45B9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8" w:type="dxa"/>
            <w:vAlign w:val="center"/>
          </w:tcPr>
          <w:p w14:paraId="0B1C094C">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12</w:t>
            </w:r>
          </w:p>
        </w:tc>
        <w:tc>
          <w:tcPr>
            <w:tcW w:w="877" w:type="dxa"/>
            <w:vAlign w:val="center"/>
          </w:tcPr>
          <w:p w14:paraId="4B9D3DC4">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18.2</w:t>
            </w:r>
          </w:p>
        </w:tc>
        <w:tc>
          <w:tcPr>
            <w:tcW w:w="1549" w:type="dxa"/>
            <w:vAlign w:val="center"/>
          </w:tcPr>
          <w:p w14:paraId="2AC418BF">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谈判时间、地点、人员</w:t>
            </w:r>
          </w:p>
        </w:tc>
        <w:tc>
          <w:tcPr>
            <w:tcW w:w="6612" w:type="dxa"/>
          </w:tcPr>
          <w:p w14:paraId="733CFE15">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18.2.1谈判时间：首次响应文件递交截止时间后。</w:t>
            </w:r>
          </w:p>
          <w:p w14:paraId="6B9FC141">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18.2.2谈判地点：</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桂林分公司评标室</w:t>
            </w:r>
            <w:r>
              <w:rPr>
                <w:rFonts w:ascii="Arial" w:hAnsi="Arial" w:eastAsia="宋体" w:cs="Arial"/>
                <w:color w:val="auto"/>
                <w:szCs w:val="21"/>
                <w:highlight w:val="none"/>
              </w:rPr>
              <w:t>。</w:t>
            </w:r>
          </w:p>
          <w:p w14:paraId="088F146D">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18.2.3谈判参加人员：供应商法定代表人(负责人)或相应的委托代理人持有效身份证原件参加谈判。请供应商按时到达指定地点等候当面谈判。</w:t>
            </w:r>
          </w:p>
          <w:p w14:paraId="6F4C5A57">
            <w:pPr>
              <w:snapToGrid w:val="0"/>
              <w:spacing w:line="300" w:lineRule="auto"/>
              <w:rPr>
                <w:rFonts w:ascii="Arial" w:hAnsi="Arial" w:eastAsia="宋体" w:cs="Arial"/>
                <w:b/>
                <w:color w:val="auto"/>
                <w:szCs w:val="21"/>
                <w:highlight w:val="none"/>
              </w:rPr>
            </w:pPr>
            <w:r>
              <w:rPr>
                <w:rFonts w:ascii="Arial" w:hAnsi="Arial" w:eastAsia="宋体" w:cs="Arial"/>
                <w:color w:val="auto"/>
                <w:szCs w:val="21"/>
                <w:highlight w:val="none"/>
              </w:rPr>
              <w:t>18.2.4首次响应文件递交截止时间后，由谈判小组在评标室内开启响应文件。</w:t>
            </w:r>
          </w:p>
        </w:tc>
      </w:tr>
      <w:tr w14:paraId="67BF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28" w:type="dxa"/>
            <w:vAlign w:val="center"/>
          </w:tcPr>
          <w:p w14:paraId="79316B7C">
            <w:pPr>
              <w:snapToGrid w:val="0"/>
              <w:spacing w:line="300" w:lineRule="auto"/>
              <w:jc w:val="center"/>
              <w:rPr>
                <w:rFonts w:ascii="Arial" w:hAnsi="Arial" w:eastAsia="宋体" w:cs="Arial"/>
                <w:color w:val="auto"/>
                <w:position w:val="-2"/>
                <w:szCs w:val="21"/>
                <w:highlight w:val="none"/>
              </w:rPr>
            </w:pPr>
            <w:r>
              <w:rPr>
                <w:rFonts w:ascii="Arial" w:hAnsi="Arial" w:eastAsia="宋体" w:cs="Arial"/>
                <w:color w:val="auto"/>
                <w:position w:val="-2"/>
                <w:szCs w:val="21"/>
                <w:highlight w:val="none"/>
              </w:rPr>
              <w:t>13</w:t>
            </w:r>
          </w:p>
        </w:tc>
        <w:tc>
          <w:tcPr>
            <w:tcW w:w="877" w:type="dxa"/>
            <w:vAlign w:val="center"/>
          </w:tcPr>
          <w:p w14:paraId="68EE8EAB">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19.2</w:t>
            </w:r>
          </w:p>
        </w:tc>
        <w:tc>
          <w:tcPr>
            <w:tcW w:w="1549" w:type="dxa"/>
            <w:vAlign w:val="center"/>
          </w:tcPr>
          <w:p w14:paraId="525FBE7A">
            <w:pPr>
              <w:pStyle w:val="14"/>
              <w:snapToGrid w:val="0"/>
              <w:spacing w:line="300" w:lineRule="auto"/>
              <w:jc w:val="center"/>
              <w:rPr>
                <w:rFonts w:ascii="Arial" w:hAnsi="Arial" w:eastAsia="宋体" w:cs="Arial"/>
                <w:color w:val="auto"/>
                <w:kern w:val="0"/>
                <w:szCs w:val="21"/>
                <w:highlight w:val="none"/>
              </w:rPr>
            </w:pPr>
            <w:r>
              <w:rPr>
                <w:rFonts w:ascii="Arial" w:hAnsi="Arial" w:eastAsia="宋体" w:cs="Arial"/>
                <w:color w:val="auto"/>
                <w:kern w:val="0"/>
                <w:szCs w:val="21"/>
                <w:highlight w:val="none"/>
              </w:rPr>
              <w:t>评审办法</w:t>
            </w:r>
          </w:p>
        </w:tc>
        <w:tc>
          <w:tcPr>
            <w:tcW w:w="6612" w:type="dxa"/>
            <w:vAlign w:val="center"/>
          </w:tcPr>
          <w:p w14:paraId="5F9384EA">
            <w:pPr>
              <w:tabs>
                <w:tab w:val="left" w:pos="1140"/>
              </w:tabs>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具体详见第四章评审办法。</w:t>
            </w:r>
          </w:p>
        </w:tc>
      </w:tr>
      <w:tr w14:paraId="3D32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28" w:type="dxa"/>
            <w:vAlign w:val="center"/>
          </w:tcPr>
          <w:p w14:paraId="62DD3F5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14</w:t>
            </w:r>
          </w:p>
        </w:tc>
        <w:tc>
          <w:tcPr>
            <w:tcW w:w="877" w:type="dxa"/>
            <w:vAlign w:val="center"/>
          </w:tcPr>
          <w:p w14:paraId="385A3646">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27</w:t>
            </w:r>
          </w:p>
        </w:tc>
        <w:tc>
          <w:tcPr>
            <w:tcW w:w="1549" w:type="dxa"/>
            <w:vAlign w:val="center"/>
          </w:tcPr>
          <w:p w14:paraId="763738F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成交公告</w:t>
            </w:r>
          </w:p>
          <w:p w14:paraId="04D89F3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及成交通知书</w:t>
            </w:r>
          </w:p>
        </w:tc>
        <w:tc>
          <w:tcPr>
            <w:tcW w:w="6612" w:type="dxa"/>
          </w:tcPr>
          <w:p w14:paraId="1A891B37">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27.1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F450393">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27.2在发布成交公告的同时，采购代理机构向成交供应商发出成交通知书。成交供应商应自接到通知之日起七个工作日内，办理成交通知书领取手续。</w:t>
            </w:r>
          </w:p>
        </w:tc>
      </w:tr>
      <w:tr w14:paraId="0141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vAlign w:val="center"/>
          </w:tcPr>
          <w:p w14:paraId="6959824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15</w:t>
            </w:r>
          </w:p>
        </w:tc>
        <w:tc>
          <w:tcPr>
            <w:tcW w:w="877" w:type="dxa"/>
            <w:vAlign w:val="center"/>
          </w:tcPr>
          <w:p w14:paraId="459572DB">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28.1</w:t>
            </w:r>
          </w:p>
        </w:tc>
        <w:tc>
          <w:tcPr>
            <w:tcW w:w="1549" w:type="dxa"/>
            <w:vAlign w:val="center"/>
          </w:tcPr>
          <w:p w14:paraId="3A8A34AA">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履约保证金</w:t>
            </w:r>
          </w:p>
        </w:tc>
        <w:tc>
          <w:tcPr>
            <w:tcW w:w="6612" w:type="dxa"/>
            <w:vAlign w:val="center"/>
          </w:tcPr>
          <w:p w14:paraId="599CFC16">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28.1.履约保证金金额：在合同签订之前</w:t>
            </w:r>
            <w:r>
              <w:rPr>
                <w:rFonts w:hint="eastAsia" w:ascii="Arial" w:hAnsi="Arial" w:eastAsia="宋体" w:cs="Arial"/>
                <w:color w:val="auto"/>
                <w:kern w:val="0"/>
                <w:szCs w:val="21"/>
                <w:highlight w:val="none"/>
              </w:rPr>
              <w:t>，成交供应商</w:t>
            </w:r>
            <w:r>
              <w:rPr>
                <w:rFonts w:ascii="Arial" w:hAnsi="Arial" w:eastAsia="宋体" w:cs="Arial"/>
                <w:color w:val="auto"/>
                <w:kern w:val="0"/>
                <w:szCs w:val="21"/>
                <w:highlight w:val="none"/>
              </w:rPr>
              <w:t>按成交金额的5%（如成交供应商为中小微企业的，按成交金额的2%）向采购人交纳履约保证金。</w:t>
            </w:r>
          </w:p>
          <w:p w14:paraId="6DCE8DDB">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28.2.履约保证金递交方式：转账或电汇等非现金形式。</w:t>
            </w:r>
          </w:p>
          <w:p w14:paraId="364A98CD">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28.3.履约保证金指定账户</w:t>
            </w:r>
          </w:p>
          <w:p w14:paraId="7EAD4CE8">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开户名称：桂林理工大学</w:t>
            </w:r>
          </w:p>
          <w:p w14:paraId="51B366AE">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开户银行：中国银行桂林分行</w:t>
            </w:r>
          </w:p>
          <w:p w14:paraId="448778EF">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账号：613257488744。</w:t>
            </w:r>
          </w:p>
          <w:p w14:paraId="4BF7B970">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28.4.履约保证金退付方式、时间及条件：</w:t>
            </w:r>
          </w:p>
          <w:p w14:paraId="005C2B58">
            <w:pPr>
              <w:snapToGrid w:val="0"/>
              <w:spacing w:line="300" w:lineRule="auto"/>
              <w:outlineLvl w:val="4"/>
              <w:rPr>
                <w:rFonts w:ascii="Arial" w:hAnsi="Arial" w:eastAsia="宋体" w:cs="Arial"/>
                <w:color w:val="auto"/>
                <w:kern w:val="0"/>
                <w:szCs w:val="21"/>
                <w:highlight w:val="none"/>
              </w:rPr>
            </w:pPr>
            <w:r>
              <w:rPr>
                <w:rFonts w:ascii="Arial" w:hAnsi="Arial" w:eastAsia="宋体" w:cs="Arial"/>
                <w:color w:val="auto"/>
                <w:kern w:val="0"/>
                <w:szCs w:val="21"/>
                <w:highlight w:val="none"/>
              </w:rPr>
              <w:t>（1）成交供应商须按上述规定的金额、方式将履约保证金转入桂林理工大学账户。否则，不予签订合同。</w:t>
            </w:r>
          </w:p>
          <w:p w14:paraId="46AA40BE">
            <w:pPr>
              <w:snapToGrid w:val="0"/>
              <w:spacing w:line="300" w:lineRule="auto"/>
              <w:outlineLvl w:val="4"/>
              <w:rPr>
                <w:rFonts w:ascii="Arial" w:hAnsi="Arial" w:eastAsia="宋体" w:cs="Arial"/>
                <w:color w:val="auto"/>
                <w:szCs w:val="21"/>
                <w:highlight w:val="none"/>
              </w:rPr>
            </w:pPr>
            <w:r>
              <w:rPr>
                <w:rFonts w:ascii="Arial" w:hAnsi="Arial" w:eastAsia="宋体" w:cs="Arial"/>
                <w:color w:val="auto"/>
                <w:kern w:val="0"/>
                <w:szCs w:val="21"/>
                <w:highlight w:val="none"/>
              </w:rPr>
              <w:t>（2）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tc>
      </w:tr>
      <w:tr w14:paraId="49BF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vAlign w:val="center"/>
          </w:tcPr>
          <w:p w14:paraId="68B48066">
            <w:pPr>
              <w:snapToGrid w:val="0"/>
              <w:spacing w:line="300" w:lineRule="auto"/>
              <w:jc w:val="center"/>
              <w:rPr>
                <w:rFonts w:ascii="Arial" w:hAnsi="Arial" w:eastAsia="宋体" w:cs="Arial"/>
                <w:color w:val="auto"/>
                <w:szCs w:val="21"/>
                <w:highlight w:val="none"/>
              </w:rPr>
            </w:pPr>
            <w:r>
              <w:rPr>
                <w:rFonts w:ascii="Arial" w:hAnsi="Arial" w:eastAsia="宋体" w:cs="Arial"/>
                <w:color w:val="auto"/>
                <w:kern w:val="0"/>
                <w:szCs w:val="21"/>
                <w:highlight w:val="none"/>
              </w:rPr>
              <w:t>16</w:t>
            </w:r>
          </w:p>
        </w:tc>
        <w:tc>
          <w:tcPr>
            <w:tcW w:w="877" w:type="dxa"/>
            <w:vAlign w:val="center"/>
          </w:tcPr>
          <w:p w14:paraId="5CAE506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29.1</w:t>
            </w:r>
          </w:p>
        </w:tc>
        <w:tc>
          <w:tcPr>
            <w:tcW w:w="1549" w:type="dxa"/>
            <w:vAlign w:val="center"/>
          </w:tcPr>
          <w:p w14:paraId="7AB6F932">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签订合同时间</w:t>
            </w:r>
          </w:p>
        </w:tc>
        <w:tc>
          <w:tcPr>
            <w:tcW w:w="6612" w:type="dxa"/>
            <w:vAlign w:val="center"/>
          </w:tcPr>
          <w:p w14:paraId="70385913">
            <w:pPr>
              <w:snapToGrid w:val="0"/>
              <w:spacing w:line="300" w:lineRule="auto"/>
              <w:rPr>
                <w:rFonts w:ascii="Arial" w:hAnsi="Arial" w:eastAsia="宋体" w:cs="Arial"/>
                <w:color w:val="auto"/>
                <w:highlight w:val="none"/>
              </w:rPr>
            </w:pPr>
            <w:r>
              <w:rPr>
                <w:rFonts w:ascii="Arial" w:hAnsi="Arial" w:eastAsia="宋体" w:cs="Arial"/>
                <w:color w:val="auto"/>
                <w:highlight w:val="none"/>
              </w:rPr>
              <w:t>成交通知书发出之日起25日内。成交供应商领取成交通知书后，应按规定与采购人签订合同。</w:t>
            </w:r>
          </w:p>
        </w:tc>
      </w:tr>
      <w:tr w14:paraId="4A43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28" w:type="dxa"/>
            <w:vAlign w:val="center"/>
          </w:tcPr>
          <w:p w14:paraId="1C323EA6">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17</w:t>
            </w:r>
          </w:p>
        </w:tc>
        <w:tc>
          <w:tcPr>
            <w:tcW w:w="877" w:type="dxa"/>
            <w:vAlign w:val="center"/>
          </w:tcPr>
          <w:p w14:paraId="1FC6BB34">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30</w:t>
            </w:r>
          </w:p>
        </w:tc>
        <w:tc>
          <w:tcPr>
            <w:tcW w:w="1549" w:type="dxa"/>
            <w:vAlign w:val="center"/>
          </w:tcPr>
          <w:p w14:paraId="2F1153F3">
            <w:pPr>
              <w:snapToGrid w:val="0"/>
              <w:spacing w:line="300" w:lineRule="auto"/>
              <w:jc w:val="center"/>
              <w:rPr>
                <w:rFonts w:ascii="Arial" w:hAnsi="Arial" w:eastAsia="宋体" w:cs="Arial"/>
                <w:color w:val="auto"/>
                <w:szCs w:val="21"/>
                <w:highlight w:val="none"/>
              </w:rPr>
            </w:pPr>
            <w:r>
              <w:rPr>
                <w:rFonts w:ascii="Arial" w:hAnsi="Arial" w:eastAsia="宋体" w:cs="Arial"/>
                <w:color w:val="auto"/>
                <w:szCs w:val="21"/>
                <w:highlight w:val="none"/>
              </w:rPr>
              <w:t>采购代理服务费</w:t>
            </w:r>
          </w:p>
        </w:tc>
        <w:tc>
          <w:tcPr>
            <w:tcW w:w="6612" w:type="dxa"/>
          </w:tcPr>
          <w:p w14:paraId="18FB4F98">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以项目的成交金额为计费额，按国家发展计划委员会文件计价格（2002）1980号“国家计委关于印发《招标代理服务收费管理暂行办法》的通知”规定的货物类费率标准（详见本须知正文第30.2条）采用差额定率累进法计算出收费基准价格，采购代理服务费按收费基准价格下浮60 %收取，由成交供应商在领取成交通知书前，向采购代理机构一次性支付。</w:t>
            </w:r>
          </w:p>
          <w:p w14:paraId="42B0BEA7">
            <w:pPr>
              <w:snapToGrid w:val="0"/>
              <w:spacing w:line="300" w:lineRule="auto"/>
              <w:rPr>
                <w:rFonts w:ascii="Arial" w:hAnsi="Arial" w:eastAsia="宋体" w:cs="Arial"/>
                <w:color w:val="auto"/>
                <w:szCs w:val="21"/>
                <w:highlight w:val="none"/>
              </w:rPr>
            </w:pPr>
            <w:r>
              <w:rPr>
                <w:rFonts w:ascii="Arial" w:hAnsi="Arial" w:eastAsia="宋体" w:cs="Arial"/>
                <w:color w:val="auto"/>
                <w:szCs w:val="21"/>
                <w:highlight w:val="none"/>
              </w:rPr>
              <w:t>计算范例如下（本范例仅作计算示范，不等同于本项目代理服务费实际收取金额）：</w:t>
            </w:r>
          </w:p>
          <w:p w14:paraId="6F8F9E5D">
            <w:pPr>
              <w:snapToGrid w:val="0"/>
              <w:spacing w:line="300" w:lineRule="auto"/>
              <w:rPr>
                <w:rFonts w:ascii="Arial" w:hAnsi="Arial" w:eastAsia="宋体" w:cs="Arial"/>
                <w:color w:val="auto"/>
                <w:highlight w:val="none"/>
              </w:rPr>
            </w:pPr>
            <w:r>
              <w:rPr>
                <w:rFonts w:ascii="Arial" w:hAnsi="Arial" w:eastAsia="宋体" w:cs="Arial"/>
                <w:color w:val="auto"/>
                <w:szCs w:val="21"/>
                <w:highlight w:val="none"/>
              </w:rPr>
              <w:t>某货物采购项目成交金额为350万元，则以350万元为计费额；招标代理服务费收费基准价格=100 万元×1.5%＋（350-100）万元×1.1%＝1.5万元＋2.75万元＝4.25万元；招标代理服务费收取标准=收费基准价格×（1-60%）=4.25万元×40%=1.7万元。</w:t>
            </w:r>
          </w:p>
        </w:tc>
      </w:tr>
      <w:tr w14:paraId="1241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8" w:type="dxa"/>
            <w:vAlign w:val="center"/>
          </w:tcPr>
          <w:p w14:paraId="59AE8393">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18</w:t>
            </w:r>
          </w:p>
        </w:tc>
        <w:tc>
          <w:tcPr>
            <w:tcW w:w="877" w:type="dxa"/>
            <w:vAlign w:val="center"/>
          </w:tcPr>
          <w:p w14:paraId="51B13CE7">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32</w:t>
            </w:r>
          </w:p>
        </w:tc>
        <w:tc>
          <w:tcPr>
            <w:tcW w:w="1549" w:type="dxa"/>
            <w:vAlign w:val="center"/>
          </w:tcPr>
          <w:p w14:paraId="5991A102">
            <w:pPr>
              <w:snapToGrid w:val="0"/>
              <w:spacing w:line="288" w:lineRule="auto"/>
              <w:jc w:val="center"/>
              <w:rPr>
                <w:rFonts w:ascii="Arial" w:hAnsi="Arial" w:eastAsia="宋体" w:cs="Arial"/>
                <w:color w:val="auto"/>
                <w:szCs w:val="21"/>
                <w:highlight w:val="none"/>
              </w:rPr>
            </w:pPr>
            <w:r>
              <w:rPr>
                <w:rFonts w:ascii="Arial" w:hAnsi="Arial" w:eastAsia="宋体" w:cs="Arial"/>
                <w:color w:val="auto"/>
                <w:szCs w:val="21"/>
                <w:highlight w:val="none"/>
              </w:rPr>
              <w:t>解释权</w:t>
            </w:r>
          </w:p>
        </w:tc>
        <w:tc>
          <w:tcPr>
            <w:tcW w:w="6612" w:type="dxa"/>
            <w:vAlign w:val="center"/>
          </w:tcPr>
          <w:p w14:paraId="65B328D2">
            <w:pPr>
              <w:snapToGrid w:val="0"/>
              <w:spacing w:line="288" w:lineRule="auto"/>
              <w:rPr>
                <w:rFonts w:ascii="Arial" w:hAnsi="Arial" w:eastAsia="宋体" w:cs="Arial"/>
                <w:color w:val="auto"/>
                <w:szCs w:val="21"/>
                <w:highlight w:val="none"/>
              </w:rPr>
            </w:pPr>
            <w:r>
              <w:rPr>
                <w:rFonts w:ascii="Arial" w:hAnsi="Arial" w:eastAsia="宋体" w:cs="Arial"/>
                <w:color w:val="auto"/>
                <w:highlight w:val="none"/>
              </w:rPr>
              <w:t>本竞争性谈判文件的解释权属于采购代理机构。</w:t>
            </w:r>
          </w:p>
        </w:tc>
      </w:tr>
    </w:tbl>
    <w:p w14:paraId="7D90ED3E">
      <w:pPr>
        <w:spacing w:line="38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一、总则</w:t>
      </w:r>
    </w:p>
    <w:p w14:paraId="5651CFC0">
      <w:pPr>
        <w:spacing w:line="39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1. 适应范围</w:t>
      </w:r>
    </w:p>
    <w:p w14:paraId="50E51188">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1.1  项目名称及项目编号：</w:t>
      </w:r>
    </w:p>
    <w:p w14:paraId="21755970">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 xml:space="preserve">     项目名称：</w:t>
      </w:r>
      <w:r>
        <w:rPr>
          <w:rFonts w:hint="eastAsia" w:ascii="Arial" w:hAnsi="Arial" w:eastAsia="宋体" w:cs="Arial"/>
          <w:color w:val="auto"/>
          <w:highlight w:val="none"/>
        </w:rPr>
        <w:t>材料学院采购计算平台等设备</w:t>
      </w:r>
      <w:r>
        <w:rPr>
          <w:rFonts w:ascii="Arial" w:hAnsi="Arial" w:eastAsia="宋体" w:cs="Arial"/>
          <w:color w:val="auto"/>
          <w:szCs w:val="21"/>
          <w:highlight w:val="none"/>
        </w:rPr>
        <w:t xml:space="preserve">   </w:t>
      </w:r>
    </w:p>
    <w:p w14:paraId="52743C4D">
      <w:pPr>
        <w:spacing w:line="390" w:lineRule="exact"/>
        <w:ind w:firstLine="435"/>
        <w:rPr>
          <w:rFonts w:hint="eastAsia" w:ascii="Arial" w:hAnsi="Arial" w:eastAsia="宋体" w:cs="Arial"/>
          <w:color w:val="auto"/>
          <w:szCs w:val="21"/>
          <w:highlight w:val="none"/>
          <w:lang w:eastAsia="zh-CN"/>
        </w:rPr>
      </w:pPr>
      <w:r>
        <w:rPr>
          <w:rFonts w:ascii="Arial" w:hAnsi="Arial" w:eastAsia="宋体" w:cs="Arial"/>
          <w:color w:val="auto"/>
          <w:szCs w:val="21"/>
          <w:highlight w:val="none"/>
        </w:rPr>
        <w:t xml:space="preserve">     项目</w:t>
      </w:r>
      <w:r>
        <w:rPr>
          <w:rFonts w:ascii="Arial" w:hAnsi="Arial" w:eastAsia="宋体" w:cs="Arial"/>
          <w:color w:val="auto"/>
          <w:highlight w:val="none"/>
        </w:rPr>
        <w:t xml:space="preserve">编号： </w:t>
      </w:r>
      <w:r>
        <w:rPr>
          <w:rFonts w:hint="eastAsia" w:ascii="Arial" w:hAnsi="Arial" w:eastAsia="宋体" w:cs="Arial"/>
          <w:color w:val="auto"/>
          <w:highlight w:val="none"/>
          <w:lang w:eastAsia="zh-CN"/>
        </w:rPr>
        <w:t>GXJD-24114CC031163</w:t>
      </w:r>
    </w:p>
    <w:p w14:paraId="7D8F2A06">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1.2本竞争性谈判文件（以下简称谈判文件）适用于本谈判项目的谈判、评审、合同履约、验收、付款等行为（法律、法规另有规定的，从其规定）。</w:t>
      </w:r>
    </w:p>
    <w:p w14:paraId="0450DDDC">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2. 定义</w:t>
      </w:r>
    </w:p>
    <w:p w14:paraId="3726C60C">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2.1“供应商”是指符合本次采购项目的供应商资格并提交响应文件、参加谈判的供应商。如果该供应商在本次谈判中成交，即成为“成交供应商”。</w:t>
      </w:r>
    </w:p>
    <w:p w14:paraId="0C9D7B37">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2.2“货物”系指按谈判文件规定，供应商须向采购人提供的一切设备、保险、税金、备品备件、工具、手册及其它有关技术资料和材料。</w:t>
      </w:r>
    </w:p>
    <w:p w14:paraId="31CA27E0">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2.3“服务”系指按谈判文件规定，供应商须承担的安装、调试、技术协助、校准、培训、技术指导以及其他类似的义务。</w:t>
      </w:r>
    </w:p>
    <w:p w14:paraId="759C47C0">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2.4“项目”系指供应商按谈判文件规定向采购人提供的货物和服务。</w:t>
      </w:r>
    </w:p>
    <w:p w14:paraId="6D3F89CC">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2.5“书面形式”包括信函、传真、电报等。</w:t>
      </w:r>
    </w:p>
    <w:p w14:paraId="3C628FFE">
      <w:pPr>
        <w:spacing w:line="390" w:lineRule="exact"/>
        <w:ind w:firstLine="435"/>
        <w:rPr>
          <w:rFonts w:ascii="Arial" w:hAnsi="Arial" w:eastAsia="宋体" w:cs="Arial"/>
          <w:b/>
          <w:color w:val="auto"/>
          <w:sz w:val="24"/>
          <w:highlight w:val="none"/>
        </w:rPr>
      </w:pPr>
      <w:r>
        <w:rPr>
          <w:rFonts w:ascii="Arial" w:hAnsi="Arial" w:eastAsia="宋体" w:cs="Arial"/>
          <w:b/>
          <w:color w:val="auto"/>
          <w:sz w:val="24"/>
          <w:highlight w:val="none"/>
        </w:rPr>
        <w:t>2.6实质性要求：“项目采购需求”中所有条款要求及竞争性谈判文件中要求“必须提供”的条款均为实质性要求，如有负偏离或不满足要求则响应被否决。</w:t>
      </w:r>
    </w:p>
    <w:p w14:paraId="35455D5B">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3. 供应商资格</w:t>
      </w:r>
    </w:p>
    <w:p w14:paraId="0A78D73B">
      <w:pPr>
        <w:spacing w:line="39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3.1符合《中华人民共和国政府采购法》第二十二条规定。</w:t>
      </w:r>
    </w:p>
    <w:p w14:paraId="568022C6">
      <w:pPr>
        <w:spacing w:line="39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3.2</w:t>
      </w:r>
      <w:r>
        <w:rPr>
          <w:rFonts w:ascii="Arial" w:hAnsi="Arial" w:eastAsia="宋体" w:cs="Arial"/>
          <w:color w:val="auto"/>
          <w:highlight w:val="none"/>
        </w:rPr>
        <w:t>供应商的特定资格要求：</w:t>
      </w:r>
      <w:r>
        <w:rPr>
          <w:rFonts w:hint="eastAsia" w:ascii="Arial" w:hAnsi="Arial" w:eastAsia="宋体" w:cs="Arial"/>
          <w:b/>
          <w:bCs/>
          <w:color w:val="auto"/>
          <w:highlight w:val="none"/>
        </w:rPr>
        <w:t>本项目非专门面向中小微企业采购</w:t>
      </w:r>
      <w:r>
        <w:rPr>
          <w:rFonts w:ascii="Arial" w:hAnsi="Arial" w:eastAsia="宋体" w:cs="Arial"/>
          <w:b/>
          <w:bCs/>
          <w:color w:val="auto"/>
          <w:highlight w:val="none"/>
        </w:rPr>
        <w:t>。</w:t>
      </w:r>
    </w:p>
    <w:p w14:paraId="675021E0">
      <w:pPr>
        <w:spacing w:line="39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3AC88D4D">
      <w:pPr>
        <w:spacing w:line="390" w:lineRule="exact"/>
        <w:ind w:firstLine="435"/>
        <w:rPr>
          <w:rFonts w:ascii="Arial" w:hAnsi="Arial" w:eastAsia="宋体" w:cs="Arial"/>
          <w:color w:val="auto"/>
          <w:kern w:val="0"/>
          <w:szCs w:val="21"/>
          <w:highlight w:val="none"/>
        </w:rPr>
      </w:pPr>
      <w:r>
        <w:rPr>
          <w:rFonts w:ascii="Arial" w:hAnsi="Arial" w:eastAsia="宋体" w:cs="Arial"/>
          <w:color w:val="auto"/>
          <w:kern w:val="0"/>
          <w:szCs w:val="21"/>
          <w:highlight w:val="none"/>
        </w:rPr>
        <w:t>3.4.对在“信用中国”网站(www.creditchina.gov.cn)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采购活动。</w:t>
      </w:r>
    </w:p>
    <w:p w14:paraId="63C64B51">
      <w:pPr>
        <w:spacing w:line="390" w:lineRule="exact"/>
        <w:ind w:firstLine="435"/>
        <w:rPr>
          <w:rFonts w:ascii="Arial" w:hAnsi="Arial" w:eastAsia="宋体" w:cs="Arial"/>
          <w:color w:val="auto"/>
          <w:kern w:val="0"/>
          <w:sz w:val="24"/>
          <w:highlight w:val="none"/>
        </w:rPr>
      </w:pPr>
      <w:r>
        <w:rPr>
          <w:rFonts w:ascii="Arial" w:hAnsi="Arial" w:eastAsia="宋体" w:cs="Arial"/>
          <w:color w:val="auto"/>
          <w:kern w:val="0"/>
          <w:szCs w:val="21"/>
          <w:highlight w:val="none"/>
        </w:rPr>
        <w:t>3.5.本项目不接受联合体参与谈判</w:t>
      </w:r>
      <w:r>
        <w:rPr>
          <w:rFonts w:ascii="Arial" w:hAnsi="Arial" w:eastAsia="宋体" w:cs="Arial"/>
          <w:color w:val="auto"/>
          <w:highlight w:val="none"/>
        </w:rPr>
        <w:t>。</w:t>
      </w:r>
    </w:p>
    <w:p w14:paraId="73B931F7">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4. 谈判费用</w:t>
      </w:r>
    </w:p>
    <w:p w14:paraId="461C1843">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不论谈判结果如何，供应商均应自行承担所有与谈判有关的全部费用。</w:t>
      </w:r>
    </w:p>
    <w:p w14:paraId="604F7B60">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5. 联合体要求：</w:t>
      </w:r>
      <w:r>
        <w:rPr>
          <w:rFonts w:ascii="Arial" w:hAnsi="Arial" w:eastAsia="宋体" w:cs="Arial"/>
          <w:color w:val="auto"/>
          <w:szCs w:val="21"/>
          <w:highlight w:val="none"/>
        </w:rPr>
        <w:t>本项目不接受联合体参与谈判。</w:t>
      </w:r>
    </w:p>
    <w:p w14:paraId="427E7D47">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6.异议</w:t>
      </w:r>
    </w:p>
    <w:p w14:paraId="1AE7C520">
      <w:pPr>
        <w:tabs>
          <w:tab w:val="left" w:pos="1635"/>
        </w:tabs>
        <w:spacing w:line="390" w:lineRule="exact"/>
        <w:ind w:firstLine="435"/>
        <w:rPr>
          <w:rFonts w:ascii="Arial" w:hAnsi="Arial" w:eastAsia="宋体" w:cs="Arial"/>
          <w:b/>
          <w:bCs/>
          <w:color w:val="auto"/>
          <w:szCs w:val="21"/>
          <w:highlight w:val="none"/>
        </w:rPr>
      </w:pPr>
      <w:r>
        <w:rPr>
          <w:rFonts w:ascii="Arial" w:hAnsi="Arial" w:eastAsia="宋体" w:cs="Arial"/>
          <w:b/>
          <w:bCs/>
          <w:color w:val="auto"/>
          <w:szCs w:val="21"/>
          <w:highlight w:val="none"/>
        </w:rPr>
        <w:t>6.1异议内容、时限</w:t>
      </w:r>
    </w:p>
    <w:p w14:paraId="01FFDC5B">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（1）潜在供应商对谈判文件有异议的，应当在首次提交响应文件截止之日3日前提出，并附相关证明材料以书面形式递交。</w:t>
      </w:r>
    </w:p>
    <w:p w14:paraId="4F446F59">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（2）供应商对截标有异议的，应当在截标现场提出。</w:t>
      </w:r>
    </w:p>
    <w:p w14:paraId="57AF3BEA">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（3）供应商对成交结果有异议的，应当在成交结果公告期内以书面形式提出，并附相关证明材料。</w:t>
      </w:r>
    </w:p>
    <w:p w14:paraId="73C1B687">
      <w:pPr>
        <w:tabs>
          <w:tab w:val="left" w:pos="1635"/>
        </w:tabs>
        <w:spacing w:line="390" w:lineRule="exact"/>
        <w:ind w:firstLine="435"/>
        <w:rPr>
          <w:rFonts w:ascii="Arial" w:hAnsi="Arial" w:eastAsia="宋体" w:cs="Arial"/>
          <w:b/>
          <w:bCs/>
          <w:color w:val="auto"/>
          <w:szCs w:val="21"/>
          <w:highlight w:val="none"/>
        </w:rPr>
      </w:pPr>
      <w:r>
        <w:rPr>
          <w:rFonts w:ascii="Arial" w:hAnsi="Arial" w:eastAsia="宋体" w:cs="Arial"/>
          <w:b/>
          <w:bCs/>
          <w:color w:val="auto"/>
          <w:szCs w:val="21"/>
          <w:highlight w:val="none"/>
        </w:rPr>
        <w:t>6.2异议答复时限</w:t>
      </w:r>
    </w:p>
    <w:p w14:paraId="5C74CC85">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采购人在收到供应商书面异议后3日内，对异议内容作出答复。</w:t>
      </w:r>
    </w:p>
    <w:p w14:paraId="68711542">
      <w:pPr>
        <w:tabs>
          <w:tab w:val="left" w:pos="1635"/>
        </w:tabs>
        <w:spacing w:line="390" w:lineRule="exact"/>
        <w:ind w:firstLine="435"/>
        <w:rPr>
          <w:rFonts w:ascii="Arial" w:hAnsi="Arial" w:eastAsia="宋体" w:cs="Arial"/>
          <w:b/>
          <w:bCs/>
          <w:color w:val="auto"/>
          <w:szCs w:val="21"/>
          <w:highlight w:val="none"/>
        </w:rPr>
      </w:pPr>
      <w:r>
        <w:rPr>
          <w:rFonts w:ascii="Arial" w:hAnsi="Arial" w:eastAsia="宋体" w:cs="Arial"/>
          <w:b/>
          <w:bCs/>
          <w:color w:val="auto"/>
          <w:szCs w:val="21"/>
          <w:highlight w:val="none"/>
        </w:rPr>
        <w:t>6.3异议形式</w:t>
      </w:r>
    </w:p>
    <w:p w14:paraId="656F8D56">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异议应当采用供应商须知前附表所规定的形式，异议书应明确阐述谈判文件、谈判过程或成交结果中使自己合法权益受到损害的实质性内容，提供相关事实、依据和证据及其来源或线索，便于有关单位调查、答复和处理。不满足要求的异议将不予受理。</w:t>
      </w:r>
    </w:p>
    <w:p w14:paraId="3733D936">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7. 转包与分包</w:t>
      </w:r>
    </w:p>
    <w:p w14:paraId="09C6525A">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7.1 本项目不允许转包。</w:t>
      </w:r>
    </w:p>
    <w:p w14:paraId="4ABC055D">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7.2 本项目不可以分包。</w:t>
      </w:r>
    </w:p>
    <w:p w14:paraId="0AEC6E81">
      <w:pPr>
        <w:tabs>
          <w:tab w:val="left" w:pos="1635"/>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8. 关联供应商不得参加同一合同项下采购活动，否则响应文件将被视为无效：</w:t>
      </w:r>
    </w:p>
    <w:p w14:paraId="76B2D8EB">
      <w:pPr>
        <w:tabs>
          <w:tab w:val="left" w:pos="163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（1）单位负责人为同一人或者存在直接控股、管理关系的不同供应商，不得参加同一合同项下的采购活动。</w:t>
      </w:r>
    </w:p>
    <w:p w14:paraId="57AF06AE">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（2）为本采购项目提供整体设计、规范编制或者项目管理、监理、检测等服务的供应商，不得再参加本次采购活动。</w:t>
      </w:r>
    </w:p>
    <w:p w14:paraId="3C8F1E92">
      <w:pPr>
        <w:tabs>
          <w:tab w:val="left" w:pos="1635"/>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（3）生产厂商授权给供应商后自己不得参加同一合同项下的采购活动；生产厂商对同一品牌同一型号的货物，仅能委托一个代理商参加谈判。</w:t>
      </w:r>
    </w:p>
    <w:p w14:paraId="367B5D06">
      <w:pPr>
        <w:tabs>
          <w:tab w:val="left" w:pos="2190"/>
        </w:tabs>
        <w:spacing w:line="390" w:lineRule="exact"/>
        <w:ind w:firstLine="435"/>
        <w:jc w:val="center"/>
        <w:rPr>
          <w:rFonts w:ascii="Arial" w:hAnsi="Arial" w:eastAsia="宋体" w:cs="Arial"/>
          <w:b/>
          <w:color w:val="auto"/>
          <w:sz w:val="28"/>
          <w:szCs w:val="28"/>
          <w:highlight w:val="none"/>
        </w:rPr>
      </w:pPr>
    </w:p>
    <w:p w14:paraId="797C31A5">
      <w:pPr>
        <w:tabs>
          <w:tab w:val="left" w:pos="219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二、谈判文件</w:t>
      </w:r>
    </w:p>
    <w:p w14:paraId="2D9F9F40">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9. 谈判文件的构成</w:t>
      </w:r>
    </w:p>
    <w:p w14:paraId="67230482">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（1）竞争性谈判公告；</w:t>
      </w:r>
    </w:p>
    <w:p w14:paraId="22B16601">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（2）供应商须知；</w:t>
      </w:r>
    </w:p>
    <w:p w14:paraId="260D4558">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（3）项目采购需求；</w:t>
      </w:r>
    </w:p>
    <w:p w14:paraId="77B7A4CF">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（4）评审办法；</w:t>
      </w:r>
    </w:p>
    <w:p w14:paraId="3C151257">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（5）采购合同（合同主要条款及格式）；</w:t>
      </w:r>
    </w:p>
    <w:p w14:paraId="386AB6F8">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（6）响应文件（格式）。</w:t>
      </w:r>
    </w:p>
    <w:p w14:paraId="39184A4E">
      <w:pPr>
        <w:tabs>
          <w:tab w:val="left" w:pos="2190"/>
        </w:tabs>
        <w:spacing w:line="390" w:lineRule="exact"/>
        <w:ind w:firstLine="437"/>
        <w:rPr>
          <w:rFonts w:ascii="Arial" w:hAnsi="Arial" w:eastAsia="宋体" w:cs="Arial"/>
          <w:b/>
          <w:color w:val="auto"/>
          <w:szCs w:val="21"/>
          <w:highlight w:val="none"/>
        </w:rPr>
      </w:pPr>
      <w:r>
        <w:rPr>
          <w:rFonts w:ascii="Arial" w:hAnsi="Arial" w:eastAsia="宋体" w:cs="Arial"/>
          <w:b/>
          <w:color w:val="auto"/>
          <w:szCs w:val="21"/>
          <w:highlight w:val="none"/>
        </w:rPr>
        <w:t>10. 谈判文件的澄清与修改</w:t>
      </w:r>
    </w:p>
    <w:p w14:paraId="5A332302">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10.1 提交首次响应文件截止之日前，采购代理机构可以对已发出的谈判文件进行必要澄清或者修改，澄清或者修改的内容作为谈判文件的组成部分。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54341AF7">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10.2</w:t>
      </w:r>
      <w:r>
        <w:rPr>
          <w:rFonts w:ascii="Arial" w:hAnsi="Arial" w:eastAsia="宋体" w:cs="Arial"/>
          <w:b/>
          <w:color w:val="auto"/>
          <w:szCs w:val="21"/>
          <w:highlight w:val="none"/>
        </w:rPr>
        <w:t>供应商必须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67418082">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10.3澄清或者修改的内容为谈判文件的组成部分。当澄清或者修改通知就同一内容的表述不一致时，以最后发出的文件为准。</w:t>
      </w:r>
    </w:p>
    <w:p w14:paraId="09BA828A">
      <w:pPr>
        <w:tabs>
          <w:tab w:val="left" w:pos="2190"/>
        </w:tabs>
        <w:spacing w:line="390" w:lineRule="exact"/>
        <w:ind w:firstLine="437"/>
        <w:rPr>
          <w:rFonts w:ascii="Arial" w:hAnsi="Arial" w:eastAsia="宋体" w:cs="Arial"/>
          <w:color w:val="auto"/>
          <w:szCs w:val="21"/>
          <w:highlight w:val="none"/>
        </w:rPr>
      </w:pPr>
      <w:r>
        <w:rPr>
          <w:rFonts w:ascii="Arial" w:hAnsi="Arial" w:eastAsia="宋体" w:cs="Arial"/>
          <w:color w:val="auto"/>
          <w:szCs w:val="21"/>
          <w:highlight w:val="none"/>
        </w:rPr>
        <w:t>10.4 谈判文件的澄清或者修改都应该通过本项目采购代理机构以法定形式发布，采购人非通过本机构，不得擅自澄清或者修改谈判文件。</w:t>
      </w:r>
    </w:p>
    <w:p w14:paraId="7FC25B94">
      <w:pPr>
        <w:tabs>
          <w:tab w:val="left" w:pos="2190"/>
        </w:tabs>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10.5采购代理机构可以视采购具体情况，延长首次响应文件递交截止时间和谈判时间，并在本项目竞争性谈判公告发布的同一媒体上发布变更公告。</w:t>
      </w:r>
    </w:p>
    <w:p w14:paraId="10C1486B">
      <w:pPr>
        <w:tabs>
          <w:tab w:val="left" w:pos="2190"/>
        </w:tabs>
        <w:spacing w:line="390" w:lineRule="exact"/>
        <w:ind w:firstLine="435"/>
        <w:jc w:val="center"/>
        <w:rPr>
          <w:rFonts w:ascii="Arial" w:hAnsi="Arial" w:eastAsia="宋体" w:cs="Arial"/>
          <w:b/>
          <w:color w:val="auto"/>
          <w:sz w:val="28"/>
          <w:szCs w:val="28"/>
          <w:highlight w:val="none"/>
        </w:rPr>
      </w:pPr>
    </w:p>
    <w:p w14:paraId="22E033B4">
      <w:pPr>
        <w:tabs>
          <w:tab w:val="left" w:pos="2190"/>
        </w:tabs>
        <w:spacing w:line="390" w:lineRule="exact"/>
        <w:ind w:firstLine="435"/>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三、竞争性谈判响应文件的编制</w:t>
      </w:r>
    </w:p>
    <w:p w14:paraId="75143886">
      <w:pPr>
        <w:tabs>
          <w:tab w:val="left" w:pos="2190"/>
        </w:tabs>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11.竞争性谈判响应文件（以下简称响应文件）的组成及要求</w:t>
      </w:r>
    </w:p>
    <w:p w14:paraId="14688963">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b/>
          <w:color w:val="auto"/>
          <w:szCs w:val="21"/>
          <w:highlight w:val="none"/>
        </w:rPr>
        <w:t>11.1响应文件组成【格式见第六章“响应文件（格式）”】</w:t>
      </w:r>
    </w:p>
    <w:p w14:paraId="49EB63FD">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11.1.1资格性响应证明材料：</w:t>
      </w:r>
    </w:p>
    <w:p w14:paraId="590C6E0D">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14:paraId="4AB3A5F2">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（2）供应商相应的法定代表人(负责人)身份证正反两面复印件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651BF84B">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14:paraId="12DFB369">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4461EDDD">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373ADB9">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（5）供应商</w:t>
      </w:r>
      <w:r>
        <w:rPr>
          <w:rFonts w:hint="eastAsia" w:ascii="Arial" w:hAnsi="Arial" w:eastAsia="宋体" w:cs="Arial"/>
          <w:color w:val="auto"/>
          <w:szCs w:val="21"/>
          <w:highlight w:val="none"/>
        </w:rPr>
        <w:t>2023年</w:t>
      </w:r>
      <w:r>
        <w:rPr>
          <w:rFonts w:ascii="Arial" w:hAnsi="Arial" w:eastAsia="宋体" w:cs="Arial"/>
          <w:color w:val="auto"/>
          <w:szCs w:val="21"/>
          <w:highlight w:val="none"/>
        </w:rPr>
        <w:t>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color w:val="auto"/>
          <w:szCs w:val="21"/>
          <w:highlight w:val="none"/>
        </w:rPr>
        <w:t>（必须提供）</w:t>
      </w:r>
      <w:r>
        <w:rPr>
          <w:rFonts w:ascii="Arial" w:hAnsi="Arial" w:eastAsia="宋体" w:cs="Arial"/>
          <w:color w:val="auto"/>
          <w:szCs w:val="21"/>
          <w:highlight w:val="none"/>
        </w:rPr>
        <w:t xml:space="preserve"> ； </w:t>
      </w:r>
    </w:p>
    <w:p w14:paraId="087AACE3">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7D5EBFE8">
      <w:pPr>
        <w:tabs>
          <w:tab w:val="left" w:pos="1305"/>
          <w:tab w:val="left" w:pos="7020"/>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6F10676B">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（8）供应商参加采购活动前3年内在经营活动中没有重大违法记录及有关信用信息的书面声明</w:t>
      </w:r>
      <w:r>
        <w:rPr>
          <w:rFonts w:ascii="Arial" w:hAnsi="Arial" w:eastAsia="宋体" w:cs="Arial"/>
          <w:b/>
          <w:color w:val="auto"/>
          <w:szCs w:val="21"/>
          <w:highlight w:val="none"/>
        </w:rPr>
        <w:t>（必须提供）；</w:t>
      </w:r>
    </w:p>
    <w:p w14:paraId="13F852D8">
      <w:pPr>
        <w:snapToGrid w:val="0"/>
        <w:spacing w:line="380" w:lineRule="exact"/>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color w:val="auto"/>
          <w:szCs w:val="21"/>
          <w:highlight w:val="none"/>
        </w:rPr>
        <w:t>（必须提供）</w:t>
      </w:r>
    </w:p>
    <w:p w14:paraId="7BAB98B1">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color w:val="auto"/>
          <w:szCs w:val="21"/>
          <w:highlight w:val="none"/>
        </w:rPr>
        <w:t>（必须提供）</w:t>
      </w:r>
    </w:p>
    <w:p w14:paraId="3BDAB555">
      <w:pPr>
        <w:snapToGrid w:val="0"/>
        <w:spacing w:line="380" w:lineRule="exact"/>
        <w:ind w:firstLine="411" w:firstLineChars="196"/>
        <w:jc w:val="left"/>
        <w:rPr>
          <w:rFonts w:ascii="Arial" w:hAnsi="Arial" w:eastAsia="宋体" w:cs="Arial"/>
          <w:b/>
          <w:color w:val="auto"/>
          <w:szCs w:val="21"/>
          <w:highlight w:val="none"/>
        </w:rPr>
      </w:pPr>
      <w:r>
        <w:rPr>
          <w:rFonts w:ascii="Arial" w:hAnsi="Arial" w:eastAsia="宋体" w:cs="Arial"/>
          <w:bCs/>
          <w:color w:val="auto"/>
          <w:szCs w:val="21"/>
          <w:highlight w:val="none"/>
        </w:rPr>
        <w:t>（11）谈判保证缴纳证明材料复印件</w:t>
      </w:r>
      <w:r>
        <w:rPr>
          <w:rFonts w:ascii="Arial" w:hAnsi="Arial" w:eastAsia="宋体" w:cs="Arial"/>
          <w:b/>
          <w:color w:val="auto"/>
          <w:szCs w:val="21"/>
          <w:highlight w:val="none"/>
        </w:rPr>
        <w:t>（必须提供）</w:t>
      </w:r>
    </w:p>
    <w:p w14:paraId="272855C9">
      <w:pPr>
        <w:tabs>
          <w:tab w:val="left" w:pos="1305"/>
        </w:tabs>
        <w:spacing w:line="390" w:lineRule="exact"/>
        <w:ind w:firstLine="630" w:firstLineChars="300"/>
        <w:rPr>
          <w:rFonts w:ascii="Arial" w:hAnsi="Arial" w:eastAsia="宋体" w:cs="Arial"/>
          <w:b/>
          <w:color w:val="auto"/>
          <w:szCs w:val="21"/>
          <w:highlight w:val="none"/>
        </w:rPr>
      </w:pPr>
      <w:r>
        <w:rPr>
          <w:rFonts w:ascii="Arial" w:hAnsi="Arial" w:eastAsia="宋体" w:cs="Arial"/>
          <w:b/>
          <w:color w:val="auto"/>
          <w:szCs w:val="21"/>
          <w:highlight w:val="none"/>
        </w:rPr>
        <w:t>11.1.2符合性响应证明材料：</w:t>
      </w:r>
    </w:p>
    <w:p w14:paraId="7D680084">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（1）谈判报价表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7106A750">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（2）技术响应表</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234C4765">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（3）供应商的项目实施方案</w:t>
      </w:r>
      <w:r>
        <w:rPr>
          <w:rFonts w:ascii="Arial" w:hAnsi="Arial" w:eastAsia="宋体" w:cs="Arial"/>
          <w:b/>
          <w:color w:val="auto"/>
          <w:szCs w:val="21"/>
          <w:highlight w:val="none"/>
        </w:rPr>
        <w:t>（必须提供）</w:t>
      </w:r>
      <w:r>
        <w:rPr>
          <w:rFonts w:ascii="Arial" w:hAnsi="Arial" w:eastAsia="宋体" w:cs="Arial"/>
          <w:color w:val="auto"/>
          <w:szCs w:val="21"/>
          <w:highlight w:val="none"/>
        </w:rPr>
        <w:t>；</w:t>
      </w:r>
    </w:p>
    <w:p w14:paraId="6A96CCDC">
      <w:pPr>
        <w:tabs>
          <w:tab w:val="left" w:pos="1305"/>
        </w:tabs>
        <w:spacing w:line="40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（4）供应商的售后服务承诺书</w:t>
      </w:r>
      <w:r>
        <w:rPr>
          <w:rFonts w:ascii="Arial" w:hAnsi="Arial" w:eastAsia="宋体" w:cs="Arial"/>
          <w:b/>
          <w:color w:val="auto"/>
          <w:szCs w:val="21"/>
          <w:highlight w:val="none"/>
        </w:rPr>
        <w:t>（必须提供）；</w:t>
      </w:r>
    </w:p>
    <w:p w14:paraId="7D955751">
      <w:pPr>
        <w:tabs>
          <w:tab w:val="left" w:pos="1305"/>
        </w:tabs>
        <w:spacing w:line="40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（5）商务响应表</w:t>
      </w:r>
      <w:r>
        <w:rPr>
          <w:rFonts w:ascii="Arial" w:hAnsi="Arial" w:eastAsia="宋体" w:cs="Arial"/>
          <w:b/>
          <w:color w:val="auto"/>
          <w:szCs w:val="21"/>
          <w:highlight w:val="none"/>
        </w:rPr>
        <w:t>（必须提供）；</w:t>
      </w:r>
    </w:p>
    <w:p w14:paraId="7C87854E">
      <w:pPr>
        <w:widowControl/>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11.1.3其它有效证明材料：</w:t>
      </w:r>
    </w:p>
    <w:p w14:paraId="67888A86">
      <w:pPr>
        <w:pStyle w:val="14"/>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（1）项目实施人员一览表</w:t>
      </w:r>
      <w:r>
        <w:rPr>
          <w:rFonts w:ascii="Arial" w:hAnsi="Arial" w:eastAsia="宋体" w:cs="Arial"/>
          <w:b/>
          <w:color w:val="auto"/>
          <w:szCs w:val="21"/>
          <w:highlight w:val="none"/>
        </w:rPr>
        <w:t>【如有，请提供，并一起提供由县级以上（含县级）社会养老保险经办机构出具的供应商为项目实施人员交纳社保证明复印件】；</w:t>
      </w:r>
    </w:p>
    <w:p w14:paraId="3145E7A9">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（2）供应商具有同类产品的销售业绩的相关证明材料（无不良记录，以中标、成交通知书或签订的销售合同为准，并能清晰反映所销售的货物名称、种类、金额）</w:t>
      </w:r>
      <w:r>
        <w:rPr>
          <w:rFonts w:ascii="Arial" w:hAnsi="Arial" w:eastAsia="宋体" w:cs="Arial"/>
          <w:b/>
          <w:color w:val="auto"/>
          <w:highlight w:val="none"/>
        </w:rPr>
        <w:t>（如有，请提供）；</w:t>
      </w:r>
    </w:p>
    <w:p w14:paraId="516CCFAA">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（3）供应商相关获奖证书、认证证书等复印件</w:t>
      </w:r>
      <w:r>
        <w:rPr>
          <w:rFonts w:ascii="Arial" w:hAnsi="Arial" w:eastAsia="宋体" w:cs="Arial"/>
          <w:b/>
          <w:color w:val="auto"/>
          <w:highlight w:val="none"/>
        </w:rPr>
        <w:t>（如有，请提供）；</w:t>
      </w:r>
    </w:p>
    <w:p w14:paraId="377A1484">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highlight w:val="none"/>
        </w:rPr>
        <w:t>（4）供应商可结合本项目自身情况自行提交其它相关证明材料</w:t>
      </w:r>
      <w:r>
        <w:rPr>
          <w:rFonts w:ascii="Arial" w:hAnsi="Arial" w:eastAsia="宋体" w:cs="Arial"/>
          <w:b/>
          <w:color w:val="auto"/>
          <w:highlight w:val="none"/>
        </w:rPr>
        <w:t>（如有，请提供）</w:t>
      </w:r>
      <w:r>
        <w:rPr>
          <w:rFonts w:ascii="Arial" w:hAnsi="Arial" w:eastAsia="宋体" w:cs="Arial"/>
          <w:color w:val="auto"/>
          <w:szCs w:val="21"/>
          <w:highlight w:val="none"/>
        </w:rPr>
        <w:t>。</w:t>
      </w:r>
    </w:p>
    <w:p w14:paraId="78137D94">
      <w:pPr>
        <w:snapToGrid w:val="0"/>
        <w:spacing w:line="390" w:lineRule="exact"/>
        <w:ind w:firstLine="420" w:firstLineChars="200"/>
        <w:rPr>
          <w:rFonts w:ascii="Arial" w:hAnsi="Arial" w:eastAsia="宋体" w:cs="Arial"/>
          <w:color w:val="auto"/>
          <w:szCs w:val="20"/>
          <w:highlight w:val="none"/>
        </w:rPr>
      </w:pPr>
      <w:r>
        <w:rPr>
          <w:rFonts w:ascii="Arial" w:hAnsi="Arial" w:eastAsia="宋体" w:cs="Arial"/>
          <w:b/>
          <w:color w:val="auto"/>
          <w:szCs w:val="21"/>
          <w:highlight w:val="none"/>
        </w:rPr>
        <w:t>供应商提供的以上相关证明材料必须真实有效，属于“必须提供”的文件必须加盖供应商公章（扫描公章无效），否则响应文件作无效处理。</w:t>
      </w:r>
    </w:p>
    <w:p w14:paraId="778D937C">
      <w:pPr>
        <w:pStyle w:val="14"/>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11.2 供应商应按竞争性谈判文件第六章“响应文件（格式）”编制响应文件。</w:t>
      </w:r>
    </w:p>
    <w:p w14:paraId="56FCCC7F">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12. 响应文件的语言及计量</w:t>
      </w:r>
    </w:p>
    <w:p w14:paraId="7B5D55DB">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12.1 响应文件以及供应商与采购代理机构就有关谈判事宜的所有来往函电，均必须以中文汉语书写。供应商提交的支持文件和印刷的文献可以使用别的语言，但其相应内容必须附有中文翻译文本，在解释响应文件时以中文翻译文本为主。</w:t>
      </w:r>
    </w:p>
    <w:p w14:paraId="71D87F24">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12.2 谈判计量单位，谈判文件已有明确规定的，使用谈判文件规定的计量单位；谈判文件没有规定的，必须采用中华人民共和国法定计量单位（货币单位：人民币元），否则视同未响应。</w:t>
      </w:r>
    </w:p>
    <w:p w14:paraId="6BED5FDA">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13. 谈判报价及采购预算金额</w:t>
      </w:r>
    </w:p>
    <w:p w14:paraId="3FEF24BA">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13.1 谈判报价必须按谈判文件中相关附件格式填写。</w:t>
      </w:r>
      <w:r>
        <w:rPr>
          <w:rFonts w:ascii="Arial" w:hAnsi="Arial" w:eastAsia="宋体" w:cs="Arial"/>
          <w:b/>
          <w:bCs/>
          <w:color w:val="auto"/>
          <w:szCs w:val="21"/>
          <w:highlight w:val="none"/>
        </w:rPr>
        <w:t>采购预算金额：</w:t>
      </w:r>
      <w:r>
        <w:rPr>
          <w:rFonts w:hint="eastAsia" w:ascii="Arial" w:hAnsi="Arial" w:eastAsia="宋体" w:cs="Arial"/>
          <w:b/>
          <w:bCs/>
          <w:color w:val="auto"/>
          <w:szCs w:val="21"/>
          <w:highlight w:val="none"/>
        </w:rPr>
        <w:t>人民币捌拾万元整（¥800000.00）</w:t>
      </w:r>
      <w:r>
        <w:rPr>
          <w:rFonts w:ascii="Arial" w:hAnsi="Arial" w:eastAsia="宋体" w:cs="Arial"/>
          <w:color w:val="auto"/>
          <w:szCs w:val="21"/>
          <w:highlight w:val="none"/>
        </w:rPr>
        <w:t>。供应商报价超过相应采购预算金额的，响应文件作无效处理。</w:t>
      </w:r>
    </w:p>
    <w:p w14:paraId="1D9F6911">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13.2供应商必须就“项目采购需求”中所有内容作完整唯一报价，否则，其响应将被拒绝。</w:t>
      </w:r>
    </w:p>
    <w:p w14:paraId="7FCD40E1">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13.3 谈判报价包括</w:t>
      </w:r>
      <w:r>
        <w:rPr>
          <w:rFonts w:hint="eastAsia" w:ascii="Arial" w:hAnsi="Arial" w:eastAsia="宋体" w:cs="Arial"/>
          <w:color w:val="auto"/>
          <w:szCs w:val="21"/>
          <w:highlight w:val="none"/>
        </w:rPr>
        <w:t>本次采购范围内货物货款、货物标准附件、备品备件、专用工具、包装、运输、装卸、保险、税金、货到就位以及安装、安装所需辅材、调试、培训、保修和采购文件要求提供的所有伴随服务、工程等费用和税费</w:t>
      </w:r>
      <w:r>
        <w:rPr>
          <w:rFonts w:ascii="Arial" w:hAnsi="Arial" w:eastAsia="宋体" w:cs="Arial"/>
          <w:color w:val="auto"/>
          <w:szCs w:val="21"/>
          <w:highlight w:val="none"/>
        </w:rPr>
        <w:t>；供应商综合考虑在报价中。</w:t>
      </w:r>
    </w:p>
    <w:p w14:paraId="4132FEE9">
      <w:pPr>
        <w:spacing w:line="38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13.4未书面退出谈判的供应商必须在规定时间内密封提交最后报价，其最后报价不得超出采购预算；谈判过程中谈判文件未作实质性变动的，最后报价不得超过首次报价。</w:t>
      </w:r>
    </w:p>
    <w:p w14:paraId="0289D9DF">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14. 响应文件有效期</w:t>
      </w:r>
    </w:p>
    <w:p w14:paraId="43266C80">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14.1 响应文件有效期：响应文件递交截止时间之日起90天，有效期不足的响应文件将被拒绝。</w:t>
      </w:r>
    </w:p>
    <w:p w14:paraId="0F9DF838">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3CF1C640">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15. 响应文件的份数、装订、签署和包装、密封</w:t>
      </w:r>
    </w:p>
    <w:p w14:paraId="72EC8C51">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15.1 响应文件份数：正本壹册，副本贰册，须完整提交（A4纸装订）。</w:t>
      </w:r>
    </w:p>
    <w:p w14:paraId="6441AD41">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color w:val="auto"/>
          <w:szCs w:val="21"/>
          <w:highlight w:val="none"/>
        </w:rPr>
        <w:t>15.2 响应文件装订要求：供应商必须按供应商须知第11.1条“响应文件组成”规定的顺序自编目录及页码。响应文件的“正本”、“副本”必须单独装订成册并标注页码，装订牢固，不易拆散和换页。封面注明“正本”、“副本”字样，封面上写明项目名称、项目编号、采购代理机构、供应商单位名称。</w:t>
      </w:r>
    </w:p>
    <w:p w14:paraId="5C813A72">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15.3 响应文件的正本需打印或用不褪色的墨水填写，响应文件正本除本谈判文件中规定的可提供复印件外均须提供原件。</w:t>
      </w:r>
    </w:p>
    <w:p w14:paraId="6579641A">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15.4响应文件须由供应商在规定位置加盖供应商公章（扫描公章无效）并由法定代表人（负责人)或相应的授权委托代理人签字，供应商应写全称，响应文件副本可以是加盖公章的正本的复印件，当正本与副本不一致时，以正本为准。</w:t>
      </w:r>
    </w:p>
    <w:p w14:paraId="417E7CB8">
      <w:pPr>
        <w:spacing w:line="390" w:lineRule="exact"/>
        <w:ind w:left="315" w:leftChars="150" w:firstLine="105" w:firstLineChars="50"/>
        <w:rPr>
          <w:rFonts w:ascii="Arial" w:hAnsi="Arial" w:eastAsia="宋体" w:cs="Arial"/>
          <w:color w:val="auto"/>
          <w:szCs w:val="21"/>
          <w:highlight w:val="none"/>
        </w:rPr>
      </w:pPr>
      <w:r>
        <w:rPr>
          <w:rFonts w:ascii="Arial" w:hAnsi="Arial" w:eastAsia="宋体" w:cs="Arial"/>
          <w:color w:val="auto"/>
          <w:szCs w:val="21"/>
          <w:highlight w:val="none"/>
        </w:rPr>
        <w:t>15.5响应文件不得涂改，若有修改错漏处，须加盖供应商公章及法定代表人、负责人或相应的授权</w:t>
      </w:r>
    </w:p>
    <w:p w14:paraId="194A583E">
      <w:pPr>
        <w:spacing w:line="390" w:lineRule="exact"/>
        <w:rPr>
          <w:rFonts w:ascii="Arial" w:hAnsi="Arial" w:eastAsia="宋体" w:cs="Arial"/>
          <w:color w:val="auto"/>
          <w:szCs w:val="21"/>
          <w:highlight w:val="none"/>
        </w:rPr>
      </w:pPr>
      <w:r>
        <w:rPr>
          <w:rFonts w:ascii="Arial" w:hAnsi="Arial" w:eastAsia="宋体" w:cs="Arial"/>
          <w:color w:val="auto"/>
          <w:szCs w:val="21"/>
          <w:highlight w:val="none"/>
        </w:rPr>
        <w:t>委托代理人签字。响应文件因字迹潦草或表达不清所引起的后果由供应商负责。</w:t>
      </w:r>
    </w:p>
    <w:p w14:paraId="266A035B">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 响应文件包装、密封、标记：</w:t>
      </w:r>
    </w:p>
    <w:p w14:paraId="7BF57FAE">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15.6.1 响应文件包装、密封：供应商须将</w:t>
      </w:r>
      <w:r>
        <w:rPr>
          <w:rFonts w:ascii="Arial" w:hAnsi="Arial" w:eastAsia="宋体" w:cs="Arial"/>
          <w:color w:val="auto"/>
          <w:highlight w:val="none"/>
        </w:rPr>
        <w:t>响应文件正、副本全部装入一个或多个包封袋/箱（响应文件的补充、修改可另行单独递交）中并加以密封，封口处必须密封签字【供应商的法定代表人</w:t>
      </w:r>
      <w:r>
        <w:rPr>
          <w:rFonts w:ascii="Arial" w:hAnsi="Arial" w:eastAsia="宋体" w:cs="Arial"/>
          <w:color w:val="auto"/>
          <w:szCs w:val="21"/>
          <w:highlight w:val="none"/>
        </w:rPr>
        <w:t>（负责人)</w:t>
      </w:r>
      <w:r>
        <w:rPr>
          <w:rFonts w:ascii="Arial" w:hAnsi="Arial" w:eastAsia="宋体" w:cs="Arial"/>
          <w:color w:val="auto"/>
          <w:highlight w:val="none"/>
        </w:rPr>
        <w:t>或委托代理人签字均可】或加盖供应商公章，以示密封。</w:t>
      </w:r>
    </w:p>
    <w:p w14:paraId="5676EE72">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15.6.2 响应文件袋（盒、箱）标记：</w:t>
      </w:r>
    </w:p>
    <w:p w14:paraId="34BB22F5">
      <w:pPr>
        <w:snapToGrid w:val="0"/>
        <w:spacing w:line="390" w:lineRule="exact"/>
        <w:ind w:firstLine="1260" w:firstLineChars="600"/>
        <w:jc w:val="left"/>
        <w:rPr>
          <w:rFonts w:ascii="Arial" w:hAnsi="Arial" w:eastAsia="宋体" w:cs="Arial"/>
          <w:color w:val="auto"/>
          <w:szCs w:val="21"/>
          <w:highlight w:val="none"/>
        </w:rPr>
      </w:pPr>
      <w:r>
        <w:rPr>
          <w:rFonts w:ascii="Arial" w:hAnsi="Arial" w:eastAsia="宋体" w:cs="Arial"/>
          <w:color w:val="auto"/>
          <w:szCs w:val="21"/>
          <w:highlight w:val="none"/>
        </w:rPr>
        <w:t>项目名称：</w:t>
      </w:r>
      <w:r>
        <w:rPr>
          <w:rFonts w:hint="eastAsia" w:ascii="Arial" w:hAnsi="Arial" w:eastAsia="宋体" w:cs="Arial"/>
          <w:color w:val="auto"/>
          <w:szCs w:val="21"/>
          <w:highlight w:val="none"/>
        </w:rPr>
        <w:t>材料学院采购计算平台等设备</w:t>
      </w:r>
    </w:p>
    <w:p w14:paraId="1D769C31">
      <w:pPr>
        <w:snapToGrid w:val="0"/>
        <w:spacing w:line="390" w:lineRule="exact"/>
        <w:ind w:firstLine="1260" w:firstLineChars="600"/>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GXJD-24114CC031163</w:t>
      </w:r>
    </w:p>
    <w:p w14:paraId="076C72C8">
      <w:pPr>
        <w:snapToGrid w:val="0"/>
        <w:spacing w:line="390" w:lineRule="exact"/>
        <w:ind w:firstLine="1260" w:firstLineChars="600"/>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采购代理机构：</w:t>
      </w:r>
      <w:r>
        <w:rPr>
          <w:rFonts w:hint="eastAsia" w:ascii="Arial" w:hAnsi="Arial" w:eastAsia="宋体" w:cs="Arial"/>
          <w:color w:val="auto"/>
          <w:szCs w:val="21"/>
          <w:highlight w:val="none"/>
          <w:lang w:eastAsia="zh-CN"/>
        </w:rPr>
        <w:t>广西机电设备招标有限公司</w:t>
      </w:r>
    </w:p>
    <w:p w14:paraId="059D6951">
      <w:pPr>
        <w:snapToGrid w:val="0"/>
        <w:spacing w:line="390" w:lineRule="exact"/>
        <w:ind w:firstLine="1260" w:firstLineChars="600"/>
        <w:jc w:val="left"/>
        <w:rPr>
          <w:rFonts w:ascii="Arial" w:hAnsi="Arial" w:eastAsia="宋体" w:cs="Arial"/>
          <w:color w:val="auto"/>
          <w:szCs w:val="21"/>
          <w:highlight w:val="none"/>
        </w:rPr>
      </w:pPr>
      <w:r>
        <w:rPr>
          <w:rFonts w:ascii="Arial" w:hAnsi="Arial" w:eastAsia="宋体" w:cs="Arial"/>
          <w:color w:val="auto"/>
          <w:szCs w:val="21"/>
          <w:highlight w:val="none"/>
        </w:rPr>
        <w:t>供应商名称：</w:t>
      </w:r>
    </w:p>
    <w:p w14:paraId="7F73209C">
      <w:pPr>
        <w:snapToGrid w:val="0"/>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15.7 供应商公章：</w:t>
      </w:r>
      <w:r>
        <w:rPr>
          <w:rFonts w:ascii="Arial" w:hAnsi="Arial" w:eastAsia="宋体" w:cs="Arial"/>
          <w:color w:val="auto"/>
          <w:highlight w:val="none"/>
        </w:rPr>
        <w:t>本竞争性谈判文件中描述供应商的“公章”是指根据我国对公章的管理规定，用供应商登记注册法定主体的名称合法制作的公章，除本竞争性谈判文件中有特殊规定外，供应商的其他专用章均不能代替公章。</w:t>
      </w:r>
    </w:p>
    <w:p w14:paraId="175877E8">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16. 响应文件的修改和撤回</w:t>
      </w:r>
    </w:p>
    <w:p w14:paraId="15EBEE8D">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16.1 供应商在响应文件递交截止时间之前，可以对已递交的响应文件进行修改或撤回，并书面通知采购代理机构。</w:t>
      </w:r>
    </w:p>
    <w:p w14:paraId="09D9C140">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16.2 在响应文件递交截止时间后的响应文件有效期内，供应商不得撤回其响应文件。</w:t>
      </w:r>
    </w:p>
    <w:p w14:paraId="05D6E1A1">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17. 响应文件的递交</w:t>
      </w:r>
    </w:p>
    <w:p w14:paraId="252D6A4F">
      <w:pPr>
        <w:tabs>
          <w:tab w:val="left" w:pos="1305"/>
        </w:tabs>
        <w:spacing w:line="390" w:lineRule="exact"/>
        <w:ind w:left="210" w:leftChars="100" w:firstLine="210" w:firstLineChars="100"/>
        <w:rPr>
          <w:rFonts w:ascii="Arial" w:hAnsi="Arial" w:eastAsia="宋体" w:cs="Arial"/>
          <w:color w:val="auto"/>
          <w:szCs w:val="21"/>
          <w:highlight w:val="none"/>
        </w:rPr>
      </w:pPr>
      <w:r>
        <w:rPr>
          <w:rFonts w:ascii="Arial" w:hAnsi="Arial" w:eastAsia="宋体" w:cs="Arial"/>
          <w:color w:val="auto"/>
          <w:szCs w:val="21"/>
          <w:highlight w:val="none"/>
        </w:rPr>
        <w:t>17.1供应商必须于</w:t>
      </w:r>
      <w:r>
        <w:rPr>
          <w:rFonts w:ascii="Arial" w:hAnsi="Arial" w:eastAsia="宋体" w:cs="Arial"/>
          <w:color w:val="auto"/>
          <w:highlight w:val="none"/>
        </w:rPr>
        <w:t>2024年</w:t>
      </w:r>
      <w:r>
        <w:rPr>
          <w:rFonts w:hint="eastAsia"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29</w:t>
      </w:r>
      <w:r>
        <w:rPr>
          <w:rFonts w:hint="eastAsia" w:ascii="Arial" w:hAnsi="Arial" w:eastAsia="宋体" w:cs="Arial"/>
          <w:color w:val="auto"/>
          <w:szCs w:val="21"/>
          <w:highlight w:val="none"/>
        </w:rPr>
        <w:t>日</w:t>
      </w:r>
      <w:r>
        <w:rPr>
          <w:rFonts w:hint="eastAsia" w:ascii="Arial" w:hAnsi="Arial" w:eastAsia="宋体" w:cs="Arial"/>
          <w:color w:val="auto"/>
          <w:szCs w:val="21"/>
          <w:highlight w:val="none"/>
          <w:lang w:val="en-US" w:eastAsia="zh-CN"/>
        </w:rPr>
        <w:t>14</w:t>
      </w:r>
      <w:r>
        <w:rPr>
          <w:rFonts w:ascii="Arial" w:hAnsi="Arial" w:eastAsia="宋体" w:cs="Arial"/>
          <w:color w:val="auto"/>
          <w:szCs w:val="21"/>
          <w:highlight w:val="none"/>
        </w:rPr>
        <w:t>时30分起至</w:t>
      </w:r>
      <w:r>
        <w:rPr>
          <w:rFonts w:hint="eastAsia" w:ascii="Arial" w:hAnsi="Arial" w:eastAsia="宋体" w:cs="Arial"/>
          <w:color w:val="auto"/>
          <w:szCs w:val="21"/>
          <w:highlight w:val="none"/>
          <w:lang w:val="en-US" w:eastAsia="zh-CN"/>
        </w:rPr>
        <w:t>15</w:t>
      </w:r>
      <w:r>
        <w:rPr>
          <w:rFonts w:ascii="Arial" w:hAnsi="Arial" w:eastAsia="宋体" w:cs="Arial"/>
          <w:color w:val="auto"/>
          <w:szCs w:val="21"/>
          <w:highlight w:val="none"/>
        </w:rPr>
        <w:t>时</w:t>
      </w:r>
      <w:r>
        <w:rPr>
          <w:rFonts w:hint="eastAsia" w:ascii="Arial" w:hAnsi="Arial" w:eastAsia="宋体" w:cs="Arial"/>
          <w:color w:val="auto"/>
          <w:szCs w:val="21"/>
          <w:highlight w:val="none"/>
          <w:lang w:val="en-US" w:eastAsia="zh-CN"/>
        </w:rPr>
        <w:t>0</w:t>
      </w:r>
      <w:r>
        <w:rPr>
          <w:rFonts w:ascii="Arial" w:hAnsi="Arial" w:eastAsia="宋体" w:cs="Arial"/>
          <w:color w:val="auto"/>
          <w:szCs w:val="21"/>
          <w:highlight w:val="none"/>
        </w:rPr>
        <w:t>0分止，将响应文件密封提交至</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桂林分公司开标室</w:t>
      </w:r>
      <w:r>
        <w:rPr>
          <w:rFonts w:ascii="Arial" w:hAnsi="Arial" w:eastAsia="宋体" w:cs="Arial"/>
          <w:color w:val="auto"/>
          <w:szCs w:val="21"/>
          <w:highlight w:val="none"/>
        </w:rPr>
        <w:t>，供应商参加谈判的法定代表人或委托代理人须持有效证件（法定代表人凭身份证或委托代理人凭法人授权委托书原件、本人身份证原件，不须密封，单独提交），依时到达指定地点提交响应文件，未携带以上相关材料递交的或逾期送达的或未按照谈判文件要求密封的响应文件将予以拒收。</w:t>
      </w:r>
    </w:p>
    <w:p w14:paraId="347F1323">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17.2 除竞争性谈判文件另有规定外，供应商所递交的响应文件不予退还。</w:t>
      </w:r>
    </w:p>
    <w:p w14:paraId="5B774213">
      <w:pPr>
        <w:tabs>
          <w:tab w:val="left" w:pos="1305"/>
        </w:tabs>
        <w:spacing w:line="390" w:lineRule="exact"/>
        <w:ind w:firstLine="420" w:firstLineChars="200"/>
        <w:rPr>
          <w:rFonts w:ascii="Arial" w:hAnsi="Arial" w:eastAsia="宋体" w:cs="Arial"/>
          <w:color w:val="auto"/>
          <w:szCs w:val="21"/>
          <w:highlight w:val="none"/>
        </w:rPr>
      </w:pPr>
    </w:p>
    <w:p w14:paraId="72515C71">
      <w:pPr>
        <w:tabs>
          <w:tab w:val="left" w:pos="1305"/>
        </w:tabs>
        <w:spacing w:line="390" w:lineRule="exact"/>
        <w:ind w:firstLine="560" w:firstLineChars="200"/>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四、竞争性谈判（简称谈判）与评审</w:t>
      </w:r>
    </w:p>
    <w:p w14:paraId="48A855C4">
      <w:pPr>
        <w:tabs>
          <w:tab w:val="center" w:pos="4411"/>
          <w:tab w:val="left" w:pos="5475"/>
        </w:tabs>
        <w:spacing w:line="39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18. 谈判小组组成及谈判时间、地点、人员</w:t>
      </w:r>
    </w:p>
    <w:p w14:paraId="2A5DF4FC">
      <w:pPr>
        <w:spacing w:line="390" w:lineRule="exact"/>
        <w:ind w:firstLine="435"/>
        <w:rPr>
          <w:rFonts w:ascii="Arial" w:hAnsi="Arial" w:eastAsia="宋体" w:cs="Arial"/>
          <w:b/>
          <w:color w:val="auto"/>
          <w:szCs w:val="21"/>
          <w:highlight w:val="none"/>
        </w:rPr>
      </w:pPr>
      <w:r>
        <w:rPr>
          <w:rFonts w:ascii="Arial" w:hAnsi="Arial" w:eastAsia="宋体" w:cs="Arial"/>
          <w:b/>
          <w:color w:val="auto"/>
          <w:szCs w:val="21"/>
          <w:highlight w:val="none"/>
        </w:rPr>
        <w:t>18.1 谈判小组组成：</w:t>
      </w:r>
    </w:p>
    <w:p w14:paraId="6BE30393">
      <w:pPr>
        <w:spacing w:line="390" w:lineRule="exact"/>
        <w:ind w:firstLine="435"/>
        <w:rPr>
          <w:rFonts w:ascii="Arial" w:hAnsi="Arial" w:eastAsia="宋体" w:cs="Arial"/>
          <w:color w:val="auto"/>
          <w:szCs w:val="21"/>
          <w:highlight w:val="none"/>
        </w:rPr>
      </w:pPr>
      <w:r>
        <w:rPr>
          <w:rFonts w:ascii="Arial" w:hAnsi="Arial" w:eastAsia="宋体" w:cs="Arial"/>
          <w:color w:val="auto"/>
          <w:szCs w:val="21"/>
          <w:highlight w:val="none"/>
        </w:rPr>
        <w:t>谈判及评审组织工作由采购代理机构负责，具体谈判、评审工作由依法组建的谈判小组负责，谈判小组由采购人代表和有关方面的专家组成。谈判小组的构成：</w:t>
      </w:r>
      <w:r>
        <w:rPr>
          <w:rFonts w:ascii="Arial" w:hAnsi="Arial" w:eastAsia="宋体" w:cs="Arial"/>
          <w:color w:val="auto"/>
          <w:szCs w:val="21"/>
          <w:highlight w:val="none"/>
          <w:u w:val="single"/>
        </w:rPr>
        <w:t>3</w:t>
      </w:r>
      <w:r>
        <w:rPr>
          <w:rFonts w:ascii="Arial" w:hAnsi="Arial" w:eastAsia="宋体" w:cs="Arial"/>
          <w:color w:val="auto"/>
          <w:szCs w:val="21"/>
          <w:highlight w:val="none"/>
        </w:rPr>
        <w:t>人，其中采购人代表</w:t>
      </w:r>
      <w:r>
        <w:rPr>
          <w:rFonts w:ascii="Arial" w:hAnsi="Arial" w:eastAsia="宋体" w:cs="Arial"/>
          <w:color w:val="auto"/>
          <w:szCs w:val="21"/>
          <w:highlight w:val="none"/>
          <w:u w:val="single"/>
        </w:rPr>
        <w:t xml:space="preserve"> 1</w:t>
      </w:r>
      <w:r>
        <w:rPr>
          <w:rFonts w:ascii="Arial" w:hAnsi="Arial" w:eastAsia="宋体" w:cs="Arial"/>
          <w:color w:val="auto"/>
          <w:szCs w:val="21"/>
          <w:highlight w:val="none"/>
        </w:rPr>
        <w:t xml:space="preserve"> 人，有关专家 </w:t>
      </w:r>
      <w:r>
        <w:rPr>
          <w:rFonts w:ascii="Arial" w:hAnsi="Arial" w:eastAsia="宋体" w:cs="Arial"/>
          <w:color w:val="auto"/>
          <w:szCs w:val="21"/>
          <w:highlight w:val="none"/>
          <w:u w:val="single"/>
        </w:rPr>
        <w:t>2</w:t>
      </w:r>
      <w:r>
        <w:rPr>
          <w:rFonts w:ascii="Arial" w:hAnsi="Arial" w:eastAsia="宋体" w:cs="Arial"/>
          <w:color w:val="auto"/>
          <w:szCs w:val="21"/>
          <w:highlight w:val="none"/>
        </w:rPr>
        <w:t>人。</w:t>
      </w:r>
    </w:p>
    <w:p w14:paraId="0164B238">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18.2 谈判时间、地点、人员：</w:t>
      </w:r>
    </w:p>
    <w:p w14:paraId="7A40C455">
      <w:pPr>
        <w:spacing w:line="390" w:lineRule="exact"/>
        <w:ind w:left="315" w:leftChars="150" w:firstLine="105" w:firstLineChars="50"/>
        <w:rPr>
          <w:rFonts w:ascii="Arial" w:hAnsi="Arial" w:eastAsia="宋体" w:cs="Arial"/>
          <w:color w:val="auto"/>
          <w:szCs w:val="21"/>
          <w:highlight w:val="none"/>
        </w:rPr>
      </w:pPr>
      <w:r>
        <w:rPr>
          <w:rFonts w:ascii="Arial" w:hAnsi="Arial" w:eastAsia="宋体" w:cs="Arial"/>
          <w:color w:val="auto"/>
          <w:szCs w:val="21"/>
          <w:highlight w:val="none"/>
        </w:rPr>
        <w:t>18.2.1 谈判时间：首次</w:t>
      </w:r>
      <w:r>
        <w:rPr>
          <w:rFonts w:ascii="Arial" w:hAnsi="Arial" w:eastAsia="宋体" w:cs="Arial"/>
          <w:color w:val="auto"/>
          <w:position w:val="-2"/>
          <w:szCs w:val="21"/>
          <w:highlight w:val="none"/>
        </w:rPr>
        <w:t>响应文件递交</w:t>
      </w:r>
      <w:r>
        <w:rPr>
          <w:rFonts w:ascii="Arial" w:hAnsi="Arial" w:eastAsia="宋体" w:cs="Arial"/>
          <w:color w:val="auto"/>
          <w:szCs w:val="21"/>
          <w:highlight w:val="none"/>
        </w:rPr>
        <w:t>截止时间后。</w:t>
      </w:r>
    </w:p>
    <w:p w14:paraId="484F26A4">
      <w:pPr>
        <w:tabs>
          <w:tab w:val="left" w:pos="1305"/>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18.2.2</w:t>
      </w:r>
      <w:r>
        <w:rPr>
          <w:rFonts w:ascii="Arial" w:hAnsi="Arial" w:eastAsia="宋体" w:cs="Arial"/>
          <w:color w:val="auto"/>
          <w:position w:val="-2"/>
          <w:szCs w:val="21"/>
          <w:highlight w:val="none"/>
        </w:rPr>
        <w:t xml:space="preserve"> 谈判地点：</w:t>
      </w:r>
      <w:r>
        <w:rPr>
          <w:rFonts w:hint="eastAsia" w:ascii="Arial" w:hAnsi="Arial" w:eastAsia="宋体" w:cs="Arial"/>
          <w:color w:val="auto"/>
          <w:szCs w:val="21"/>
          <w:highlight w:val="none"/>
        </w:rPr>
        <w:t>桂林市七星区骖鸾路31号湘商大厦603广西机电设备招标有限公司</w:t>
      </w:r>
      <w:r>
        <w:rPr>
          <w:rFonts w:hint="eastAsia" w:ascii="Arial" w:hAnsi="Arial" w:eastAsia="宋体" w:cs="Arial"/>
          <w:color w:val="auto"/>
          <w:szCs w:val="21"/>
          <w:highlight w:val="none"/>
          <w:lang w:val="en-US" w:eastAsia="zh-CN"/>
        </w:rPr>
        <w:t>桂林分公司评标室</w:t>
      </w:r>
      <w:r>
        <w:rPr>
          <w:rFonts w:ascii="Arial" w:hAnsi="Arial" w:eastAsia="宋体" w:cs="Arial"/>
          <w:color w:val="auto"/>
          <w:position w:val="-2"/>
          <w:szCs w:val="21"/>
          <w:highlight w:val="none"/>
        </w:rPr>
        <w:t>。</w:t>
      </w:r>
    </w:p>
    <w:p w14:paraId="135AD55E">
      <w:pPr>
        <w:tabs>
          <w:tab w:val="left" w:pos="1140"/>
        </w:tabs>
        <w:spacing w:line="39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18.2.3 谈判参加人员：供应商法定代表人(负责人)或相应的委托代理人持有效身份证原件参加</w:t>
      </w:r>
    </w:p>
    <w:p w14:paraId="63CE5E64">
      <w:pPr>
        <w:tabs>
          <w:tab w:val="left" w:pos="1140"/>
        </w:tabs>
        <w:spacing w:line="39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谈判。请供应商按时到达指定地点等候当面谈判。</w:t>
      </w:r>
    </w:p>
    <w:p w14:paraId="4EE70FDF">
      <w:pPr>
        <w:tabs>
          <w:tab w:val="left" w:pos="1140"/>
        </w:tabs>
        <w:spacing w:line="390" w:lineRule="exact"/>
        <w:ind w:left="420" w:leftChars="200"/>
        <w:rPr>
          <w:rFonts w:ascii="Arial" w:hAnsi="Arial" w:eastAsia="宋体" w:cs="Arial"/>
          <w:color w:val="auto"/>
          <w:szCs w:val="21"/>
          <w:highlight w:val="none"/>
        </w:rPr>
      </w:pPr>
      <w:r>
        <w:rPr>
          <w:rFonts w:ascii="Arial" w:hAnsi="Arial" w:eastAsia="宋体" w:cs="Arial"/>
          <w:color w:val="auto"/>
          <w:position w:val="-2"/>
          <w:szCs w:val="21"/>
          <w:highlight w:val="none"/>
        </w:rPr>
        <w:t>18.2.4首次响应文件递交</w:t>
      </w:r>
      <w:r>
        <w:rPr>
          <w:rFonts w:ascii="Arial" w:hAnsi="Arial" w:eastAsia="宋体" w:cs="Arial"/>
          <w:color w:val="auto"/>
          <w:szCs w:val="21"/>
          <w:highlight w:val="none"/>
        </w:rPr>
        <w:t xml:space="preserve">截止时间后，由谈判小组在评标室内开启响应文件。  </w:t>
      </w:r>
    </w:p>
    <w:p w14:paraId="289156EF">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19. 评审原则和评审办法</w:t>
      </w:r>
    </w:p>
    <w:p w14:paraId="125A7471">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0"/>
          <w:highlight w:val="none"/>
        </w:rPr>
        <w:t xml:space="preserve">19.1 </w:t>
      </w:r>
      <w:r>
        <w:rPr>
          <w:rFonts w:ascii="Arial" w:hAnsi="Arial" w:eastAsia="宋体" w:cs="Arial"/>
          <w:color w:val="auto"/>
          <w:szCs w:val="21"/>
          <w:highlight w:val="none"/>
        </w:rPr>
        <w:t>谈判小组必须坚持公平、公正、科学和择优的原则。</w:t>
      </w:r>
    </w:p>
    <w:p w14:paraId="5AF95C26">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0"/>
          <w:highlight w:val="none"/>
        </w:rPr>
        <w:t xml:space="preserve">19.2 </w:t>
      </w:r>
      <w:r>
        <w:rPr>
          <w:rFonts w:ascii="Arial" w:hAnsi="Arial" w:eastAsia="宋体" w:cs="Arial"/>
          <w:color w:val="auto"/>
          <w:szCs w:val="21"/>
          <w:highlight w:val="none"/>
        </w:rPr>
        <w:t>评审办法：具体详见第四章评审办法。</w:t>
      </w:r>
    </w:p>
    <w:p w14:paraId="2479DBF2">
      <w:pPr>
        <w:pStyle w:val="14"/>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19.3 谈判小组应按谈判文件进行评审，不得擅自更改评审办法。</w:t>
      </w:r>
    </w:p>
    <w:p w14:paraId="091FB715">
      <w:pPr>
        <w:pStyle w:val="14"/>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19.4 在评审过程中，谈判小组任何人不得对某个供应商发表任何倾向性意见，不得向其他谈判小组成员明示或者暗示自己的评审意见。</w:t>
      </w:r>
    </w:p>
    <w:p w14:paraId="60178FEC">
      <w:pPr>
        <w:tabs>
          <w:tab w:val="left" w:pos="1140"/>
        </w:tabs>
        <w:spacing w:line="390" w:lineRule="exact"/>
        <w:ind w:firstLine="359" w:firstLineChars="171"/>
        <w:rPr>
          <w:rFonts w:ascii="Arial" w:hAnsi="Arial" w:eastAsia="宋体" w:cs="Arial"/>
          <w:color w:val="auto"/>
          <w:szCs w:val="21"/>
          <w:highlight w:val="none"/>
        </w:rPr>
      </w:pPr>
      <w:r>
        <w:rPr>
          <w:rFonts w:ascii="Arial" w:hAnsi="Arial" w:eastAsia="宋体" w:cs="Arial"/>
          <w:color w:val="auto"/>
          <w:szCs w:val="21"/>
          <w:highlight w:val="none"/>
        </w:rPr>
        <w:t>19.5 谈判小组成员对需要共同认定的事项存在争议的，按照少数服从多数的原则作出结论。持不同意见的谈判小组成员应当在评审报告上签署不同意见并说明理由，否则视为同意。</w:t>
      </w:r>
    </w:p>
    <w:p w14:paraId="0E5A183B">
      <w:pPr>
        <w:tabs>
          <w:tab w:val="left" w:pos="1140"/>
        </w:tabs>
        <w:spacing w:line="390" w:lineRule="exact"/>
        <w:ind w:left="419" w:leftChars="172" w:hanging="58" w:hangingChars="28"/>
        <w:rPr>
          <w:rFonts w:ascii="Arial" w:hAnsi="Arial" w:eastAsia="宋体" w:cs="Arial"/>
          <w:b/>
          <w:color w:val="auto"/>
          <w:szCs w:val="21"/>
          <w:highlight w:val="none"/>
        </w:rPr>
      </w:pPr>
      <w:r>
        <w:rPr>
          <w:rFonts w:ascii="Arial" w:hAnsi="Arial" w:eastAsia="宋体" w:cs="Arial"/>
          <w:b/>
          <w:color w:val="auto"/>
          <w:szCs w:val="21"/>
          <w:highlight w:val="none"/>
        </w:rPr>
        <w:t>20. 评审程序及谈判要求</w:t>
      </w:r>
    </w:p>
    <w:p w14:paraId="5C591E35">
      <w:pPr>
        <w:pStyle w:val="14"/>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20.1谈判小组成员的通讯工具或相关电子设备交由</w:t>
      </w:r>
      <w:r>
        <w:rPr>
          <w:rFonts w:hint="eastAsia" w:ascii="Arial" w:hAnsi="Arial" w:eastAsia="宋体" w:cs="Arial"/>
          <w:color w:val="auto"/>
          <w:szCs w:val="21"/>
          <w:highlight w:val="none"/>
          <w:lang w:eastAsia="zh-CN"/>
        </w:rPr>
        <w:t>广西机电设备招标有限公司</w:t>
      </w:r>
      <w:r>
        <w:rPr>
          <w:rFonts w:ascii="Arial" w:hAnsi="Arial" w:eastAsia="宋体" w:cs="Arial"/>
          <w:color w:val="auto"/>
          <w:szCs w:val="21"/>
          <w:highlight w:val="none"/>
        </w:rPr>
        <w:t>统一保管，采购代理机构核实谈判小组成员身份，告知回避要求，宣布评审工作纪律和程序，推选谈判小组组长。</w:t>
      </w:r>
    </w:p>
    <w:p w14:paraId="5D02597F">
      <w:pPr>
        <w:pStyle w:val="14"/>
        <w:spacing w:line="390" w:lineRule="exact"/>
        <w:ind w:firstLine="420" w:firstLineChars="200"/>
        <w:rPr>
          <w:rFonts w:ascii="Arial" w:hAnsi="Arial" w:eastAsia="宋体" w:cs="Arial"/>
          <w:color w:val="auto"/>
          <w:highlight w:val="none"/>
        </w:rPr>
      </w:pPr>
      <w:r>
        <w:rPr>
          <w:rFonts w:ascii="Arial" w:hAnsi="Arial" w:eastAsia="宋体" w:cs="Arial"/>
          <w:color w:val="auto"/>
          <w:szCs w:val="21"/>
          <w:highlight w:val="none"/>
        </w:rPr>
        <w:t>20.2谈判小组应当对发布公告的竞争性谈判文件（简称谈判文件）进行确认，</w:t>
      </w:r>
      <w:r>
        <w:rPr>
          <w:rFonts w:ascii="Arial" w:hAnsi="Arial" w:eastAsia="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4738C9DA">
      <w:pPr>
        <w:pStyle w:val="14"/>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20.3谈判小组依据法律法规和竞争性谈判文件的规定，首先对响应文件进行资格性审查，以确定供应商是否具备本项目供应商资格；再对通过资格性审查的供应商响应文件的有效性、完整性和对谈判文件的响应程度进行符合性审查，以确定是否对谈判文件的实质性要求做出响应。</w:t>
      </w:r>
    </w:p>
    <w:p w14:paraId="617DE3EA">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20.4谈判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10232F5">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Arial" w:hAnsi="Arial" w:eastAsia="宋体" w:cs="Arial"/>
          <w:color w:val="auto"/>
          <w:highlight w:val="none"/>
        </w:rPr>
        <w:t>http://www.gsxt.gov.cn/index.html</w:t>
      </w:r>
      <w:r>
        <w:rPr>
          <w:rFonts w:ascii="Arial" w:hAnsi="Arial" w:eastAsia="宋体" w:cs="Arial"/>
          <w:color w:val="auto"/>
          <w:highlight w:val="none"/>
        </w:rPr>
        <w:fldChar w:fldCharType="end"/>
      </w:r>
      <w:r>
        <w:rPr>
          <w:rFonts w:ascii="Arial" w:hAnsi="Arial" w:eastAsia="宋体" w:cs="Arial"/>
          <w:color w:val="auto"/>
          <w:szCs w:val="21"/>
          <w:highlight w:val="none"/>
        </w:rPr>
        <w:t>）</w:t>
      </w:r>
    </w:p>
    <w:p w14:paraId="409CDDCC">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20.4.2审查流程：</w:t>
      </w:r>
    </w:p>
    <w:p w14:paraId="33912DD7">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（1）进入《国家企业信用信息公示系统》（网址：http://www.gsxt.gov.cn/index.html），输入企业名称，进入企业信息主页面；</w:t>
      </w:r>
    </w:p>
    <w:p w14:paraId="5A5B123F">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（2）查看主页“股东及出资信息”栏，或年报中的“股东及出资信息”栏信息；</w:t>
      </w:r>
    </w:p>
    <w:p w14:paraId="3A471309">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（3）将各供应商的股东及出资信息进行比对，得出审查结论；</w:t>
      </w:r>
    </w:p>
    <w:p w14:paraId="16AFD6BA">
      <w:pPr>
        <w:snapToGrid w:val="0"/>
        <w:spacing w:line="390" w:lineRule="exact"/>
        <w:ind w:firstLine="420" w:firstLineChars="200"/>
        <w:rPr>
          <w:rFonts w:ascii="Arial" w:hAnsi="Arial" w:eastAsia="宋体" w:cs="Arial"/>
          <w:color w:val="auto"/>
          <w:highlight w:val="none"/>
        </w:rPr>
      </w:pPr>
      <w:r>
        <w:rPr>
          <w:rFonts w:ascii="Arial" w:hAnsi="Arial" w:eastAsia="宋体" w:cs="Arial"/>
          <w:color w:val="auto"/>
          <w:highlight w:val="none"/>
        </w:rPr>
        <w:t>（4）将相关资料作为评审资料打印存档。</w:t>
      </w:r>
    </w:p>
    <w:p w14:paraId="6CD04575">
      <w:pPr>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C3D11A0">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kern w:val="0"/>
          <w:szCs w:val="21"/>
          <w:highlight w:val="none"/>
        </w:rPr>
        <w:t>20.5谈判小组在对响应文件的有效性、完整性和响应程度进行审查时，可以要求供应商对</w:t>
      </w:r>
      <w:r>
        <w:rPr>
          <w:rFonts w:ascii="Arial" w:hAnsi="Arial" w:eastAsia="宋体" w:cs="Arial"/>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或相应的授权委托代表签字或者加盖供应商公章。由授权委托代表签字的，应当附授权委托书。</w:t>
      </w:r>
    </w:p>
    <w:p w14:paraId="7EC38DB6">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14:paraId="3427E9AC">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kern w:val="0"/>
          <w:szCs w:val="21"/>
          <w:highlight w:val="none"/>
        </w:rPr>
        <w:t>谈判小组</w:t>
      </w:r>
      <w:r>
        <w:rPr>
          <w:rFonts w:ascii="Arial" w:hAnsi="Arial" w:eastAsia="宋体" w:cs="Arial"/>
          <w:color w:val="auto"/>
          <w:szCs w:val="21"/>
          <w:highlight w:val="none"/>
        </w:rPr>
        <w:t>所有成员应当</w:t>
      </w:r>
      <w:r>
        <w:rPr>
          <w:rFonts w:ascii="Arial" w:hAnsi="Arial" w:eastAsia="宋体" w:cs="Arial"/>
          <w:color w:val="auto"/>
          <w:kern w:val="0"/>
          <w:szCs w:val="21"/>
          <w:highlight w:val="none"/>
        </w:rPr>
        <w:t>按已确定的</w:t>
      </w:r>
      <w:r>
        <w:rPr>
          <w:rFonts w:ascii="Arial" w:hAnsi="Arial" w:eastAsia="宋体" w:cs="Arial"/>
          <w:color w:val="auto"/>
          <w:szCs w:val="21"/>
          <w:highlight w:val="none"/>
        </w:rPr>
        <w:t>谈判顺序集中与单一供应商分别进行谈判，并给予所有实质性响应竞争性谈判文件要求的供应商平等的谈判机会。</w:t>
      </w:r>
    </w:p>
    <w:p w14:paraId="6149AA50">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谈判中，谈判小组不得透露与谈判有关的其他供应商的技术资料、价格和其他信息。</w:t>
      </w:r>
    </w:p>
    <w:p w14:paraId="2139748F">
      <w:pPr>
        <w:widowControl/>
        <w:tabs>
          <w:tab w:val="left" w:pos="540"/>
        </w:tabs>
        <w:spacing w:line="39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采购代理机构对谈判过程和重要谈判内容进行记录，谈判双方在记录上签字确认。</w:t>
      </w:r>
    </w:p>
    <w:p w14:paraId="2017D3CF">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20.6在谈判过程中，谈判小组可以根据谈判文件和谈判情况实质性变动项目需求中的技术、服务要求以及合同草案条款，但不得变动谈判文件中的其他内容。实质性变动的内容，须经采购人代表确认。</w:t>
      </w:r>
    </w:p>
    <w:p w14:paraId="722B5E55">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对谈判文件作出的实质性变动是谈判文件的有效组成部分，谈判小组应当及时以书面形式同时通知所有参加谈判的供应商。</w:t>
      </w:r>
    </w:p>
    <w:p w14:paraId="60DB7AED">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供应商应当按照谈判文件的变动情况和谈判小组的要求重新提交响应文件，并由其法定代表人（负责人)或相应的授权委托代表签字或者加盖供应商公章。逾时不交的，视同放弃谈判。</w:t>
      </w:r>
    </w:p>
    <w:p w14:paraId="428341CE">
      <w:pPr>
        <w:widowControl/>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20.7在采购过程中符合竞争要求的供应商或者报价未超过采购预算的供应商不足3家的，采购人或者采购代理机构应当终止竞争性谈判采购活动。</w:t>
      </w:r>
    </w:p>
    <w:p w14:paraId="1D41062C">
      <w:pPr>
        <w:widowControl/>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20.8最后报价</w:t>
      </w:r>
    </w:p>
    <w:p w14:paraId="54751711">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20.8.1谈判文件能够详细列明采购标的的技术、服务要求的，谈判结束后，谈判小组应当要求所有继续参加谈判的供应商在规定时间内密封提交最后报价，提交最后报价的供应商不得少于3家。</w:t>
      </w:r>
    </w:p>
    <w:p w14:paraId="0E515B63">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14:paraId="4A1910C2">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20.8.3最后报价是供应商响应文件的有效组成部分。</w:t>
      </w:r>
    </w:p>
    <w:p w14:paraId="3EB7C619">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20.9已提交响应文件的供应商，在提交最后报价之前，可以根据谈判情况书面退出谈判。</w:t>
      </w:r>
    </w:p>
    <w:p w14:paraId="11DAE0D9">
      <w:pPr>
        <w:spacing w:line="390" w:lineRule="exact"/>
        <w:ind w:firstLine="420" w:firstLineChars="200"/>
        <w:rPr>
          <w:rFonts w:ascii="Arial" w:hAnsi="Arial" w:eastAsia="宋体" w:cs="Arial"/>
          <w:color w:val="auto"/>
          <w:kern w:val="0"/>
          <w:szCs w:val="21"/>
          <w:highlight w:val="none"/>
        </w:rPr>
      </w:pPr>
      <w:r>
        <w:rPr>
          <w:rFonts w:ascii="Arial" w:hAnsi="Arial" w:eastAsia="宋体" w:cs="Arial"/>
          <w:color w:val="auto"/>
          <w:kern w:val="0"/>
          <w:szCs w:val="21"/>
          <w:highlight w:val="none"/>
        </w:rPr>
        <w:t>未书面退出谈判的供应商应在规定时间内密封提交最后报价，其最后报价不得超出采购预算；谈判过程中谈判文件未作实质性变动的，最后报价不得超过首次报价。</w:t>
      </w:r>
    </w:p>
    <w:p w14:paraId="2C02632D">
      <w:pPr>
        <w:widowControl/>
        <w:tabs>
          <w:tab w:val="left" w:pos="540"/>
        </w:tabs>
        <w:spacing w:line="390" w:lineRule="exact"/>
        <w:ind w:firstLine="420" w:firstLineChars="200"/>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20.10评审报告</w:t>
      </w:r>
    </w:p>
    <w:p w14:paraId="5C5C5F22">
      <w:pPr>
        <w:spacing w:line="390" w:lineRule="exact"/>
        <w:ind w:firstLine="420" w:firstLineChars="200"/>
        <w:rPr>
          <w:rFonts w:ascii="Arial" w:hAnsi="Arial" w:eastAsia="宋体" w:cs="Arial"/>
          <w:color w:val="auto"/>
          <w:kern w:val="0"/>
          <w:sz w:val="24"/>
          <w:highlight w:val="none"/>
        </w:rPr>
      </w:pPr>
      <w:r>
        <w:rPr>
          <w:rFonts w:ascii="Arial" w:hAnsi="Arial" w:eastAsia="宋体" w:cs="Arial"/>
          <w:color w:val="auto"/>
          <w:kern w:val="0"/>
          <w:szCs w:val="21"/>
          <w:highlight w:val="none"/>
        </w:rPr>
        <w:t>谈判小组应当从质量和服务均能满足谈判文件全部实质性响应要求的供应商中，按照评审报价（最后报价）由低到高的顺序提出3名以上（含3名）成交候选人，并编写评审报告。</w:t>
      </w:r>
    </w:p>
    <w:p w14:paraId="79FC36D7">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20.11在评审过程中出现法律法规和谈判文件均没有明确规定的情形时，由谈判小组现场协商解决，协商不一致的，由全体谈判小组投票表决，以得票率二分之一以上专家的意见为准。</w:t>
      </w:r>
    </w:p>
    <w:p w14:paraId="12794072">
      <w:pPr>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20.12采购代理机构发现谈判小组有明显的违规倾向或歧视现象，或不按评审办法进行，或其他不正常行为的，应当及时制止。</w:t>
      </w:r>
    </w:p>
    <w:p w14:paraId="0FB34AE6">
      <w:pPr>
        <w:pStyle w:val="14"/>
        <w:spacing w:line="390" w:lineRule="exact"/>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21. 确定成交供应商</w:t>
      </w:r>
    </w:p>
    <w:p w14:paraId="69BF0EA2">
      <w:pPr>
        <w:pStyle w:val="14"/>
        <w:tabs>
          <w:tab w:val="left" w:pos="4214"/>
        </w:tabs>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（1）采购单位应当确定谈判小组推荐排名第一的成交候选人为成交供应商。</w:t>
      </w:r>
    </w:p>
    <w:p w14:paraId="0143C8FD">
      <w:pPr>
        <w:pStyle w:val="14"/>
        <w:spacing w:line="390" w:lineRule="exact"/>
        <w:ind w:firstLine="447" w:firstLineChars="213"/>
        <w:rPr>
          <w:rFonts w:ascii="Arial" w:hAnsi="Arial" w:eastAsia="宋体" w:cs="Arial"/>
          <w:color w:val="auto"/>
          <w:szCs w:val="21"/>
          <w:highlight w:val="none"/>
        </w:rPr>
      </w:pPr>
      <w:r>
        <w:rPr>
          <w:rFonts w:ascii="Arial" w:hAnsi="Arial" w:eastAsia="宋体"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14:paraId="47FD44FA">
      <w:pPr>
        <w:pStyle w:val="14"/>
        <w:spacing w:line="39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（3）排名第二的成交候选人因前款规定的同样原因不能签订合同的，采购单位可以确定排名第三的成交候选人为成交供应商。</w:t>
      </w:r>
    </w:p>
    <w:p w14:paraId="1B7ADFA7">
      <w:pPr>
        <w:widowControl/>
        <w:shd w:val="clear" w:color="auto" w:fill="FFFFFF"/>
        <w:spacing w:line="390" w:lineRule="exact"/>
        <w:ind w:firstLine="480"/>
        <w:jc w:val="left"/>
        <w:rPr>
          <w:rFonts w:ascii="Arial" w:hAnsi="Arial" w:eastAsia="宋体" w:cs="Arial"/>
          <w:b/>
          <w:color w:val="auto"/>
          <w:szCs w:val="21"/>
          <w:highlight w:val="none"/>
        </w:rPr>
      </w:pPr>
      <w:r>
        <w:rPr>
          <w:rFonts w:ascii="Arial" w:hAnsi="Arial" w:eastAsia="宋体" w:cs="Arial"/>
          <w:b/>
          <w:bCs/>
          <w:color w:val="auto"/>
          <w:szCs w:val="21"/>
          <w:highlight w:val="none"/>
        </w:rPr>
        <w:t xml:space="preserve">22. </w:t>
      </w:r>
      <w:r>
        <w:rPr>
          <w:rFonts w:ascii="Arial" w:hAnsi="Arial" w:eastAsia="宋体" w:cs="Arial"/>
          <w:b/>
          <w:color w:val="auto"/>
          <w:szCs w:val="21"/>
          <w:highlight w:val="none"/>
        </w:rPr>
        <w:t>属于下列情况之一者，响应文件无效：</w:t>
      </w:r>
    </w:p>
    <w:p w14:paraId="58F0EC63">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（1）未按谈判文件规定完整提交响应文件或未按规定要求密封、签字、盖章的，或未提供授权委托书（委托代理的）；</w:t>
      </w:r>
    </w:p>
    <w:p w14:paraId="58E7D9FB">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（2）超越了行政许可的经营范围的；</w:t>
      </w:r>
    </w:p>
    <w:p w14:paraId="7C11E7FF">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（3）不具备谈判文件规定的资格要求的</w:t>
      </w:r>
      <w:r>
        <w:rPr>
          <w:rFonts w:ascii="Arial" w:hAnsi="Arial" w:eastAsia="宋体" w:cs="Arial"/>
          <w:color w:val="auto"/>
          <w:highlight w:val="none"/>
        </w:rPr>
        <w:t>；</w:t>
      </w:r>
    </w:p>
    <w:p w14:paraId="3860D8BE">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（4）响应文件未按谈判文件的内容和要求编制，或提供虚假材料的；</w:t>
      </w:r>
    </w:p>
    <w:p w14:paraId="2CD3314C">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（5）响应文件有效期、交付使用期、质保期、售后服务不能满足谈判文件要求的；</w:t>
      </w:r>
    </w:p>
    <w:p w14:paraId="15570247">
      <w:pPr>
        <w:snapToGrid w:val="0"/>
        <w:spacing w:line="390" w:lineRule="exact"/>
        <w:ind w:firstLine="411" w:firstLineChars="196"/>
        <w:rPr>
          <w:rFonts w:ascii="Arial" w:hAnsi="Arial" w:eastAsia="宋体" w:cs="Arial"/>
          <w:color w:val="auto"/>
          <w:highlight w:val="none"/>
        </w:rPr>
      </w:pPr>
      <w:r>
        <w:rPr>
          <w:rFonts w:ascii="Arial" w:hAnsi="Arial" w:eastAsia="宋体" w:cs="Arial"/>
          <w:color w:val="auto"/>
          <w:szCs w:val="21"/>
          <w:highlight w:val="none"/>
        </w:rPr>
        <w:t>（</w:t>
      </w:r>
      <w:r>
        <w:rPr>
          <w:rFonts w:ascii="Arial" w:hAnsi="Arial" w:eastAsia="宋体" w:cs="Arial"/>
          <w:color w:val="auto"/>
          <w:highlight w:val="none"/>
        </w:rPr>
        <w:t>6）供应商</w:t>
      </w:r>
      <w:r>
        <w:rPr>
          <w:rFonts w:ascii="Arial" w:hAnsi="Arial" w:eastAsia="宋体" w:cs="Arial"/>
          <w:color w:val="auto"/>
          <w:szCs w:val="21"/>
          <w:highlight w:val="none"/>
        </w:rPr>
        <w:t>未就“项目采购需求”中的所有货物内容作完整唯一报价的</w:t>
      </w:r>
      <w:r>
        <w:rPr>
          <w:rFonts w:ascii="Arial" w:hAnsi="Arial" w:eastAsia="宋体" w:cs="Arial"/>
          <w:color w:val="auto"/>
          <w:highlight w:val="none"/>
        </w:rPr>
        <w:t>，或报价超出采购预算金额的，或谈判过程中谈判文件未作实质性变动，最后报价超出首次报价的；</w:t>
      </w:r>
    </w:p>
    <w:p w14:paraId="5F129FBF">
      <w:pPr>
        <w:pStyle w:val="14"/>
        <w:spacing w:line="390" w:lineRule="exact"/>
        <w:ind w:firstLine="420" w:firstLineChars="200"/>
        <w:rPr>
          <w:rFonts w:ascii="Arial" w:hAnsi="Arial" w:eastAsia="宋体" w:cs="Arial"/>
          <w:color w:val="auto"/>
          <w:szCs w:val="24"/>
          <w:highlight w:val="none"/>
        </w:rPr>
      </w:pPr>
      <w:r>
        <w:rPr>
          <w:rFonts w:ascii="Arial" w:hAnsi="Arial" w:eastAsia="宋体" w:cs="Arial"/>
          <w:color w:val="auto"/>
          <w:highlight w:val="none"/>
        </w:rPr>
        <w:t>（7）未在谈判小组规定的时间内重新提交响应文件的；</w:t>
      </w:r>
    </w:p>
    <w:p w14:paraId="05D8BF48">
      <w:pPr>
        <w:pStyle w:val="14"/>
        <w:spacing w:line="390" w:lineRule="exact"/>
        <w:ind w:firstLine="420" w:firstLineChars="200"/>
        <w:rPr>
          <w:rFonts w:ascii="Arial" w:hAnsi="Arial" w:eastAsia="宋体" w:cs="Arial"/>
          <w:color w:val="auto"/>
          <w:szCs w:val="24"/>
          <w:highlight w:val="none"/>
        </w:rPr>
      </w:pPr>
      <w:r>
        <w:rPr>
          <w:rFonts w:ascii="Arial" w:hAnsi="Arial" w:eastAsia="宋体" w:cs="Arial"/>
          <w:color w:val="auto"/>
          <w:szCs w:val="24"/>
          <w:highlight w:val="none"/>
        </w:rPr>
        <w:t>（8）未满足谈判文件全部实质性要求的；或者响应文件有采购人不能接受的附加条件的；</w:t>
      </w:r>
    </w:p>
    <w:p w14:paraId="73AC74E2">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（9）未在规定时间或未足额缴纳谈判保证金的。</w:t>
      </w:r>
    </w:p>
    <w:p w14:paraId="792DAA72">
      <w:pPr>
        <w:snapToGrid w:val="0"/>
        <w:spacing w:line="39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（10）不符合法律、法规和谈判文件规定的其他实质性要求和条件的。</w:t>
      </w:r>
    </w:p>
    <w:p w14:paraId="26ED1C03">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23. 供应商有下列23.1、23.2情形之一的，视为串通谈判或属于恶意串通行为，响应文件将被视为无效：</w:t>
      </w:r>
    </w:p>
    <w:p w14:paraId="0929D54E">
      <w:pPr>
        <w:snapToGrid w:val="0"/>
        <w:spacing w:line="390" w:lineRule="exact"/>
        <w:ind w:left="354" w:leftChars="169" w:firstLine="102" w:firstLineChars="49"/>
        <w:rPr>
          <w:rFonts w:ascii="Arial" w:hAnsi="Arial" w:eastAsia="宋体" w:cs="Arial"/>
          <w:b/>
          <w:color w:val="auto"/>
          <w:szCs w:val="21"/>
          <w:highlight w:val="none"/>
        </w:rPr>
      </w:pPr>
      <w:r>
        <w:rPr>
          <w:rFonts w:ascii="Arial" w:hAnsi="Arial" w:eastAsia="宋体" w:cs="Arial"/>
          <w:b/>
          <w:color w:val="auto"/>
          <w:szCs w:val="21"/>
          <w:highlight w:val="none"/>
        </w:rPr>
        <w:t>23.1供应商有下列情形之一的，视为串通参与谈判：</w:t>
      </w:r>
    </w:p>
    <w:p w14:paraId="2381FD8F">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（1）不同供应商的响应文件由同一单位或者个人编制的；</w:t>
      </w:r>
    </w:p>
    <w:p w14:paraId="7CDD8C72">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（2）不同供应商委托同一单位或者个人办理谈判事宜的；</w:t>
      </w:r>
    </w:p>
    <w:p w14:paraId="0855CEA6">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（3）不同的供应商的响应文件载明的项目管理员为同一个人的；</w:t>
      </w:r>
    </w:p>
    <w:p w14:paraId="3625299E">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 xml:space="preserve">（4）不同供应商的响应文件异常一致或最后报价呈规律性差异的； </w:t>
      </w:r>
    </w:p>
    <w:p w14:paraId="78445F95">
      <w:pPr>
        <w:snapToGrid w:val="0"/>
        <w:spacing w:line="390" w:lineRule="exact"/>
        <w:ind w:left="354" w:leftChars="169" w:firstLine="102" w:firstLineChars="49"/>
        <w:rPr>
          <w:rFonts w:ascii="Arial" w:hAnsi="Arial" w:eastAsia="宋体" w:cs="Arial"/>
          <w:color w:val="auto"/>
          <w:highlight w:val="none"/>
        </w:rPr>
      </w:pPr>
      <w:r>
        <w:rPr>
          <w:rFonts w:ascii="Arial" w:hAnsi="Arial" w:eastAsia="宋体" w:cs="Arial"/>
          <w:color w:val="auto"/>
          <w:highlight w:val="none"/>
        </w:rPr>
        <w:t>（5）不同供应商的响应文件相互混装的；</w:t>
      </w:r>
    </w:p>
    <w:p w14:paraId="284B994E">
      <w:pPr>
        <w:snapToGrid w:val="0"/>
        <w:spacing w:line="390" w:lineRule="exact"/>
        <w:ind w:firstLine="516" w:firstLineChars="246"/>
        <w:rPr>
          <w:rFonts w:ascii="Arial" w:hAnsi="Arial" w:eastAsia="宋体" w:cs="Arial"/>
          <w:color w:val="auto"/>
          <w:szCs w:val="21"/>
          <w:highlight w:val="none"/>
        </w:rPr>
      </w:pPr>
      <w:r>
        <w:rPr>
          <w:rFonts w:ascii="Arial" w:hAnsi="Arial" w:eastAsia="宋体" w:cs="Arial"/>
          <w:color w:val="auto"/>
          <w:szCs w:val="21"/>
          <w:highlight w:val="none"/>
        </w:rPr>
        <w:t>（6）谈判文件未做实质性变动，供应商最后报价高于首次报价的。</w:t>
      </w:r>
    </w:p>
    <w:p w14:paraId="22190A2E">
      <w:pPr>
        <w:snapToGrid w:val="0"/>
        <w:spacing w:line="380" w:lineRule="exact"/>
        <w:ind w:firstLine="420" w:firstLineChars="200"/>
        <w:jc w:val="left"/>
        <w:rPr>
          <w:rFonts w:ascii="Arial" w:hAnsi="Arial" w:eastAsia="宋体" w:cs="Arial"/>
          <w:b/>
          <w:color w:val="auto"/>
          <w:szCs w:val="21"/>
          <w:highlight w:val="none"/>
        </w:rPr>
      </w:pPr>
      <w:r>
        <w:rPr>
          <w:rFonts w:ascii="Arial" w:hAnsi="Arial" w:eastAsia="宋体" w:cs="Arial"/>
          <w:b/>
          <w:color w:val="auto"/>
          <w:szCs w:val="21"/>
          <w:highlight w:val="none"/>
        </w:rPr>
        <w:t>23.2供应商有下列情形之一的，属于恶意串通行为：</w:t>
      </w:r>
    </w:p>
    <w:p w14:paraId="1B0B2066">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（1）供应商直接或者间接从采购人或者采购代理机构处获得其他供应商的相关信息并修改其响应文件的：</w:t>
      </w:r>
    </w:p>
    <w:p w14:paraId="61CDF4BA">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（2）供应商按照采购人或者采购代理机构的授意撤换、修改响应文件的；</w:t>
      </w:r>
    </w:p>
    <w:p w14:paraId="35634FCB">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（3）供应商之间协商报价、技术方案等响应文件的实质性内容的；</w:t>
      </w:r>
    </w:p>
    <w:p w14:paraId="5FEE0A37">
      <w:pPr>
        <w:snapToGrid w:val="0"/>
        <w:spacing w:line="38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（4）属于同一集团、协会、商会等组织成员的供应商按照该组织要求协同参加政府采购活动的；</w:t>
      </w:r>
    </w:p>
    <w:p w14:paraId="3E46A383">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（5）供应商之间事先约定一致抬高或者压低报价,或者在采购项目中事先约定轮流以高价位或者低价位成交,或者事先约定由某一特定供应商成交,然后再参加谈判的；</w:t>
      </w:r>
    </w:p>
    <w:p w14:paraId="73960EE8">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（6）供应商之间商定部分供应商放弃参加政府采购活动或者放弃成交的；</w:t>
      </w:r>
    </w:p>
    <w:p w14:paraId="4A14CDE0">
      <w:pPr>
        <w:snapToGrid w:val="0"/>
        <w:spacing w:line="360" w:lineRule="exact"/>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（7）供应商与采购人或者采购代理机构之间、供应商相互之间，为谋求特定供应商成交或者排斥其他供应商的其他串通行为的。</w:t>
      </w:r>
    </w:p>
    <w:p w14:paraId="5620C165">
      <w:pPr>
        <w:snapToGrid w:val="0"/>
        <w:spacing w:line="360" w:lineRule="exact"/>
        <w:ind w:firstLine="411" w:firstLineChars="196"/>
        <w:rPr>
          <w:rFonts w:ascii="Arial" w:hAnsi="Arial" w:eastAsia="宋体" w:cs="Arial"/>
          <w:b/>
          <w:color w:val="auto"/>
          <w:szCs w:val="21"/>
          <w:highlight w:val="none"/>
        </w:rPr>
      </w:pPr>
      <w:r>
        <w:rPr>
          <w:rFonts w:ascii="Arial" w:hAnsi="Arial" w:eastAsia="宋体" w:cs="Arial"/>
          <w:b/>
          <w:color w:val="auto"/>
          <w:szCs w:val="21"/>
          <w:highlight w:val="none"/>
        </w:rPr>
        <w:t>24. 出现下列情形之一的，采购人或者采购代理机构应当终止竞争性谈判采购活动，发布项目终止公告并说明原因，重新开展采购活动：</w:t>
      </w:r>
    </w:p>
    <w:p w14:paraId="11BE940E">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（1）因情况变化，不再符合规定的竞争性谈判采购方式适用情形的；</w:t>
      </w:r>
    </w:p>
    <w:p w14:paraId="00CE55D9">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（2）出现影响采购公正的违法、违规行为的； </w:t>
      </w:r>
    </w:p>
    <w:p w14:paraId="79FCB84C">
      <w:pPr>
        <w:snapToGrid w:val="0"/>
        <w:spacing w:line="360" w:lineRule="exact"/>
        <w:ind w:firstLine="411" w:firstLineChars="196"/>
        <w:rPr>
          <w:rFonts w:ascii="Arial" w:hAnsi="Arial" w:eastAsia="宋体" w:cs="Arial"/>
          <w:color w:val="auto"/>
          <w:szCs w:val="21"/>
          <w:highlight w:val="none"/>
        </w:rPr>
      </w:pPr>
      <w:r>
        <w:rPr>
          <w:rFonts w:ascii="Arial" w:hAnsi="Arial" w:eastAsia="宋体" w:cs="Arial"/>
          <w:color w:val="auto"/>
          <w:szCs w:val="21"/>
          <w:highlight w:val="none"/>
        </w:rPr>
        <w:t xml:space="preserve">（3）在采购过程中符合竞争要求的供应商或者报价未超过采购预算的供应商不足3家的。  </w:t>
      </w:r>
    </w:p>
    <w:p w14:paraId="644AA17D">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25. 谈判过程的监控</w:t>
      </w:r>
    </w:p>
    <w:p w14:paraId="0323F1DF">
      <w:pPr>
        <w:pStyle w:val="14"/>
        <w:spacing w:line="360" w:lineRule="exact"/>
        <w:ind w:firstLine="411" w:firstLineChars="196"/>
        <w:rPr>
          <w:rFonts w:ascii="Arial" w:hAnsi="Arial" w:eastAsia="宋体" w:cs="Arial"/>
          <w:color w:val="auto"/>
          <w:highlight w:val="none"/>
        </w:rPr>
      </w:pPr>
      <w:r>
        <w:rPr>
          <w:rFonts w:ascii="Arial" w:hAnsi="Arial" w:eastAsia="宋体" w:cs="Arial"/>
          <w:color w:val="auto"/>
          <w:highlight w:val="none"/>
        </w:rPr>
        <w:t>本项目谈判过程实行全程录音、录像监控，供应商在谈判过程中所进行的试图影响谈判结果的不公正活动，可能导致其谈判被拒绝。</w:t>
      </w:r>
    </w:p>
    <w:p w14:paraId="50A4D65A">
      <w:pPr>
        <w:snapToGrid w:val="0"/>
        <w:spacing w:line="360" w:lineRule="exact"/>
        <w:ind w:firstLine="420" w:firstLineChars="200"/>
        <w:rPr>
          <w:rFonts w:ascii="Arial" w:hAnsi="Arial" w:eastAsia="宋体" w:cs="Arial"/>
          <w:b/>
          <w:color w:val="auto"/>
          <w:highlight w:val="none"/>
        </w:rPr>
      </w:pPr>
      <w:r>
        <w:rPr>
          <w:rFonts w:ascii="Arial" w:hAnsi="Arial" w:eastAsia="宋体" w:cs="Arial"/>
          <w:b/>
          <w:color w:val="auto"/>
          <w:highlight w:val="none"/>
        </w:rPr>
        <w:t xml:space="preserve">26. 信用查询 </w:t>
      </w:r>
    </w:p>
    <w:p w14:paraId="56DA2C77">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根据《关于做好政府采购有关信用主体标识码登记及在政府采购活动中查询使用信用记录有关问题的通知》（桂财采〔2016〕37号），由采购代理机构对第一成交候选人进行信用查询：</w:t>
      </w:r>
    </w:p>
    <w:p w14:paraId="612C9A0A">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⑴查询渠道：“信用中国”网站(www.creditchina.gov.cn)、中国政府采购网(www.ccgp.gov.cn)等；</w:t>
      </w:r>
    </w:p>
    <w:p w14:paraId="4D56C2E5">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⑵查询截止时间：成交通知书发出前；</w:t>
      </w:r>
    </w:p>
    <w:p w14:paraId="133E9175">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⑶信用信息查询记录和证据留存方式：在查询网站中直接打印查询记录，打印材料作为采购活动资料保存；</w:t>
      </w:r>
    </w:p>
    <w:p w14:paraId="66340158">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p w14:paraId="3C0920F9">
      <w:pPr>
        <w:pStyle w:val="14"/>
        <w:spacing w:line="360" w:lineRule="exact"/>
        <w:ind w:firstLine="411" w:firstLineChars="196"/>
        <w:rPr>
          <w:rFonts w:ascii="Arial" w:hAnsi="Arial" w:eastAsia="宋体" w:cs="Arial"/>
          <w:b/>
          <w:color w:val="auto"/>
          <w:highlight w:val="none"/>
        </w:rPr>
      </w:pPr>
      <w:r>
        <w:rPr>
          <w:rFonts w:ascii="Arial" w:hAnsi="Arial" w:eastAsia="宋体" w:cs="Arial"/>
          <w:b/>
          <w:color w:val="auto"/>
          <w:highlight w:val="none"/>
        </w:rPr>
        <w:t>27</w:t>
      </w:r>
      <w:r>
        <w:rPr>
          <w:rFonts w:ascii="Arial" w:hAnsi="Arial" w:eastAsia="宋体" w:cs="Arial"/>
          <w:b/>
          <w:color w:val="auto"/>
          <w:szCs w:val="21"/>
          <w:highlight w:val="none"/>
        </w:rPr>
        <w:t xml:space="preserve">. </w:t>
      </w:r>
      <w:r>
        <w:rPr>
          <w:rFonts w:ascii="Arial" w:hAnsi="Arial" w:eastAsia="宋体" w:cs="Arial"/>
          <w:b/>
          <w:color w:val="auto"/>
          <w:szCs w:val="24"/>
          <w:highlight w:val="none"/>
        </w:rPr>
        <w:t>成交公告及成交通知书</w:t>
      </w:r>
    </w:p>
    <w:p w14:paraId="5F8D98E1">
      <w:pPr>
        <w:pStyle w:val="14"/>
        <w:tabs>
          <w:tab w:val="left" w:pos="455"/>
        </w:tabs>
        <w:spacing w:line="360" w:lineRule="exact"/>
        <w:ind w:firstLine="420" w:firstLineChars="200"/>
        <w:rPr>
          <w:rFonts w:ascii="Arial" w:hAnsi="Arial" w:eastAsia="宋体" w:cs="Arial"/>
          <w:color w:val="auto"/>
          <w:szCs w:val="24"/>
          <w:highlight w:val="none"/>
        </w:rPr>
      </w:pPr>
      <w:r>
        <w:rPr>
          <w:rFonts w:ascii="Arial" w:hAnsi="Arial" w:eastAsia="宋体" w:cs="Arial"/>
          <w:color w:val="auto"/>
          <w:highlight w:val="none"/>
        </w:rPr>
        <w:t xml:space="preserve">27.1 </w:t>
      </w:r>
      <w:r>
        <w:rPr>
          <w:rFonts w:ascii="Arial" w:hAnsi="Arial" w:eastAsia="宋体" w:cs="Arial"/>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w:t>
      </w:r>
      <w:r>
        <w:rPr>
          <w:rFonts w:ascii="Arial" w:hAnsi="Arial" w:eastAsia="宋体" w:cs="Arial"/>
          <w:color w:val="auto"/>
          <w:szCs w:val="24"/>
          <w:highlight w:val="none"/>
        </w:rPr>
        <w:t>内发出成交通知书，并在指定媒体上公告成交信息。</w:t>
      </w:r>
    </w:p>
    <w:p w14:paraId="6DA49904">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27.2在发布成交公告的同时，采购代理机构向成交供应商发出成交通知书。成交供应商应自接到通知之日起七个工作日内，办理成交通知书领取手续。</w:t>
      </w:r>
    </w:p>
    <w:p w14:paraId="549B83C7">
      <w:pPr>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27.3 采购代理机构无义务向未成交的供应商解释未成交原因和退还响应文件。</w:t>
      </w:r>
    </w:p>
    <w:p w14:paraId="6F6E0023">
      <w:pPr>
        <w:tabs>
          <w:tab w:val="left" w:pos="1140"/>
        </w:tabs>
        <w:spacing w:line="39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五、签订合同</w:t>
      </w:r>
    </w:p>
    <w:p w14:paraId="1BFF88A6">
      <w:pPr>
        <w:spacing w:line="360" w:lineRule="exact"/>
        <w:ind w:firstLine="411" w:firstLineChars="196"/>
        <w:rPr>
          <w:rFonts w:ascii="Arial" w:hAnsi="Arial" w:eastAsia="宋体" w:cs="Arial"/>
          <w:b/>
          <w:color w:val="auto"/>
          <w:highlight w:val="none"/>
        </w:rPr>
      </w:pPr>
      <w:r>
        <w:rPr>
          <w:rFonts w:ascii="Arial" w:hAnsi="Arial" w:eastAsia="宋体" w:cs="Arial"/>
          <w:b/>
          <w:color w:val="auto"/>
          <w:highlight w:val="none"/>
        </w:rPr>
        <w:t>28</w:t>
      </w:r>
      <w:r>
        <w:rPr>
          <w:rFonts w:ascii="Arial" w:hAnsi="Arial" w:eastAsia="宋体" w:cs="Arial"/>
          <w:b/>
          <w:color w:val="auto"/>
          <w:szCs w:val="21"/>
          <w:highlight w:val="none"/>
        </w:rPr>
        <w:t xml:space="preserve">. </w:t>
      </w:r>
      <w:r>
        <w:rPr>
          <w:rFonts w:ascii="Arial" w:hAnsi="Arial" w:eastAsia="宋体" w:cs="Arial"/>
          <w:b/>
          <w:color w:val="auto"/>
          <w:highlight w:val="none"/>
        </w:rPr>
        <w:t>履约保证金</w:t>
      </w:r>
    </w:p>
    <w:p w14:paraId="6149F3D2">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28.1.履约保证金金额：在合同签订之前，成交供应商按成交金额的5%（如成交供应商为中小微企业的，按成交金额的2%）向采购人交纳履约保证金。</w:t>
      </w:r>
    </w:p>
    <w:p w14:paraId="6BC351C3">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28.2.履约保证金递交方式：转账或电汇等非现金形式。</w:t>
      </w:r>
    </w:p>
    <w:p w14:paraId="0AD36B80">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28.3.履约保证金指定账户</w:t>
      </w:r>
    </w:p>
    <w:p w14:paraId="3180E843">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开户名称：桂林理工大学</w:t>
      </w:r>
    </w:p>
    <w:p w14:paraId="6FB32FE8">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开户银行：中国银行桂林分行</w:t>
      </w:r>
    </w:p>
    <w:p w14:paraId="4E994F50">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账号：613257488744。</w:t>
      </w:r>
    </w:p>
    <w:p w14:paraId="73DAB733">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28.4.履约保证金退付方式、时间及条件：</w:t>
      </w:r>
    </w:p>
    <w:p w14:paraId="546FF376">
      <w:pPr>
        <w:snapToGrid w:val="0"/>
        <w:spacing w:line="400" w:lineRule="exact"/>
        <w:ind w:firstLine="411" w:firstLineChars="196"/>
        <w:rPr>
          <w:rFonts w:ascii="Arial" w:hAnsi="Arial" w:eastAsia="宋体" w:cs="Arial"/>
          <w:bCs/>
          <w:color w:val="auto"/>
          <w:szCs w:val="21"/>
          <w:highlight w:val="none"/>
        </w:rPr>
      </w:pPr>
      <w:r>
        <w:rPr>
          <w:rFonts w:ascii="Arial" w:hAnsi="Arial" w:eastAsia="宋体" w:cs="Arial"/>
          <w:bCs/>
          <w:color w:val="auto"/>
          <w:szCs w:val="21"/>
          <w:highlight w:val="none"/>
        </w:rPr>
        <w:t>（1）成交供应商须按上述规定的金额、方式将履约保证金转入桂林理工大学账户。否则，不予签订合同。</w:t>
      </w:r>
    </w:p>
    <w:p w14:paraId="7F94CE13">
      <w:pPr>
        <w:snapToGrid w:val="0"/>
        <w:spacing w:line="400" w:lineRule="exact"/>
        <w:ind w:firstLine="411" w:firstLineChars="196"/>
        <w:rPr>
          <w:rFonts w:ascii="Arial" w:hAnsi="Arial" w:eastAsia="宋体" w:cs="Arial"/>
          <w:bCs/>
          <w:color w:val="auto"/>
          <w:kern w:val="0"/>
          <w:szCs w:val="21"/>
          <w:highlight w:val="none"/>
        </w:rPr>
      </w:pPr>
      <w:r>
        <w:rPr>
          <w:rFonts w:ascii="Arial" w:hAnsi="Arial" w:eastAsia="宋体" w:cs="Arial"/>
          <w:bCs/>
          <w:color w:val="auto"/>
          <w:szCs w:val="21"/>
          <w:highlight w:val="none"/>
        </w:rPr>
        <w:t>（2）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p w14:paraId="6271B0C4">
      <w:pPr>
        <w:tabs>
          <w:tab w:val="left" w:pos="1140"/>
        </w:tabs>
        <w:spacing w:line="36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29. 签订合同</w:t>
      </w:r>
    </w:p>
    <w:p w14:paraId="410A71D2">
      <w:pPr>
        <w:tabs>
          <w:tab w:val="left" w:pos="1140"/>
        </w:tabs>
        <w:spacing w:line="360" w:lineRule="exact"/>
        <w:ind w:firstLine="420" w:firstLineChars="200"/>
        <w:rPr>
          <w:rFonts w:ascii="Arial" w:hAnsi="Arial" w:eastAsia="宋体" w:cs="Arial"/>
          <w:color w:val="auto"/>
          <w:highlight w:val="none"/>
        </w:rPr>
      </w:pPr>
      <w:r>
        <w:rPr>
          <w:rFonts w:ascii="Arial" w:hAnsi="Arial" w:eastAsia="宋体" w:cs="Arial"/>
          <w:color w:val="auto"/>
          <w:highlight w:val="none"/>
        </w:rPr>
        <w:t>29.1 签订合同时间：成交通知书发出之日起2</w:t>
      </w:r>
      <w:r>
        <w:rPr>
          <w:rFonts w:hint="eastAsia" w:ascii="Arial" w:hAnsi="Arial" w:eastAsia="宋体" w:cs="Arial"/>
          <w:color w:val="auto"/>
          <w:highlight w:val="none"/>
        </w:rPr>
        <w:t>5</w:t>
      </w:r>
      <w:r>
        <w:rPr>
          <w:rFonts w:ascii="Arial" w:hAnsi="Arial" w:eastAsia="宋体" w:cs="Arial"/>
          <w:color w:val="auto"/>
          <w:highlight w:val="none"/>
        </w:rPr>
        <w:t>日内。</w:t>
      </w:r>
      <w:r>
        <w:rPr>
          <w:rFonts w:ascii="Arial" w:hAnsi="Arial" w:eastAsia="宋体" w:cs="Arial"/>
          <w:color w:val="auto"/>
          <w:szCs w:val="21"/>
          <w:highlight w:val="none"/>
        </w:rPr>
        <w:t>成交供应商领取成交通知书后，应按规定与采购人签订合同。</w:t>
      </w:r>
    </w:p>
    <w:p w14:paraId="228D0FBF">
      <w:pPr>
        <w:pStyle w:val="14"/>
        <w:spacing w:line="360" w:lineRule="exact"/>
        <w:ind w:firstLine="420" w:firstLineChars="200"/>
        <w:rPr>
          <w:rFonts w:ascii="Arial" w:hAnsi="Arial" w:eastAsia="宋体" w:cs="Arial"/>
          <w:color w:val="auto"/>
          <w:szCs w:val="24"/>
          <w:highlight w:val="none"/>
        </w:rPr>
      </w:pPr>
      <w:r>
        <w:rPr>
          <w:rFonts w:ascii="Arial" w:hAnsi="Arial" w:eastAsia="宋体" w:cs="Arial"/>
          <w:color w:val="auto"/>
          <w:szCs w:val="24"/>
          <w:highlight w:val="none"/>
        </w:rPr>
        <w:t>29.2 如成交供应商有下列情形之一，采购代理机构可从谈判小组推荐的成交候选人中按顺序重新确定成交供应商或重新组织采购。拒绝签订采购合同的成交供应商不得参加对该项目重新开展的采购活动。</w:t>
      </w:r>
    </w:p>
    <w:p w14:paraId="7D6B01AD">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（1）成交后不与采购人签订合同的（不可抗力除外）；</w:t>
      </w:r>
    </w:p>
    <w:p w14:paraId="13B3D2E9">
      <w:pPr>
        <w:widowControl/>
        <w:spacing w:line="360" w:lineRule="exact"/>
        <w:jc w:val="left"/>
        <w:rPr>
          <w:rFonts w:ascii="Arial" w:hAnsi="Arial" w:eastAsia="宋体" w:cs="Arial"/>
          <w:color w:val="auto"/>
          <w:highlight w:val="none"/>
        </w:rPr>
      </w:pPr>
      <w:r>
        <w:rPr>
          <w:rFonts w:ascii="Arial" w:hAnsi="Arial" w:eastAsia="宋体" w:cs="Arial"/>
          <w:color w:val="auto"/>
          <w:highlight w:val="none"/>
        </w:rPr>
        <w:t xml:space="preserve">    （2）将成交项目转让给他人，或者在响应文件中未说明，且未经采购人同意，将成交项目分包给他人的；</w:t>
      </w:r>
    </w:p>
    <w:p w14:paraId="1D57BDED">
      <w:pPr>
        <w:spacing w:line="360" w:lineRule="exact"/>
        <w:ind w:firstLine="420" w:firstLineChars="200"/>
        <w:rPr>
          <w:rFonts w:ascii="Arial" w:hAnsi="Arial" w:eastAsia="宋体" w:cs="Arial"/>
          <w:color w:val="auto"/>
          <w:highlight w:val="none"/>
        </w:rPr>
      </w:pPr>
      <w:r>
        <w:rPr>
          <w:rFonts w:ascii="Arial" w:hAnsi="Arial" w:eastAsia="宋体" w:cs="Arial"/>
          <w:color w:val="auto"/>
          <w:highlight w:val="none"/>
        </w:rPr>
        <w:t>（3）拒绝履行合同义务的。</w:t>
      </w:r>
    </w:p>
    <w:p w14:paraId="5A5955A4">
      <w:pPr>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六、其他事项</w:t>
      </w:r>
    </w:p>
    <w:p w14:paraId="77F6F00C">
      <w:pPr>
        <w:spacing w:line="390" w:lineRule="exact"/>
        <w:ind w:firstLine="514" w:firstLineChars="245"/>
        <w:rPr>
          <w:rFonts w:ascii="Arial" w:hAnsi="Arial" w:eastAsia="宋体" w:cs="Arial"/>
          <w:b/>
          <w:color w:val="auto"/>
          <w:highlight w:val="none"/>
        </w:rPr>
      </w:pPr>
      <w:r>
        <w:rPr>
          <w:rFonts w:ascii="Arial" w:hAnsi="Arial" w:eastAsia="宋体" w:cs="Arial"/>
          <w:b/>
          <w:color w:val="auto"/>
          <w:highlight w:val="none"/>
        </w:rPr>
        <w:t>30</w:t>
      </w:r>
      <w:r>
        <w:rPr>
          <w:rFonts w:ascii="Arial" w:hAnsi="Arial" w:eastAsia="宋体" w:cs="Arial"/>
          <w:b/>
          <w:color w:val="auto"/>
          <w:szCs w:val="21"/>
          <w:highlight w:val="none"/>
        </w:rPr>
        <w:t xml:space="preserve">. </w:t>
      </w:r>
      <w:r>
        <w:rPr>
          <w:rFonts w:ascii="Arial" w:hAnsi="Arial" w:eastAsia="宋体" w:cs="Arial"/>
          <w:b/>
          <w:color w:val="auto"/>
          <w:highlight w:val="none"/>
        </w:rPr>
        <w:t>采购代理服务费</w:t>
      </w:r>
    </w:p>
    <w:p w14:paraId="5CEB729A">
      <w:pPr>
        <w:spacing w:line="39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30.1采购代理服务费：以项目的成交金额为计费额，按国家发展计划委员会文件计价格（2002）1980号“国家计委关于印发《招标代理服务收费管理暂行办法》的通知”规定的货物类费率标准（详见本须知第30.2条）采用差额定率累进法计算出收费基准价格，采购代理服务费按收费基准价格下浮60 %收取，由成交供应商在领取成交通知书前，向采购代理机构一次性支付。</w:t>
      </w:r>
    </w:p>
    <w:p w14:paraId="1B815FA5">
      <w:pPr>
        <w:spacing w:line="39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30.2采购代理服务费标准：</w:t>
      </w:r>
    </w:p>
    <w:tbl>
      <w:tblPr>
        <w:tblStyle w:val="24"/>
        <w:tblW w:w="6138" w:type="dxa"/>
        <w:jc w:val="center"/>
        <w:tblLayout w:type="fixed"/>
        <w:tblCellMar>
          <w:top w:w="0" w:type="dxa"/>
          <w:left w:w="108" w:type="dxa"/>
          <w:bottom w:w="0" w:type="dxa"/>
          <w:right w:w="108" w:type="dxa"/>
        </w:tblCellMar>
      </w:tblPr>
      <w:tblGrid>
        <w:gridCol w:w="2734"/>
        <w:gridCol w:w="1134"/>
        <w:gridCol w:w="1135"/>
        <w:gridCol w:w="1135"/>
      </w:tblGrid>
      <w:tr w14:paraId="02FE9CFB">
        <w:tblPrEx>
          <w:tblCellMar>
            <w:top w:w="0" w:type="dxa"/>
            <w:left w:w="108" w:type="dxa"/>
            <w:bottom w:w="0" w:type="dxa"/>
            <w:right w:w="108" w:type="dxa"/>
          </w:tblCellMar>
        </w:tblPrEx>
        <w:trPr>
          <w:trHeight w:val="588" w:hRule="atLeast"/>
          <w:jc w:val="center"/>
        </w:trPr>
        <w:tc>
          <w:tcPr>
            <w:tcW w:w="2734"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14:paraId="77C7B3B0">
            <w:pPr>
              <w:spacing w:line="288" w:lineRule="auto"/>
              <w:rPr>
                <w:rFonts w:ascii="Arial" w:hAnsi="Arial" w:eastAsia="宋体" w:cs="Arial"/>
                <w:color w:val="auto"/>
                <w:highlight w:val="none"/>
              </w:rPr>
            </w:pPr>
            <w:r>
              <w:rPr>
                <w:rFonts w:ascii="Arial" w:hAnsi="Arial" w:eastAsia="宋体" w:cs="Arial"/>
                <w:color w:val="auto"/>
                <w:highlight w:val="none"/>
              </w:rPr>
              <w:t xml:space="preserve">             </w:t>
            </w:r>
            <w:r>
              <w:rPr>
                <w:rFonts w:hint="eastAsia" w:ascii="Arial" w:hAnsi="Arial" w:eastAsia="宋体" w:cs="Arial"/>
                <w:color w:val="auto"/>
                <w:highlight w:val="none"/>
              </w:rPr>
              <w:t xml:space="preserve">  </w:t>
            </w:r>
            <w:r>
              <w:rPr>
                <w:rFonts w:ascii="Arial" w:hAnsi="Arial" w:eastAsia="宋体" w:cs="Arial"/>
                <w:color w:val="auto"/>
                <w:highlight w:val="none"/>
              </w:rPr>
              <w:t>服务类型</w:t>
            </w:r>
          </w:p>
          <w:p w14:paraId="3BC5E91E">
            <w:pPr>
              <w:spacing w:line="288" w:lineRule="auto"/>
              <w:rPr>
                <w:rFonts w:ascii="Arial" w:hAnsi="Arial" w:eastAsia="宋体" w:cs="Arial"/>
                <w:color w:val="auto"/>
                <w:highlight w:val="none"/>
              </w:rPr>
            </w:pPr>
            <w:r>
              <w:rPr>
                <w:rFonts w:hint="eastAsia" w:ascii="Arial" w:hAnsi="Arial" w:eastAsia="宋体" w:cs="Arial"/>
                <w:color w:val="auto"/>
                <w:highlight w:val="none"/>
              </w:rPr>
              <w:t>成交</w:t>
            </w:r>
            <w:r>
              <w:rPr>
                <w:rFonts w:ascii="Arial" w:hAnsi="Arial" w:eastAsia="宋体" w:cs="Arial"/>
                <w:color w:val="auto"/>
                <w:highlight w:val="none"/>
              </w:rPr>
              <w:t>金额（万元）</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70ACCE">
            <w:pPr>
              <w:spacing w:line="288" w:lineRule="auto"/>
              <w:jc w:val="center"/>
              <w:rPr>
                <w:rFonts w:ascii="Arial" w:hAnsi="Arial" w:eastAsia="宋体" w:cs="Arial"/>
                <w:color w:val="auto"/>
                <w:highlight w:val="none"/>
              </w:rPr>
            </w:pPr>
            <w:r>
              <w:rPr>
                <w:rFonts w:ascii="Arial" w:hAnsi="Arial" w:eastAsia="宋体" w:cs="Arial"/>
                <w:color w:val="auto"/>
                <w:highlight w:val="none"/>
              </w:rPr>
              <w:t>货物招标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10303B1F">
            <w:pPr>
              <w:spacing w:line="288" w:lineRule="auto"/>
              <w:jc w:val="center"/>
              <w:rPr>
                <w:rFonts w:ascii="Arial" w:hAnsi="Arial" w:eastAsia="宋体" w:cs="Arial"/>
                <w:color w:val="auto"/>
                <w:highlight w:val="none"/>
              </w:rPr>
            </w:pPr>
            <w:r>
              <w:rPr>
                <w:rFonts w:ascii="Arial" w:hAnsi="Arial" w:eastAsia="宋体" w:cs="Arial"/>
                <w:color w:val="auto"/>
                <w:highlight w:val="none"/>
              </w:rPr>
              <w:t>服务招标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14:paraId="565AAEA3">
            <w:pPr>
              <w:spacing w:line="288" w:lineRule="auto"/>
              <w:jc w:val="center"/>
              <w:rPr>
                <w:rFonts w:ascii="Arial" w:hAnsi="Arial" w:eastAsia="宋体" w:cs="Arial"/>
                <w:color w:val="auto"/>
                <w:highlight w:val="none"/>
              </w:rPr>
            </w:pPr>
            <w:r>
              <w:rPr>
                <w:rFonts w:ascii="Arial" w:hAnsi="Arial" w:eastAsia="宋体" w:cs="Arial"/>
                <w:color w:val="auto"/>
                <w:highlight w:val="none"/>
              </w:rPr>
              <w:t>工程招标</w:t>
            </w:r>
          </w:p>
        </w:tc>
      </w:tr>
      <w:tr w14:paraId="10502060">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4C038A">
            <w:pPr>
              <w:spacing w:line="288" w:lineRule="auto"/>
              <w:jc w:val="center"/>
              <w:rPr>
                <w:rFonts w:ascii="Arial" w:hAnsi="Arial" w:eastAsia="宋体" w:cs="Arial"/>
                <w:color w:val="auto"/>
                <w:highlight w:val="none"/>
              </w:rPr>
            </w:pPr>
            <w:r>
              <w:rPr>
                <w:rFonts w:ascii="Arial" w:hAnsi="Arial" w:eastAsia="宋体" w:cs="Arial"/>
                <w:color w:val="auto"/>
                <w:highlight w:val="none"/>
              </w:rPr>
              <w:t>100以下</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018897">
            <w:pPr>
              <w:spacing w:line="288" w:lineRule="auto"/>
              <w:jc w:val="center"/>
              <w:rPr>
                <w:rFonts w:ascii="Arial" w:hAnsi="Arial" w:eastAsia="宋体" w:cs="Arial"/>
                <w:color w:val="auto"/>
                <w:highlight w:val="none"/>
              </w:rPr>
            </w:pPr>
            <w:r>
              <w:rPr>
                <w:rFonts w:ascii="Arial" w:hAnsi="Arial" w:eastAsia="宋体"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2C1A78">
            <w:pPr>
              <w:spacing w:line="288" w:lineRule="auto"/>
              <w:jc w:val="center"/>
              <w:rPr>
                <w:rFonts w:ascii="Arial" w:hAnsi="Arial" w:eastAsia="宋体" w:cs="Arial"/>
                <w:color w:val="auto"/>
                <w:highlight w:val="none"/>
              </w:rPr>
            </w:pPr>
            <w:r>
              <w:rPr>
                <w:rFonts w:ascii="Arial" w:hAnsi="Arial" w:eastAsia="宋体" w:cs="Arial"/>
                <w:color w:val="auto"/>
                <w:highlight w:val="none"/>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EA76EC">
            <w:pPr>
              <w:spacing w:line="288" w:lineRule="auto"/>
              <w:jc w:val="center"/>
              <w:rPr>
                <w:rFonts w:ascii="Arial" w:hAnsi="Arial" w:eastAsia="宋体" w:cs="Arial"/>
                <w:color w:val="auto"/>
                <w:highlight w:val="none"/>
              </w:rPr>
            </w:pPr>
            <w:r>
              <w:rPr>
                <w:rFonts w:ascii="Arial" w:hAnsi="Arial" w:eastAsia="宋体" w:cs="Arial"/>
                <w:color w:val="auto"/>
                <w:highlight w:val="none"/>
              </w:rPr>
              <w:t>1.0％</w:t>
            </w:r>
          </w:p>
        </w:tc>
      </w:tr>
      <w:tr w14:paraId="4BA48209">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14F842">
            <w:pPr>
              <w:spacing w:line="288" w:lineRule="auto"/>
              <w:jc w:val="center"/>
              <w:rPr>
                <w:rFonts w:ascii="Arial" w:hAnsi="Arial" w:eastAsia="宋体" w:cs="Arial"/>
                <w:color w:val="auto"/>
                <w:highlight w:val="none"/>
              </w:rPr>
            </w:pPr>
            <w:r>
              <w:rPr>
                <w:rFonts w:ascii="Arial" w:hAnsi="Arial" w:eastAsia="宋体" w:cs="Arial"/>
                <w:color w:val="auto"/>
                <w:highlight w:val="none"/>
              </w:rPr>
              <w:t>100-500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CC8CDF">
            <w:pPr>
              <w:spacing w:line="288" w:lineRule="auto"/>
              <w:jc w:val="center"/>
              <w:rPr>
                <w:rFonts w:ascii="Arial" w:hAnsi="Arial" w:eastAsia="宋体" w:cs="Arial"/>
                <w:color w:val="auto"/>
                <w:highlight w:val="none"/>
              </w:rPr>
            </w:pPr>
            <w:r>
              <w:rPr>
                <w:rFonts w:ascii="Arial" w:hAnsi="Arial" w:eastAsia="宋体" w:cs="Arial"/>
                <w:color w:val="auto"/>
                <w:highlight w:val="none"/>
              </w:rPr>
              <w:t>1.1％</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C9B133">
            <w:pPr>
              <w:spacing w:line="288" w:lineRule="auto"/>
              <w:jc w:val="center"/>
              <w:rPr>
                <w:rFonts w:ascii="Arial" w:hAnsi="Arial" w:eastAsia="宋体" w:cs="Arial"/>
                <w:color w:val="auto"/>
                <w:highlight w:val="none"/>
              </w:rPr>
            </w:pPr>
            <w:r>
              <w:rPr>
                <w:rFonts w:ascii="Arial" w:hAnsi="Arial" w:eastAsia="宋体"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24D25B">
            <w:pPr>
              <w:spacing w:line="288" w:lineRule="auto"/>
              <w:jc w:val="center"/>
              <w:rPr>
                <w:rFonts w:ascii="Arial" w:hAnsi="Arial" w:eastAsia="宋体" w:cs="Arial"/>
                <w:color w:val="auto"/>
                <w:highlight w:val="none"/>
              </w:rPr>
            </w:pPr>
            <w:r>
              <w:rPr>
                <w:rFonts w:ascii="Arial" w:hAnsi="Arial" w:eastAsia="宋体" w:cs="Arial"/>
                <w:color w:val="auto"/>
                <w:highlight w:val="none"/>
              </w:rPr>
              <w:t>0.7％</w:t>
            </w:r>
          </w:p>
        </w:tc>
      </w:tr>
      <w:tr w14:paraId="0437A431">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9F47ED">
            <w:pPr>
              <w:spacing w:line="288" w:lineRule="auto"/>
              <w:jc w:val="center"/>
              <w:rPr>
                <w:rFonts w:ascii="Arial" w:hAnsi="Arial" w:eastAsia="宋体" w:cs="Arial"/>
                <w:color w:val="auto"/>
                <w:highlight w:val="none"/>
              </w:rPr>
            </w:pPr>
            <w:r>
              <w:rPr>
                <w:rFonts w:ascii="Arial" w:hAnsi="Arial" w:eastAsia="宋体" w:cs="Arial"/>
                <w:color w:val="auto"/>
                <w:highlight w:val="none"/>
              </w:rPr>
              <w:t>500-1000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F8DBEB">
            <w:pPr>
              <w:spacing w:line="288" w:lineRule="auto"/>
              <w:jc w:val="center"/>
              <w:rPr>
                <w:rFonts w:ascii="Arial" w:hAnsi="Arial" w:eastAsia="宋体" w:cs="Arial"/>
                <w:color w:val="auto"/>
                <w:highlight w:val="none"/>
              </w:rPr>
            </w:pPr>
            <w:r>
              <w:rPr>
                <w:rFonts w:ascii="Arial" w:hAnsi="Arial" w:eastAsia="宋体" w:cs="Arial"/>
                <w:color w:val="auto"/>
                <w:highlight w:val="none"/>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E42A5D">
            <w:pPr>
              <w:spacing w:line="288" w:lineRule="auto"/>
              <w:jc w:val="center"/>
              <w:rPr>
                <w:rFonts w:ascii="Arial" w:hAnsi="Arial" w:eastAsia="宋体" w:cs="Arial"/>
                <w:color w:val="auto"/>
                <w:highlight w:val="none"/>
              </w:rPr>
            </w:pPr>
            <w:r>
              <w:rPr>
                <w:rFonts w:ascii="Arial" w:hAnsi="Arial" w:eastAsia="宋体" w:cs="Arial"/>
                <w:color w:val="auto"/>
                <w:highlight w:val="none"/>
              </w:rPr>
              <w:t>0.45％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DF2B6E">
            <w:pPr>
              <w:spacing w:line="288" w:lineRule="auto"/>
              <w:jc w:val="center"/>
              <w:rPr>
                <w:rFonts w:ascii="Arial" w:hAnsi="Arial" w:eastAsia="宋体" w:cs="Arial"/>
                <w:color w:val="auto"/>
                <w:highlight w:val="none"/>
              </w:rPr>
            </w:pPr>
            <w:r>
              <w:rPr>
                <w:rFonts w:ascii="Arial" w:hAnsi="Arial" w:eastAsia="宋体" w:cs="Arial"/>
                <w:color w:val="auto"/>
                <w:highlight w:val="none"/>
              </w:rPr>
              <w:t>0.55％</w:t>
            </w:r>
          </w:p>
        </w:tc>
      </w:tr>
      <w:tr w14:paraId="4C75A7B7">
        <w:tblPrEx>
          <w:tblCellMar>
            <w:top w:w="0" w:type="dxa"/>
            <w:left w:w="108" w:type="dxa"/>
            <w:bottom w:w="0" w:type="dxa"/>
            <w:right w:w="108" w:type="dxa"/>
          </w:tblCellMar>
        </w:tblPrEx>
        <w:trPr>
          <w:trHeight w:val="434"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C82FB6">
            <w:pPr>
              <w:spacing w:line="288" w:lineRule="auto"/>
              <w:jc w:val="center"/>
              <w:rPr>
                <w:rFonts w:ascii="Arial" w:hAnsi="Arial" w:eastAsia="宋体" w:cs="Arial"/>
                <w:color w:val="auto"/>
                <w:highlight w:val="none"/>
              </w:rPr>
            </w:pPr>
            <w:r>
              <w:rPr>
                <w:rFonts w:ascii="Arial" w:hAnsi="Arial" w:eastAsia="宋体" w:cs="Arial"/>
                <w:color w:val="auto"/>
                <w:highlight w:val="none"/>
              </w:rPr>
              <w:t>1000-5000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9574B9">
            <w:pPr>
              <w:spacing w:line="288" w:lineRule="auto"/>
              <w:jc w:val="center"/>
              <w:rPr>
                <w:rFonts w:ascii="Arial" w:hAnsi="Arial" w:eastAsia="宋体" w:cs="Arial"/>
                <w:color w:val="auto"/>
                <w:highlight w:val="none"/>
              </w:rPr>
            </w:pPr>
            <w:r>
              <w:rPr>
                <w:rFonts w:ascii="Arial" w:hAnsi="Arial" w:eastAsia="宋体" w:cs="Arial"/>
                <w:color w:val="auto"/>
                <w:highlight w:val="none"/>
              </w:rPr>
              <w:t>0.5％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F325D7">
            <w:pPr>
              <w:spacing w:line="288" w:lineRule="auto"/>
              <w:jc w:val="center"/>
              <w:rPr>
                <w:rFonts w:ascii="Arial" w:hAnsi="Arial" w:eastAsia="宋体" w:cs="Arial"/>
                <w:color w:val="auto"/>
                <w:highlight w:val="none"/>
              </w:rPr>
            </w:pPr>
            <w:r>
              <w:rPr>
                <w:rFonts w:ascii="Arial" w:hAnsi="Arial" w:eastAsia="宋体" w:cs="Arial"/>
                <w:color w:val="auto"/>
                <w:highlight w:val="none"/>
              </w:rPr>
              <w:t>0.25％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E95177">
            <w:pPr>
              <w:spacing w:line="288" w:lineRule="auto"/>
              <w:jc w:val="center"/>
              <w:rPr>
                <w:rFonts w:ascii="Arial" w:hAnsi="Arial" w:eastAsia="宋体" w:cs="Arial"/>
                <w:color w:val="auto"/>
                <w:highlight w:val="none"/>
              </w:rPr>
            </w:pPr>
            <w:r>
              <w:rPr>
                <w:rFonts w:ascii="Arial" w:hAnsi="Arial" w:eastAsia="宋体" w:cs="Arial"/>
                <w:color w:val="auto"/>
                <w:highlight w:val="none"/>
              </w:rPr>
              <w:t>0.35％</w:t>
            </w:r>
          </w:p>
        </w:tc>
      </w:tr>
    </w:tbl>
    <w:p w14:paraId="64A51BA8">
      <w:pPr>
        <w:pStyle w:val="14"/>
        <w:spacing w:line="360" w:lineRule="exact"/>
        <w:ind w:firstLine="420" w:firstLineChars="200"/>
        <w:rPr>
          <w:rFonts w:ascii="Arial" w:hAnsi="Arial" w:eastAsia="宋体" w:cs="Arial"/>
          <w:b/>
          <w:color w:val="auto"/>
          <w:highlight w:val="none"/>
        </w:rPr>
      </w:pPr>
      <w:r>
        <w:rPr>
          <w:rFonts w:ascii="Arial" w:hAnsi="Arial" w:eastAsia="宋体" w:cs="Arial"/>
          <w:color w:val="auto"/>
          <w:highlight w:val="none"/>
        </w:rPr>
        <w:t>注：代理服务收费按差额定率累进法计算。</w:t>
      </w:r>
    </w:p>
    <w:p w14:paraId="0F144F73">
      <w:pPr>
        <w:ind w:firstLine="420" w:firstLineChars="200"/>
        <w:rPr>
          <w:rFonts w:ascii="Arial" w:hAnsi="Arial" w:eastAsia="宋体" w:cs="Arial"/>
          <w:b/>
          <w:color w:val="auto"/>
          <w:highlight w:val="none"/>
        </w:rPr>
      </w:pPr>
      <w:r>
        <w:rPr>
          <w:rFonts w:ascii="Arial" w:hAnsi="Arial" w:eastAsia="宋体" w:cs="Arial"/>
          <w:b/>
          <w:color w:val="auto"/>
          <w:highlight w:val="none"/>
        </w:rPr>
        <w:t>31.采购代理机构银行账户：</w:t>
      </w:r>
    </w:p>
    <w:p w14:paraId="09EEA4E6">
      <w:pPr>
        <w:pStyle w:val="14"/>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公司名称：广西机电设备招标有限公司</w:t>
      </w:r>
    </w:p>
    <w:p w14:paraId="5ADD3E4E">
      <w:pPr>
        <w:pStyle w:val="14"/>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开户银行：广西北部湾银行金湖支行</w:t>
      </w:r>
    </w:p>
    <w:p w14:paraId="0D761B1E">
      <w:pPr>
        <w:pStyle w:val="14"/>
        <w:snapToGrid w:val="0"/>
        <w:spacing w:after="0" w:line="288" w:lineRule="auto"/>
        <w:ind w:left="420" w:leftChars="200"/>
        <w:rPr>
          <w:rFonts w:hint="eastAsia" w:ascii="Arial" w:hAnsi="Arial" w:eastAsia="宋体" w:cs="Arial"/>
          <w:b/>
          <w:color w:val="auto"/>
          <w:highlight w:val="none"/>
        </w:rPr>
      </w:pPr>
      <w:r>
        <w:rPr>
          <w:rFonts w:hint="eastAsia" w:ascii="Arial" w:hAnsi="Arial" w:eastAsia="宋体" w:cs="Arial"/>
          <w:b/>
          <w:color w:val="auto"/>
          <w:highlight w:val="none"/>
        </w:rPr>
        <w:t>银行账号：1705012090027723</w:t>
      </w:r>
    </w:p>
    <w:p w14:paraId="39B852D7">
      <w:pPr>
        <w:pStyle w:val="14"/>
        <w:snapToGrid w:val="0"/>
        <w:spacing w:line="360" w:lineRule="exact"/>
        <w:ind w:left="420" w:leftChars="200"/>
        <w:rPr>
          <w:rFonts w:ascii="Arial" w:hAnsi="Arial" w:eastAsia="宋体" w:cs="Arial"/>
          <w:color w:val="auto"/>
          <w:highlight w:val="none"/>
        </w:rPr>
      </w:pPr>
      <w:r>
        <w:rPr>
          <w:rFonts w:ascii="Arial" w:hAnsi="Arial" w:eastAsia="宋体" w:cs="Arial"/>
          <w:b/>
          <w:color w:val="auto"/>
          <w:highlight w:val="none"/>
        </w:rPr>
        <w:t>32.解释权：</w:t>
      </w:r>
      <w:r>
        <w:rPr>
          <w:rFonts w:ascii="Arial" w:hAnsi="Arial" w:eastAsia="宋体" w:cs="Arial"/>
          <w:color w:val="auto"/>
          <w:highlight w:val="none"/>
        </w:rPr>
        <w:t>本竞争性谈判文件的解释权属于采购代理机构。</w:t>
      </w:r>
    </w:p>
    <w:p w14:paraId="05F81808">
      <w:pPr>
        <w:spacing w:line="340" w:lineRule="exact"/>
        <w:rPr>
          <w:rFonts w:ascii="Arial" w:hAnsi="Arial" w:eastAsia="宋体" w:cs="Arial"/>
          <w:b/>
          <w:color w:val="auto"/>
          <w:sz w:val="32"/>
          <w:szCs w:val="32"/>
          <w:highlight w:val="none"/>
        </w:rPr>
      </w:pPr>
      <w:r>
        <w:rPr>
          <w:rFonts w:ascii="Arial" w:hAnsi="Arial" w:eastAsia="宋体" w:cs="Arial"/>
          <w:color w:val="auto"/>
          <w:kern w:val="0"/>
          <w:sz w:val="24"/>
          <w:highlight w:val="none"/>
        </w:rPr>
        <w:br w:type="page"/>
      </w:r>
    </w:p>
    <w:p w14:paraId="675858F8">
      <w:pPr>
        <w:pStyle w:val="2"/>
        <w:jc w:val="center"/>
        <w:rPr>
          <w:color w:val="auto"/>
          <w:highlight w:val="none"/>
        </w:rPr>
      </w:pPr>
      <w:bookmarkStart w:id="26" w:name="_Toc6011"/>
      <w:bookmarkStart w:id="27" w:name="_Toc8686"/>
      <w:r>
        <w:rPr>
          <w:color w:val="auto"/>
          <w:highlight w:val="none"/>
        </w:rPr>
        <w:t xml:space="preserve">第三章  </w:t>
      </w:r>
      <w:bookmarkEnd w:id="26"/>
      <w:r>
        <w:rPr>
          <w:color w:val="auto"/>
          <w:highlight w:val="none"/>
        </w:rPr>
        <w:t>项目采购需求</w:t>
      </w:r>
      <w:bookmarkEnd w:id="27"/>
    </w:p>
    <w:p w14:paraId="028B5A6F">
      <w:pPr>
        <w:widowControl/>
        <w:ind w:firstLine="420" w:firstLineChars="200"/>
        <w:jc w:val="left"/>
        <w:rPr>
          <w:rFonts w:ascii="Arial" w:hAnsi="Arial" w:eastAsia="宋体" w:cs="Arial"/>
          <w:b/>
          <w:color w:val="auto"/>
          <w:highlight w:val="none"/>
        </w:rPr>
      </w:pPr>
      <w:bookmarkStart w:id="28" w:name="_Toc23090"/>
      <w:r>
        <w:rPr>
          <w:rFonts w:ascii="Arial" w:hAnsi="Arial" w:eastAsia="宋体" w:cs="Arial"/>
          <w:b/>
          <w:color w:val="auto"/>
          <w:highlight w:val="none"/>
        </w:rPr>
        <w:t>说明：“项目采购需求”中所有条款要求及竞争性谈判文件中要求“必须提供”的条款均为实质性要求，如有负偏离或不满足要求则响应被否决。</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200"/>
        <w:gridCol w:w="94"/>
        <w:gridCol w:w="570"/>
        <w:gridCol w:w="729"/>
        <w:gridCol w:w="6593"/>
      </w:tblGrid>
      <w:tr w14:paraId="6C2E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25A72CB6">
            <w:pPr>
              <w:rPr>
                <w:rFonts w:ascii="Arial" w:hAnsi="Arial" w:eastAsia="宋体" w:cs="Arial"/>
                <w:color w:val="auto"/>
                <w:szCs w:val="21"/>
                <w:highlight w:val="none"/>
              </w:rPr>
            </w:pPr>
            <w:r>
              <w:rPr>
                <w:rFonts w:ascii="Arial" w:hAnsi="Arial" w:eastAsia="宋体" w:cs="Arial"/>
                <w:color w:val="auto"/>
                <w:szCs w:val="21"/>
                <w:highlight w:val="none"/>
              </w:rPr>
              <w:t>一、采购标的及技术需求</w:t>
            </w:r>
          </w:p>
        </w:tc>
      </w:tr>
      <w:tr w14:paraId="7A93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Align w:val="center"/>
          </w:tcPr>
          <w:p w14:paraId="0F0362F7">
            <w:pPr>
              <w:jc w:val="center"/>
              <w:rPr>
                <w:rFonts w:ascii="Arial" w:hAnsi="Arial" w:eastAsia="宋体" w:cs="Arial"/>
                <w:b/>
                <w:color w:val="auto"/>
                <w:szCs w:val="21"/>
                <w:highlight w:val="none"/>
              </w:rPr>
            </w:pPr>
            <w:r>
              <w:rPr>
                <w:rFonts w:ascii="Arial" w:hAnsi="Arial" w:eastAsia="宋体" w:cs="Arial"/>
                <w:b/>
                <w:color w:val="auto"/>
                <w:szCs w:val="21"/>
                <w:highlight w:val="none"/>
              </w:rPr>
              <w:t>项号</w:t>
            </w:r>
          </w:p>
        </w:tc>
        <w:tc>
          <w:tcPr>
            <w:tcW w:w="1200" w:type="dxa"/>
            <w:vAlign w:val="center"/>
          </w:tcPr>
          <w:p w14:paraId="6083BABF">
            <w:pPr>
              <w:jc w:val="center"/>
              <w:rPr>
                <w:rFonts w:ascii="Arial" w:hAnsi="Arial" w:eastAsia="宋体" w:cs="Arial"/>
                <w:b/>
                <w:color w:val="auto"/>
                <w:szCs w:val="21"/>
                <w:highlight w:val="none"/>
              </w:rPr>
            </w:pPr>
            <w:r>
              <w:rPr>
                <w:rFonts w:ascii="Arial" w:hAnsi="Arial" w:eastAsia="宋体" w:cs="Arial"/>
                <w:b/>
                <w:color w:val="auto"/>
                <w:szCs w:val="21"/>
                <w:highlight w:val="none"/>
              </w:rPr>
              <w:t>标的名称</w:t>
            </w:r>
          </w:p>
        </w:tc>
        <w:tc>
          <w:tcPr>
            <w:tcW w:w="664" w:type="dxa"/>
            <w:gridSpan w:val="2"/>
            <w:vAlign w:val="center"/>
          </w:tcPr>
          <w:p w14:paraId="03DDE690">
            <w:pPr>
              <w:jc w:val="center"/>
              <w:rPr>
                <w:rFonts w:ascii="Arial" w:hAnsi="Arial" w:eastAsia="宋体" w:cs="Arial"/>
                <w:b/>
                <w:color w:val="auto"/>
                <w:szCs w:val="21"/>
                <w:highlight w:val="none"/>
              </w:rPr>
            </w:pPr>
            <w:r>
              <w:rPr>
                <w:rFonts w:ascii="Arial" w:hAnsi="Arial" w:eastAsia="宋体" w:cs="Arial"/>
                <w:b/>
                <w:color w:val="auto"/>
                <w:szCs w:val="21"/>
                <w:highlight w:val="none"/>
              </w:rPr>
              <w:t>数量</w:t>
            </w:r>
          </w:p>
        </w:tc>
        <w:tc>
          <w:tcPr>
            <w:tcW w:w="729" w:type="dxa"/>
            <w:vAlign w:val="center"/>
          </w:tcPr>
          <w:p w14:paraId="4F66252F">
            <w:pPr>
              <w:jc w:val="center"/>
              <w:rPr>
                <w:rFonts w:ascii="Arial" w:hAnsi="Arial" w:eastAsia="宋体" w:cs="Arial"/>
                <w:b/>
                <w:color w:val="auto"/>
                <w:szCs w:val="21"/>
                <w:highlight w:val="none"/>
              </w:rPr>
            </w:pPr>
            <w:r>
              <w:rPr>
                <w:rFonts w:ascii="Arial" w:hAnsi="Arial" w:eastAsia="宋体" w:cs="Arial"/>
                <w:b/>
                <w:color w:val="auto"/>
                <w:szCs w:val="21"/>
                <w:highlight w:val="none"/>
              </w:rPr>
              <w:t>计量单位</w:t>
            </w:r>
          </w:p>
        </w:tc>
        <w:tc>
          <w:tcPr>
            <w:tcW w:w="6593" w:type="dxa"/>
            <w:vAlign w:val="center"/>
          </w:tcPr>
          <w:p w14:paraId="2A69F10B">
            <w:pPr>
              <w:adjustRightInd w:val="0"/>
              <w:snapToGrid w:val="0"/>
              <w:spacing w:line="288" w:lineRule="auto"/>
              <w:jc w:val="center"/>
              <w:rPr>
                <w:rFonts w:ascii="Arial" w:hAnsi="Arial" w:eastAsia="宋体" w:cs="Arial"/>
                <w:b/>
                <w:color w:val="auto"/>
                <w:szCs w:val="21"/>
                <w:highlight w:val="none"/>
              </w:rPr>
            </w:pPr>
            <w:r>
              <w:rPr>
                <w:rFonts w:ascii="Arial" w:hAnsi="Arial" w:eastAsia="宋体" w:cs="Arial"/>
                <w:b/>
                <w:color w:val="auto"/>
                <w:szCs w:val="21"/>
                <w:highlight w:val="none"/>
              </w:rPr>
              <w:t>项目要求及技术需求</w:t>
            </w:r>
          </w:p>
        </w:tc>
      </w:tr>
      <w:tr w14:paraId="2E8D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Align w:val="center"/>
          </w:tcPr>
          <w:p w14:paraId="3ED1109D">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200" w:type="dxa"/>
            <w:vAlign w:val="center"/>
          </w:tcPr>
          <w:p w14:paraId="13910C55">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IT管理系统</w:t>
            </w:r>
          </w:p>
        </w:tc>
        <w:tc>
          <w:tcPr>
            <w:tcW w:w="664" w:type="dxa"/>
            <w:gridSpan w:val="2"/>
            <w:vAlign w:val="center"/>
          </w:tcPr>
          <w:p w14:paraId="50B82FD4">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729" w:type="dxa"/>
            <w:vAlign w:val="center"/>
          </w:tcPr>
          <w:p w14:paraId="5DA5FFE3">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593" w:type="dxa"/>
          </w:tcPr>
          <w:p w14:paraId="751AA818">
            <w:pPr>
              <w:snapToGrid w:val="0"/>
              <w:spacing w:line="300" w:lineRule="auto"/>
              <w:rPr>
                <w:rFonts w:ascii="Arial" w:hAnsi="Arial" w:eastAsia="宋体" w:cs="Arial"/>
                <w:color w:val="auto"/>
                <w:highlight w:val="none"/>
              </w:rPr>
            </w:pPr>
            <w:r>
              <w:rPr>
                <w:rFonts w:ascii="Arial" w:hAnsi="Arial" w:eastAsia="宋体" w:cs="Arial"/>
                <w:color w:val="auto"/>
                <w:highlight w:val="none"/>
              </w:rPr>
              <w:t>1支持网络管理、服务器操作系统监控、存储系统监控、机房管理、等数据中心管理（含DHCP、DNS）功能。</w:t>
            </w:r>
          </w:p>
          <w:p w14:paraId="6BD21694">
            <w:pPr>
              <w:snapToGrid w:val="0"/>
              <w:spacing w:line="300" w:lineRule="auto"/>
              <w:rPr>
                <w:rFonts w:ascii="Arial" w:hAnsi="Arial" w:eastAsia="宋体" w:cs="Arial"/>
                <w:color w:val="auto"/>
                <w:highlight w:val="none"/>
              </w:rPr>
            </w:pPr>
            <w:r>
              <w:rPr>
                <w:rFonts w:ascii="Arial" w:hAnsi="Arial" w:eastAsia="宋体" w:cs="Arial"/>
                <w:color w:val="auto"/>
                <w:highlight w:val="none"/>
              </w:rPr>
              <w:t>2支持监控多种设备和资源：有线设备、无线设备、PON设备、安全设备、服务器、动环平台、动环设备、存储设备、标准服务、中间件、数据库、虚拟化以及K8S；</w:t>
            </w:r>
          </w:p>
          <w:p w14:paraId="32D7DAB8">
            <w:pPr>
              <w:snapToGrid w:val="0"/>
              <w:spacing w:line="300" w:lineRule="auto"/>
              <w:rPr>
                <w:rFonts w:ascii="Arial" w:hAnsi="Arial" w:eastAsia="宋体" w:cs="Arial"/>
                <w:color w:val="auto"/>
                <w:highlight w:val="none"/>
              </w:rPr>
            </w:pPr>
            <w:r>
              <w:rPr>
                <w:rFonts w:ascii="Arial" w:hAnsi="Arial" w:eastAsia="宋体" w:cs="Arial"/>
                <w:color w:val="auto"/>
                <w:highlight w:val="none"/>
              </w:rPr>
              <w:t>3支持多主流厂商：思科、华三、华为、神州数码、锐捷、中兴、迈普、戴尔、IBM、惠普、联想、微软、Oracle、VMware等；</w:t>
            </w:r>
          </w:p>
          <w:p w14:paraId="49CCD77A">
            <w:pPr>
              <w:snapToGrid w:val="0"/>
              <w:spacing w:line="300" w:lineRule="auto"/>
              <w:rPr>
                <w:rFonts w:ascii="Arial" w:hAnsi="Arial" w:eastAsia="宋体" w:cs="Arial"/>
                <w:color w:val="auto"/>
                <w:highlight w:val="none"/>
              </w:rPr>
            </w:pPr>
            <w:r>
              <w:rPr>
                <w:rFonts w:ascii="Arial" w:hAnsi="Arial" w:eastAsia="宋体" w:cs="Arial"/>
                <w:color w:val="auto"/>
                <w:highlight w:val="none"/>
              </w:rPr>
              <w:t>4支持用户自定义任何可以采集的指标并进行监控；</w:t>
            </w:r>
          </w:p>
          <w:p w14:paraId="2C9EC46A">
            <w:pPr>
              <w:snapToGrid w:val="0"/>
              <w:spacing w:line="300" w:lineRule="auto"/>
              <w:rPr>
                <w:rFonts w:ascii="Arial" w:hAnsi="Arial" w:eastAsia="宋体" w:cs="Arial"/>
                <w:color w:val="auto"/>
                <w:highlight w:val="none"/>
              </w:rPr>
            </w:pPr>
            <w:r>
              <w:rPr>
                <w:rFonts w:ascii="Arial" w:hAnsi="Arial" w:eastAsia="宋体" w:cs="Arial"/>
                <w:color w:val="auto"/>
                <w:highlight w:val="none"/>
              </w:rPr>
              <w:t>5支持对指标项进行全局设置（是否采集、是否监控、是否记录、采集周期）和个性化设置，个性化设置可以继承全局设置，优先级高于全局设置；</w:t>
            </w:r>
          </w:p>
          <w:p w14:paraId="3DA58CB7">
            <w:pPr>
              <w:snapToGrid w:val="0"/>
              <w:spacing w:line="300" w:lineRule="auto"/>
              <w:rPr>
                <w:rFonts w:ascii="Arial" w:hAnsi="Arial" w:eastAsia="宋体" w:cs="Arial"/>
                <w:color w:val="auto"/>
                <w:highlight w:val="none"/>
              </w:rPr>
            </w:pPr>
            <w:r>
              <w:rPr>
                <w:rFonts w:ascii="Arial" w:hAnsi="Arial" w:eastAsia="宋体" w:cs="Arial"/>
                <w:color w:val="auto"/>
                <w:highlight w:val="none"/>
              </w:rPr>
              <w:t>6支持多种资源添加方式：单个添加，IP段扫描批量添加，星状扫描，批量导入，离线添加；支持通过ICMP、SNMP(v1,v2c,v3)、WMI、SSH等多种协议对资源进行自动扫描；支持无agent监控基础应用、中间件、数据库；</w:t>
            </w:r>
          </w:p>
          <w:p w14:paraId="3E57BBB2">
            <w:pPr>
              <w:snapToGrid w:val="0"/>
              <w:spacing w:line="300" w:lineRule="auto"/>
              <w:rPr>
                <w:rFonts w:ascii="Arial" w:hAnsi="Arial" w:eastAsia="宋体" w:cs="Arial"/>
                <w:color w:val="auto"/>
                <w:highlight w:val="none"/>
              </w:rPr>
            </w:pPr>
            <w:r>
              <w:rPr>
                <w:rFonts w:ascii="Arial" w:hAnsi="Arial" w:eastAsia="宋体" w:cs="Arial"/>
                <w:color w:val="auto"/>
                <w:highlight w:val="none"/>
              </w:rPr>
              <w:t>7提供网络检测小工具，例如PING检测、Traceroute追踪、Telnet/SSH等；支持自研Agent采集监控；支持Telemetry协议采集监控；</w:t>
            </w:r>
          </w:p>
          <w:p w14:paraId="6552A975">
            <w:pPr>
              <w:snapToGrid w:val="0"/>
              <w:spacing w:line="300" w:lineRule="auto"/>
              <w:rPr>
                <w:rFonts w:ascii="Arial" w:hAnsi="Arial" w:eastAsia="宋体" w:cs="Arial"/>
                <w:color w:val="auto"/>
                <w:highlight w:val="none"/>
              </w:rPr>
            </w:pPr>
            <w:r>
              <w:rPr>
                <w:rFonts w:ascii="Arial" w:hAnsi="Arial" w:eastAsia="宋体" w:cs="Arial"/>
                <w:color w:val="auto"/>
                <w:highlight w:val="none"/>
              </w:rPr>
              <w:t xml:space="preserve">8支持自动获取有线设备的名称、描述、类型、制造商、型号、板卡、接口、SN号、软硬件版本、固件版本、堆叠信息、运行时间等信息；支持自动获取无线控制器(AC)的名称、制造商、型号、接口、在线AP、离线AP； </w:t>
            </w:r>
          </w:p>
          <w:p w14:paraId="2BDE6383">
            <w:pPr>
              <w:snapToGrid w:val="0"/>
              <w:spacing w:line="300" w:lineRule="auto"/>
              <w:rPr>
                <w:rFonts w:ascii="Arial" w:hAnsi="Arial" w:eastAsia="宋体" w:cs="Arial"/>
                <w:color w:val="auto"/>
                <w:highlight w:val="none"/>
              </w:rPr>
            </w:pPr>
            <w:r>
              <w:rPr>
                <w:rFonts w:ascii="Arial" w:hAnsi="Arial" w:eastAsia="宋体" w:cs="Arial"/>
                <w:color w:val="auto"/>
                <w:highlight w:val="none"/>
              </w:rPr>
              <w:t>9支持自动获取设备下连接终端的IP地址、MAC地址、账号、连接AP名称、无线工作模式、信号质量、频率、信道号、出入流量、连接时长；</w:t>
            </w:r>
          </w:p>
          <w:p w14:paraId="53643281">
            <w:pPr>
              <w:snapToGrid w:val="0"/>
              <w:spacing w:line="300" w:lineRule="auto"/>
              <w:rPr>
                <w:rFonts w:ascii="Arial" w:hAnsi="Arial" w:eastAsia="宋体" w:cs="Arial"/>
                <w:color w:val="auto"/>
                <w:highlight w:val="none"/>
              </w:rPr>
            </w:pPr>
            <w:r>
              <w:rPr>
                <w:rFonts w:ascii="Arial" w:hAnsi="Arial" w:eastAsia="宋体" w:cs="Arial"/>
                <w:color w:val="auto"/>
                <w:highlight w:val="none"/>
              </w:rPr>
              <w:t>10支持自动获取服务器的CPU型号、核数、内存大小、磁盘、分区、网卡等信息；支持自动获取服务器进程PID、名称、执行命令等信息；</w:t>
            </w:r>
          </w:p>
          <w:p w14:paraId="633E23CB">
            <w:pPr>
              <w:snapToGrid w:val="0"/>
              <w:spacing w:line="300" w:lineRule="auto"/>
              <w:rPr>
                <w:rFonts w:ascii="Arial" w:hAnsi="Arial" w:eastAsia="宋体" w:cs="Arial"/>
                <w:b w:val="0"/>
                <w:bCs w:val="0"/>
                <w:color w:val="auto"/>
                <w:highlight w:val="none"/>
              </w:rPr>
            </w:pPr>
            <w:r>
              <w:rPr>
                <w:rFonts w:ascii="Arial" w:hAnsi="Arial" w:eastAsia="宋体" w:cs="Arial"/>
                <w:color w:val="auto"/>
                <w:highlight w:val="none"/>
              </w:rPr>
              <w:t>11支持查看设备接口实时流量、出入包、出入丢包、出入广播包等</w:t>
            </w:r>
            <w:r>
              <w:rPr>
                <w:rFonts w:ascii="Arial" w:hAnsi="Arial" w:eastAsia="宋体" w:cs="Arial"/>
                <w:b w:val="0"/>
                <w:bCs w:val="0"/>
                <w:color w:val="auto"/>
                <w:szCs w:val="21"/>
                <w:highlight w:val="none"/>
              </w:rPr>
              <w:t>（供应商在响应文件中提供</w:t>
            </w:r>
            <w:r>
              <w:rPr>
                <w:rFonts w:hint="eastAsia" w:ascii="Arial" w:hAnsi="Arial" w:eastAsia="宋体" w:cs="Arial"/>
                <w:b w:val="0"/>
                <w:bCs w:val="0"/>
                <w:color w:val="auto"/>
                <w:szCs w:val="21"/>
                <w:highlight w:val="none"/>
              </w:rPr>
              <w:t>系统</w:t>
            </w:r>
            <w:r>
              <w:rPr>
                <w:rFonts w:ascii="Arial" w:hAnsi="Arial" w:eastAsia="宋体" w:cs="Arial"/>
                <w:b w:val="0"/>
                <w:bCs w:val="0"/>
                <w:color w:val="auto"/>
                <w:szCs w:val="21"/>
                <w:highlight w:val="none"/>
              </w:rPr>
              <w:t>截图</w:t>
            </w:r>
            <w:r>
              <w:rPr>
                <w:rFonts w:hint="eastAsia" w:ascii="Arial" w:hAnsi="Arial" w:eastAsia="宋体" w:cs="Arial"/>
                <w:b w:val="0"/>
                <w:bCs w:val="0"/>
                <w:color w:val="auto"/>
                <w:szCs w:val="21"/>
                <w:highlight w:val="none"/>
              </w:rPr>
              <w:t>证明</w:t>
            </w:r>
            <w:r>
              <w:rPr>
                <w:rFonts w:ascii="Arial" w:hAnsi="Arial" w:eastAsia="宋体" w:cs="Arial"/>
                <w:b w:val="0"/>
                <w:bCs w:val="0"/>
                <w:color w:val="auto"/>
                <w:szCs w:val="21"/>
                <w:highlight w:val="none"/>
              </w:rPr>
              <w:t>并加盖供应商公章）</w:t>
            </w:r>
            <w:r>
              <w:rPr>
                <w:rFonts w:ascii="Arial" w:hAnsi="Arial" w:eastAsia="宋体" w:cs="Arial"/>
                <w:b w:val="0"/>
                <w:bCs w:val="0"/>
                <w:color w:val="auto"/>
                <w:highlight w:val="none"/>
              </w:rPr>
              <w:t>。</w:t>
            </w:r>
          </w:p>
          <w:p w14:paraId="0E2F96F9">
            <w:pPr>
              <w:snapToGrid w:val="0"/>
              <w:spacing w:line="300" w:lineRule="auto"/>
              <w:rPr>
                <w:rFonts w:ascii="Arial" w:hAnsi="Arial" w:eastAsia="宋体" w:cs="Arial"/>
                <w:color w:val="auto"/>
                <w:highlight w:val="none"/>
              </w:rPr>
            </w:pPr>
            <w:r>
              <w:rPr>
                <w:rFonts w:ascii="Arial" w:hAnsi="Arial" w:eastAsia="宋体" w:cs="Arial"/>
                <w:color w:val="auto"/>
                <w:highlight w:val="none"/>
              </w:rPr>
              <w:t>12支持自定义Portal，将用户关注或常用的内容添加至Portal（统计图、排行、拓扑等块图）；支持自定多个Portal进行全屏轮播展示；支持精准自定义各个块图的数据源，时间段，提供日周月年图的跳转入口；</w:t>
            </w:r>
          </w:p>
          <w:p w14:paraId="0B7E215F">
            <w:pPr>
              <w:snapToGrid w:val="0"/>
              <w:spacing w:line="300" w:lineRule="auto"/>
              <w:rPr>
                <w:rFonts w:ascii="Arial" w:hAnsi="Arial" w:eastAsia="宋体" w:cs="Arial"/>
                <w:color w:val="auto"/>
                <w:highlight w:val="none"/>
              </w:rPr>
            </w:pPr>
            <w:r>
              <w:rPr>
                <w:rFonts w:ascii="Arial" w:hAnsi="Arial" w:eastAsia="宋体" w:cs="Arial"/>
                <w:color w:val="auto"/>
                <w:highlight w:val="none"/>
              </w:rPr>
              <w:t>13连接关系：支持自动计算设备间的连接关系，也可手动添加或编辑连接关系；支持NDP、CDP、MSTP、STP、LLDP等协议、支持复杂网络下融合MAC，ARP，XDP多元信息的网络拓扑自动发现算法计算拓扑连接关系；支持设备接口流量对比，辅助连接关系计算；</w:t>
            </w:r>
          </w:p>
          <w:p w14:paraId="10465391">
            <w:pPr>
              <w:snapToGrid w:val="0"/>
              <w:spacing w:line="300" w:lineRule="auto"/>
              <w:rPr>
                <w:rFonts w:ascii="Arial" w:hAnsi="Arial" w:eastAsia="宋体" w:cs="Arial"/>
                <w:color w:val="auto"/>
                <w:highlight w:val="none"/>
              </w:rPr>
            </w:pPr>
            <w:r>
              <w:rPr>
                <w:rFonts w:ascii="Arial" w:hAnsi="Arial" w:eastAsia="宋体" w:cs="Arial"/>
                <w:color w:val="auto"/>
                <w:highlight w:val="none"/>
              </w:rPr>
              <w:t>14拓扑展现：支持以不同颜色实时显示设备和链路的运行状态、历史流量、出入包、广播包等数据；支持自定义拓扑节点和链路的展现方式，包括名称、IP、备注、节点图标、文字样式、链路样式、背景图；支持层级拓扑，子拓扑中设备状态可透传至父拓扑；支持星状布局、树状布局等多种自动布局方式；支持拓扑图中设备分组展示。</w:t>
            </w:r>
          </w:p>
          <w:p w14:paraId="78F89F40">
            <w:pPr>
              <w:snapToGrid w:val="0"/>
              <w:spacing w:line="300" w:lineRule="auto"/>
              <w:rPr>
                <w:rFonts w:ascii="Arial" w:hAnsi="Arial" w:eastAsia="宋体" w:cs="Arial"/>
                <w:color w:val="auto"/>
                <w:highlight w:val="none"/>
              </w:rPr>
            </w:pPr>
            <w:r>
              <w:rPr>
                <w:rFonts w:ascii="Arial" w:hAnsi="Arial" w:eastAsia="宋体" w:cs="Arial"/>
                <w:color w:val="auto"/>
                <w:highlight w:val="none"/>
              </w:rPr>
              <w:t>15支持根据设备真实形态绘制的设备面板，设备接口、指示灯均与真实面板一致；支持直接在真实面板上开/关接口、查看接口状态、当前流量、历史流量图；</w:t>
            </w:r>
          </w:p>
          <w:p w14:paraId="3E7E0AF8">
            <w:pPr>
              <w:snapToGrid w:val="0"/>
              <w:spacing w:line="300" w:lineRule="auto"/>
              <w:rPr>
                <w:rFonts w:ascii="Arial" w:hAnsi="Arial" w:eastAsia="宋体" w:cs="Arial"/>
                <w:color w:val="auto"/>
                <w:highlight w:val="none"/>
              </w:rPr>
            </w:pPr>
            <w:r>
              <w:rPr>
                <w:rFonts w:ascii="Arial" w:hAnsi="Arial" w:eastAsia="宋体" w:cs="Arial"/>
                <w:color w:val="auto"/>
                <w:highlight w:val="none"/>
              </w:rPr>
              <w:t>16支持统计报表，监控资源按状态（正常、告警、无响应、未监控）、数量、厂商、类型进行统计；支持排行报表，对监控资源关键数据进行排行展示，如CPU内存利用率排行、接口流量排行、丢包延迟排行等；</w:t>
            </w:r>
          </w:p>
          <w:p w14:paraId="64FA6192">
            <w:pPr>
              <w:snapToGrid w:val="0"/>
              <w:spacing w:line="300" w:lineRule="auto"/>
              <w:rPr>
                <w:rFonts w:ascii="Arial" w:hAnsi="Arial" w:eastAsia="宋体" w:cs="Arial"/>
                <w:color w:val="auto"/>
                <w:highlight w:val="none"/>
              </w:rPr>
            </w:pPr>
            <w:r>
              <w:rPr>
                <w:rFonts w:ascii="Arial" w:hAnsi="Arial" w:eastAsia="宋体" w:cs="Arial"/>
                <w:color w:val="auto"/>
                <w:highlight w:val="none"/>
              </w:rPr>
              <w:t>17支持通过系统内阈值触发告警，支持通过设备日志触发告警，支持通过第三方系统推送触发告警；支持系统针对各类指标项预置合理的全局告警阈值；支持持续性告警，可设置某事件持续发生一段时间后产生告警；支持频率告警，可设置某事件在某段时间内发生次数达到阈值时产生告警；支持复合告警，由两个子条件组成，每个子条件中可设置不同告警类型和告警资源；当两个子条件同时满足时触发告警；支持智能基线告警，根据指标一周内的历史值智能计算动态基线范围，动态基线不同时刻阈值范围不同；</w:t>
            </w:r>
          </w:p>
          <w:p w14:paraId="000454CC">
            <w:pPr>
              <w:snapToGrid w:val="0"/>
              <w:spacing w:line="300" w:lineRule="auto"/>
              <w:rPr>
                <w:rFonts w:ascii="Arial" w:hAnsi="Arial" w:eastAsia="宋体" w:cs="Arial"/>
                <w:color w:val="auto"/>
                <w:highlight w:val="none"/>
              </w:rPr>
            </w:pPr>
            <w:r>
              <w:rPr>
                <w:rFonts w:ascii="Arial" w:hAnsi="Arial" w:eastAsia="宋体" w:cs="Arial"/>
                <w:color w:val="auto"/>
                <w:highlight w:val="none"/>
              </w:rPr>
              <w:t>18支持记录终端用户的IP地址、MAC地址、连接的三层设备、连接的二层设备、二层接口、AP、SSID、VLAN、位置描述、首次和最后发现时间、连接时长等；</w:t>
            </w:r>
          </w:p>
          <w:p w14:paraId="7D0E743C">
            <w:pPr>
              <w:snapToGrid w:val="0"/>
              <w:spacing w:line="300" w:lineRule="auto"/>
              <w:rPr>
                <w:rFonts w:ascii="Arial" w:hAnsi="Arial" w:eastAsia="宋体" w:cs="Arial"/>
                <w:b w:val="0"/>
                <w:bCs w:val="0"/>
                <w:color w:val="auto"/>
                <w:highlight w:val="none"/>
              </w:rPr>
            </w:pPr>
            <w:r>
              <w:rPr>
                <w:rFonts w:ascii="Arial" w:hAnsi="Arial" w:eastAsia="宋体" w:cs="Arial"/>
                <w:color w:val="auto"/>
                <w:highlight w:val="none"/>
              </w:rPr>
              <w:t>19支持与认证系统对接，获取终端对应的账号信息</w:t>
            </w:r>
            <w:r>
              <w:rPr>
                <w:rFonts w:ascii="Arial" w:hAnsi="Arial" w:eastAsia="宋体" w:cs="Arial"/>
                <w:b/>
                <w:bCs/>
                <w:color w:val="auto"/>
                <w:szCs w:val="21"/>
                <w:highlight w:val="none"/>
              </w:rPr>
              <w:t>（供应商在响应文件中</w:t>
            </w:r>
            <w:r>
              <w:rPr>
                <w:rFonts w:hint="eastAsia" w:ascii="Arial" w:hAnsi="Arial" w:eastAsia="宋体" w:cs="Arial"/>
                <w:b/>
                <w:bCs/>
                <w:color w:val="auto"/>
                <w:szCs w:val="21"/>
                <w:highlight w:val="none"/>
                <w:lang w:val="en-US" w:eastAsia="zh-CN"/>
              </w:rPr>
              <w:t>必须</w:t>
            </w:r>
            <w:r>
              <w:rPr>
                <w:rFonts w:ascii="Arial" w:hAnsi="Arial" w:eastAsia="宋体" w:cs="Arial"/>
                <w:b/>
                <w:bCs/>
                <w:color w:val="auto"/>
                <w:szCs w:val="21"/>
                <w:highlight w:val="none"/>
              </w:rPr>
              <w:t>提供</w:t>
            </w:r>
            <w:r>
              <w:rPr>
                <w:rFonts w:hint="eastAsia" w:ascii="Arial" w:hAnsi="Arial" w:eastAsia="宋体" w:cs="Arial"/>
                <w:b/>
                <w:bCs/>
                <w:color w:val="auto"/>
                <w:szCs w:val="21"/>
                <w:highlight w:val="none"/>
              </w:rPr>
              <w:t>系统</w:t>
            </w:r>
            <w:r>
              <w:rPr>
                <w:rFonts w:ascii="Arial" w:hAnsi="Arial" w:eastAsia="宋体" w:cs="Arial"/>
                <w:b/>
                <w:bCs/>
                <w:color w:val="auto"/>
                <w:szCs w:val="21"/>
                <w:highlight w:val="none"/>
              </w:rPr>
              <w:t>截图</w:t>
            </w:r>
            <w:r>
              <w:rPr>
                <w:rFonts w:hint="eastAsia" w:ascii="Arial" w:hAnsi="Arial" w:eastAsia="宋体" w:cs="Arial"/>
                <w:b/>
                <w:bCs/>
                <w:color w:val="auto"/>
                <w:szCs w:val="21"/>
                <w:highlight w:val="none"/>
              </w:rPr>
              <w:t>证明</w:t>
            </w:r>
            <w:r>
              <w:rPr>
                <w:rFonts w:ascii="Arial" w:hAnsi="Arial" w:eastAsia="宋体" w:cs="Arial"/>
                <w:b/>
                <w:bCs/>
                <w:color w:val="auto"/>
                <w:szCs w:val="21"/>
                <w:highlight w:val="none"/>
              </w:rPr>
              <w:t>并加盖供应商公章）</w:t>
            </w:r>
            <w:r>
              <w:rPr>
                <w:rFonts w:ascii="Arial" w:hAnsi="Arial" w:eastAsia="宋体" w:cs="Arial"/>
                <w:b w:val="0"/>
                <w:bCs w:val="0"/>
                <w:color w:val="auto"/>
                <w:highlight w:val="none"/>
              </w:rPr>
              <w:t>。</w:t>
            </w:r>
          </w:p>
          <w:p w14:paraId="481529D7">
            <w:pPr>
              <w:snapToGrid w:val="0"/>
              <w:spacing w:line="300" w:lineRule="auto"/>
              <w:rPr>
                <w:rFonts w:ascii="Arial" w:hAnsi="Arial" w:eastAsia="宋体" w:cs="Arial"/>
                <w:color w:val="auto"/>
                <w:highlight w:val="none"/>
              </w:rPr>
            </w:pPr>
            <w:r>
              <w:rPr>
                <w:rFonts w:ascii="Arial" w:hAnsi="Arial" w:eastAsia="宋体" w:cs="Arial"/>
                <w:color w:val="auto"/>
                <w:highlight w:val="none"/>
              </w:rPr>
              <w:t>20支持基于用户账号、终端IP、MAC、上联设备接口、AP、ONU、位置及墙插定位查询用户当前及历史入网信息，包含有线和无线，展示终端用户的上连设备、位置信息和最近出现时间；</w:t>
            </w:r>
          </w:p>
          <w:p w14:paraId="4B33A71D">
            <w:pPr>
              <w:snapToGrid w:val="0"/>
              <w:spacing w:line="300" w:lineRule="auto"/>
              <w:rPr>
                <w:rFonts w:ascii="Arial" w:hAnsi="Arial" w:eastAsia="宋体" w:cs="Arial"/>
                <w:color w:val="auto"/>
                <w:highlight w:val="none"/>
              </w:rPr>
            </w:pPr>
            <w:r>
              <w:rPr>
                <w:rFonts w:ascii="Arial" w:hAnsi="Arial" w:eastAsia="宋体" w:cs="Arial"/>
                <w:color w:val="auto"/>
                <w:highlight w:val="none"/>
              </w:rPr>
              <w:t>21支持子网的分组管理，包括自动发现子网信息、对子网IP地址使用率进行监控，支持手动添加系统无法扫描到的子网；支持与DHCP系统对接，获取动态IP和静态IP的分配情况；支持监控IP和终端MAC的对应关系，当发现对应关系不符时触发告警，告警可发送至接收人；</w:t>
            </w:r>
          </w:p>
          <w:p w14:paraId="4C4D2D15">
            <w:pPr>
              <w:snapToGrid w:val="0"/>
              <w:spacing w:line="300" w:lineRule="auto"/>
              <w:rPr>
                <w:rFonts w:ascii="Arial" w:hAnsi="Arial" w:eastAsia="宋体" w:cs="Arial"/>
                <w:color w:val="auto"/>
                <w:highlight w:val="none"/>
              </w:rPr>
            </w:pPr>
            <w:r>
              <w:rPr>
                <w:rFonts w:ascii="Arial" w:hAnsi="Arial" w:eastAsia="宋体" w:cs="Arial"/>
                <w:color w:val="auto"/>
                <w:highlight w:val="none"/>
              </w:rPr>
              <w:t>22 支持分级部署，实现总部/分支机构的两级管理模式；支持可开启/关闭的远程协助功能，无需用户提供其它远程连接方式即可提供技术支持服务；支持资源回收站功能，恢复误删资源；支持统一认证系统实现单点登录；提供与操作系统、数据库以及其他平台软件深度整合的统一介质，能够实现操作系统、数据库、其他平台软件和系统的统一安装；支持本地升级和远程升级；</w:t>
            </w:r>
          </w:p>
          <w:p w14:paraId="70C2C252">
            <w:pPr>
              <w:snapToGrid w:val="0"/>
              <w:spacing w:line="300" w:lineRule="auto"/>
              <w:rPr>
                <w:rFonts w:ascii="Arial" w:hAnsi="Arial" w:eastAsia="宋体" w:cs="Arial"/>
                <w:color w:val="auto"/>
                <w:highlight w:val="none"/>
              </w:rPr>
            </w:pPr>
            <w:r>
              <w:rPr>
                <w:rFonts w:ascii="Arial" w:hAnsi="Arial" w:eastAsia="宋体" w:cs="Arial"/>
                <w:color w:val="auto"/>
                <w:highlight w:val="none"/>
              </w:rPr>
              <w:t>23支持对系统用户进行角色管理和细分权限设置；支持自动定期备份系统配置，并可以使用配置文件进行恢复；支持设置系统的白名单，仅白名单中的IP可登录系统，确保系统安全；</w:t>
            </w:r>
          </w:p>
          <w:p w14:paraId="36F4A753">
            <w:pPr>
              <w:snapToGrid w:val="0"/>
              <w:spacing w:line="300" w:lineRule="auto"/>
              <w:rPr>
                <w:rFonts w:ascii="Arial" w:hAnsi="Arial" w:eastAsia="宋体" w:cs="Arial"/>
                <w:color w:val="auto"/>
                <w:highlight w:val="none"/>
              </w:rPr>
            </w:pPr>
            <w:r>
              <w:rPr>
                <w:rFonts w:ascii="Arial" w:hAnsi="Arial" w:eastAsia="宋体" w:cs="Arial"/>
                <w:color w:val="auto"/>
                <w:highlight w:val="none"/>
              </w:rPr>
              <w:t>24支持分级部署，实现总部/分支机构的两级管理模式；支持可开启/关闭的远程协助功能，无需用户提供其它远程连接方式即可提供技术支持服务；支持资源回收站功能，恢复误删资源；支持统一认证系统实现单点登录；提供与操作系统、数据库以及其他平台软件深度整合的统一介质，能够实现操作系统、数据库、其他平台软件和系统的统一安装；支持本地升级和远程升级；</w:t>
            </w:r>
          </w:p>
          <w:p w14:paraId="700A2159">
            <w:pPr>
              <w:snapToGrid w:val="0"/>
              <w:spacing w:line="300" w:lineRule="auto"/>
              <w:rPr>
                <w:rFonts w:ascii="Arial" w:hAnsi="Arial" w:eastAsia="宋体" w:cs="Arial"/>
                <w:color w:val="auto"/>
                <w:highlight w:val="none"/>
              </w:rPr>
            </w:pPr>
            <w:r>
              <w:rPr>
                <w:rFonts w:ascii="Arial" w:hAnsi="Arial" w:eastAsia="宋体" w:cs="Arial"/>
                <w:color w:val="auto"/>
                <w:highlight w:val="none"/>
              </w:rPr>
              <w:t>25系统实现对IP地址的分配与管理及IP地址全生命周期管理，能够制定灵活的地址分配策略，并支持根据终端及用户的特征应用不同的策略；提供丰富的第三方系统联动接口，辅助实现无感知认证及精准计费等效果；支持全面的日志统计和监控告警功能，发现异常及时告警，便于管理员对DHCP服务进行维护。支持基于网段CIDR的动态地址分配；支持对网段的单独和批量管理，包括但不限于：添加、删除、修改、导入等；支持对网段的分组管理，分组可多层嵌套；支持子网动态列表，可动态调整展示列内容</w:t>
            </w:r>
          </w:p>
          <w:p w14:paraId="0381582B">
            <w:pPr>
              <w:snapToGrid w:val="0"/>
              <w:spacing w:line="300" w:lineRule="auto"/>
              <w:rPr>
                <w:rFonts w:ascii="Arial" w:hAnsi="Arial" w:eastAsia="宋体" w:cs="Arial"/>
                <w:color w:val="auto"/>
                <w:highlight w:val="none"/>
              </w:rPr>
            </w:pPr>
            <w:r>
              <w:rPr>
                <w:rFonts w:ascii="Arial" w:hAnsi="Arial" w:eastAsia="宋体" w:cs="Arial"/>
                <w:color w:val="auto"/>
                <w:highlight w:val="none"/>
              </w:rPr>
              <w:t xml:space="preserve">26支持基于DHCP协议进行对地址分配行为进行自定义，至少包括：按照终端类型分配、按照终端厂商标识分配、按照终端硬件地址分配，而且可以通过Option82选项下发为不同交换机、不同VLAN的终端配置不同的地址策略。 </w:t>
            </w:r>
          </w:p>
          <w:p w14:paraId="335550A4">
            <w:pPr>
              <w:snapToGrid w:val="0"/>
              <w:spacing w:line="300" w:lineRule="auto"/>
              <w:rPr>
                <w:rFonts w:ascii="Arial" w:hAnsi="Arial" w:eastAsia="宋体" w:cs="Arial"/>
                <w:color w:val="auto"/>
                <w:highlight w:val="none"/>
              </w:rPr>
            </w:pPr>
            <w:r>
              <w:rPr>
                <w:rFonts w:ascii="Arial" w:hAnsi="Arial" w:eastAsia="宋体" w:cs="Arial"/>
                <w:color w:val="auto"/>
                <w:highlight w:val="none"/>
              </w:rPr>
              <w:t>27 支持自定义终端配置，至少包括：默认租约、最长租约、最短租约、PXE服务器、在线引导文件名、搜索域、NTP、SNTP、时区、主机名、网卡MTU、NIS域名、NIS服务器。支持基于全局、网段等的终端配置策略，支持最近生效关系，支持自定义下发选项编号和值。支持通过DHCP系统进行无线AP-AC自动注册，并且支持主流无线常见的无线控制器下发选项的模板，用户只需给出控制器IP即可配置AP-AC的自动注册。 支持共享网络，实现多个不连续的网络的堆叠扩容。DHCP服务器可以为原网络终端下发非本网络的地址，并且可以通过策略为终端下发共享网络配置；支持以共享网络为线索的统计，包括：在线用户数、可分配地址数、地址池容量、保留地址数等。</w:t>
            </w:r>
          </w:p>
          <w:p w14:paraId="662BAA62">
            <w:pPr>
              <w:snapToGrid w:val="0"/>
              <w:spacing w:line="300" w:lineRule="auto"/>
              <w:rPr>
                <w:rFonts w:ascii="Arial" w:hAnsi="Arial" w:eastAsia="宋体" w:cs="Arial"/>
                <w:color w:val="auto"/>
                <w:highlight w:val="none"/>
              </w:rPr>
            </w:pPr>
            <w:r>
              <w:rPr>
                <w:rFonts w:ascii="Arial" w:hAnsi="Arial" w:eastAsia="宋体" w:cs="Arial"/>
                <w:color w:val="auto"/>
                <w:highlight w:val="none"/>
              </w:rPr>
              <w:t>28支持终端DNS智能均衡，通过调整下发的DNS服务器选项中，多个DNS服务器的先后顺序，影响终端的首选DNS服务器和备选DNS服务器，进而影响终端进行DNS解析业务时的选择，最终达到均衡DNS服务器流量的效果。支持与DNS服务器联动，提供标准DDNS功能,允许指定域名称、密钥等参数，同本校内的DNS服务器进行联动，实现终端上线的动态域名注册。提供可在线更新的本地终端识别库，维保期内可提供至少1个月一次的在线终端识别库更新服务</w:t>
            </w:r>
            <w:r>
              <w:rPr>
                <w:rFonts w:ascii="Arial" w:hAnsi="Arial" w:eastAsia="宋体" w:cs="Arial"/>
                <w:b w:val="0"/>
                <w:bCs w:val="0"/>
                <w:color w:val="auto"/>
                <w:szCs w:val="21"/>
                <w:highlight w:val="none"/>
              </w:rPr>
              <w:t>（供应商在响应文件中</w:t>
            </w:r>
            <w:r>
              <w:rPr>
                <w:rFonts w:hint="eastAsia" w:ascii="Arial" w:hAnsi="Arial" w:eastAsia="宋体" w:cs="Arial"/>
                <w:b w:val="0"/>
                <w:bCs w:val="0"/>
                <w:color w:val="auto"/>
                <w:szCs w:val="21"/>
                <w:highlight w:val="none"/>
                <w:lang w:val="en-US" w:eastAsia="zh-CN"/>
              </w:rPr>
              <w:t>必须</w:t>
            </w:r>
            <w:r>
              <w:rPr>
                <w:rFonts w:ascii="Arial" w:hAnsi="Arial" w:eastAsia="宋体" w:cs="Arial"/>
                <w:b w:val="0"/>
                <w:bCs w:val="0"/>
                <w:color w:val="auto"/>
                <w:szCs w:val="21"/>
                <w:highlight w:val="none"/>
              </w:rPr>
              <w:t>提供</w:t>
            </w:r>
            <w:r>
              <w:rPr>
                <w:rFonts w:hint="eastAsia" w:ascii="Arial" w:hAnsi="Arial" w:eastAsia="宋体" w:cs="Arial"/>
                <w:b w:val="0"/>
                <w:bCs w:val="0"/>
                <w:color w:val="auto"/>
                <w:szCs w:val="21"/>
                <w:highlight w:val="none"/>
              </w:rPr>
              <w:t>在线更新平台和系统内功能</w:t>
            </w:r>
            <w:r>
              <w:rPr>
                <w:rFonts w:ascii="Arial" w:hAnsi="Arial" w:eastAsia="宋体" w:cs="Arial"/>
                <w:b w:val="0"/>
                <w:bCs w:val="0"/>
                <w:color w:val="auto"/>
                <w:szCs w:val="21"/>
                <w:highlight w:val="none"/>
              </w:rPr>
              <w:t>截图</w:t>
            </w:r>
            <w:r>
              <w:rPr>
                <w:rFonts w:hint="eastAsia" w:ascii="Arial" w:hAnsi="Arial" w:eastAsia="宋体" w:cs="Arial"/>
                <w:b w:val="0"/>
                <w:bCs w:val="0"/>
                <w:color w:val="auto"/>
                <w:szCs w:val="21"/>
                <w:highlight w:val="none"/>
              </w:rPr>
              <w:t>证明</w:t>
            </w:r>
            <w:r>
              <w:rPr>
                <w:rFonts w:ascii="Arial" w:hAnsi="Arial" w:eastAsia="宋体" w:cs="Arial"/>
                <w:b w:val="0"/>
                <w:bCs w:val="0"/>
                <w:color w:val="auto"/>
                <w:szCs w:val="21"/>
                <w:highlight w:val="none"/>
              </w:rPr>
              <w:t>并加盖供应商公章）</w:t>
            </w:r>
            <w:r>
              <w:rPr>
                <w:rFonts w:ascii="Arial" w:hAnsi="Arial" w:eastAsia="宋体" w:cs="Arial"/>
                <w:color w:val="auto"/>
                <w:highlight w:val="none"/>
              </w:rPr>
              <w:t>。支持DHCPv6，支持基于硬件地址、唯一标识符的动态地址分配；支持配置下发，至少包括：Renew时长、Rebind时长、DNS服务器、搜索域。支持前缀分配（PD），DHCPv6业务中，可以在地址池中规定PD地址段和非PD地址段。在PD地址段范围内，DHCPv6地址按照PD规则进行前缀分配；在非PD地址段范围内，进行普通地址下发。支持管理端的高可用部署，主管理端故障时，备管理端能够无缝衔接管理功能；用户通过统一虚拟IP进行访问，主备节点间数据自动同步，无需额外操作进行数据同步。支持两个DHCP服务器组成标准Failover协议集群；支持两个DHCP服务器组成HA集群，对外发布同一个IP地址。</w:t>
            </w:r>
          </w:p>
          <w:p w14:paraId="1B6B602A">
            <w:pPr>
              <w:snapToGrid w:val="0"/>
              <w:spacing w:line="300" w:lineRule="auto"/>
              <w:rPr>
                <w:rFonts w:ascii="Arial" w:hAnsi="Arial" w:eastAsia="宋体" w:cs="Arial"/>
                <w:color w:val="auto"/>
                <w:szCs w:val="21"/>
                <w:highlight w:val="none"/>
              </w:rPr>
            </w:pPr>
            <w:r>
              <w:rPr>
                <w:rFonts w:ascii="Arial" w:hAnsi="Arial" w:eastAsia="宋体" w:cs="Arial"/>
                <w:color w:val="auto"/>
                <w:highlight w:val="none"/>
              </w:rPr>
              <w:t>29系统应实现对域名的解析与管理，能够从多个维度制定灵活的动态解析策略，例如基于时间、线路、域名的策略，从而实现带宽资源的有效利用，确保解析结果安全可靠；提供从域名申请使用到过期的全生命周期管理；对DNS运行状态进行实时监控，发现异常及时告警，便于管理员对域名和DNS业务进行维护。</w:t>
            </w:r>
          </w:p>
        </w:tc>
      </w:tr>
      <w:tr w14:paraId="531F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Align w:val="center"/>
          </w:tcPr>
          <w:p w14:paraId="26C476EE">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200" w:type="dxa"/>
            <w:vAlign w:val="center"/>
          </w:tcPr>
          <w:p w14:paraId="259A812D">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服务材料筛选的机器学习系统软件</w:t>
            </w:r>
          </w:p>
        </w:tc>
        <w:tc>
          <w:tcPr>
            <w:tcW w:w="664" w:type="dxa"/>
            <w:gridSpan w:val="2"/>
            <w:vAlign w:val="center"/>
          </w:tcPr>
          <w:p w14:paraId="622B2293">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729" w:type="dxa"/>
            <w:vAlign w:val="center"/>
          </w:tcPr>
          <w:p w14:paraId="42B31B75">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593" w:type="dxa"/>
          </w:tcPr>
          <w:p w14:paraId="4E3A4CB3">
            <w:pPr>
              <w:snapToGrid w:val="0"/>
              <w:spacing w:line="300" w:lineRule="auto"/>
              <w:rPr>
                <w:rFonts w:ascii="Arial" w:hAnsi="Arial" w:eastAsia="宋体" w:cs="Arial"/>
                <w:color w:val="auto"/>
                <w:highlight w:val="none"/>
              </w:rPr>
            </w:pPr>
            <w:r>
              <w:rPr>
                <w:rFonts w:ascii="Arial" w:hAnsi="Arial" w:eastAsia="宋体" w:cs="Arial"/>
                <w:color w:val="auto"/>
                <w:highlight w:val="none"/>
              </w:rPr>
              <w:t>1用于快速准确筛选材料的软件。</w:t>
            </w:r>
          </w:p>
          <w:p w14:paraId="57673453">
            <w:pPr>
              <w:snapToGrid w:val="0"/>
              <w:spacing w:line="300" w:lineRule="auto"/>
              <w:rPr>
                <w:rFonts w:ascii="Arial" w:hAnsi="Arial" w:eastAsia="宋体" w:cs="Arial"/>
                <w:color w:val="auto"/>
                <w:highlight w:val="none"/>
              </w:rPr>
            </w:pPr>
            <w:r>
              <w:rPr>
                <w:rFonts w:ascii="Arial" w:hAnsi="Arial" w:eastAsia="宋体" w:cs="Arial"/>
                <w:color w:val="auto"/>
                <w:highlight w:val="none"/>
              </w:rPr>
              <w:t>2结合第一性原理计算和机器学习算法，训练结构-性能模型，利用训练模型快速预测材料性能，实现材料的有效筛选。在有限数量的第一性原理计算基础上，可以快速预测大批量材料结构对应的性能并筛选出优质结构。</w:t>
            </w:r>
          </w:p>
          <w:p w14:paraId="0034DC27">
            <w:pPr>
              <w:snapToGrid w:val="0"/>
              <w:spacing w:line="300" w:lineRule="auto"/>
              <w:rPr>
                <w:rFonts w:ascii="Arial" w:hAnsi="Arial" w:eastAsia="宋体" w:cs="Arial"/>
                <w:color w:val="auto"/>
                <w:szCs w:val="21"/>
                <w:highlight w:val="none"/>
              </w:rPr>
            </w:pPr>
            <w:r>
              <w:rPr>
                <w:rFonts w:ascii="Arial" w:hAnsi="Arial" w:eastAsia="宋体" w:cs="Arial"/>
                <w:color w:val="auto"/>
                <w:highlight w:val="none"/>
              </w:rPr>
              <w:t>3包含剔除训练集冗余结构、模型交叉验证等技术，提高模型预测的准确性</w:t>
            </w:r>
            <w:r>
              <w:rPr>
                <w:rFonts w:ascii="Arial" w:hAnsi="Arial" w:eastAsia="宋体" w:cs="Arial"/>
                <w:b/>
                <w:bCs/>
                <w:color w:val="auto"/>
                <w:highlight w:val="none"/>
              </w:rPr>
              <w:t>（供应商在响应文件中</w:t>
            </w:r>
            <w:r>
              <w:rPr>
                <w:rFonts w:hint="eastAsia" w:ascii="Arial" w:hAnsi="Arial" w:eastAsia="宋体" w:cs="Arial"/>
                <w:b/>
                <w:bCs/>
                <w:color w:val="auto"/>
                <w:highlight w:val="none"/>
                <w:lang w:val="en-US" w:eastAsia="zh-CN"/>
              </w:rPr>
              <w:t>必须</w:t>
            </w:r>
            <w:r>
              <w:rPr>
                <w:rFonts w:ascii="Arial" w:hAnsi="Arial" w:eastAsia="宋体" w:cs="Arial"/>
                <w:b/>
                <w:bCs/>
                <w:color w:val="auto"/>
                <w:highlight w:val="none"/>
              </w:rPr>
              <w:t>提供截图证明并加盖供应商公章）</w:t>
            </w:r>
            <w:r>
              <w:rPr>
                <w:rFonts w:ascii="Arial" w:hAnsi="Arial" w:eastAsia="宋体" w:cs="Arial"/>
                <w:b w:val="0"/>
                <w:bCs w:val="0"/>
                <w:color w:val="auto"/>
                <w:highlight w:val="none"/>
              </w:rPr>
              <w:t>。</w:t>
            </w:r>
          </w:p>
        </w:tc>
      </w:tr>
      <w:tr w14:paraId="7A5A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Align w:val="center"/>
          </w:tcPr>
          <w:p w14:paraId="14B47132">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1200" w:type="dxa"/>
            <w:vAlign w:val="center"/>
          </w:tcPr>
          <w:p w14:paraId="2B659EFE">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基于图神经网络的晶体结构表征及属性预测软件</w:t>
            </w:r>
          </w:p>
        </w:tc>
        <w:tc>
          <w:tcPr>
            <w:tcW w:w="664" w:type="dxa"/>
            <w:gridSpan w:val="2"/>
            <w:vAlign w:val="center"/>
          </w:tcPr>
          <w:p w14:paraId="3E02632A">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729" w:type="dxa"/>
            <w:vAlign w:val="center"/>
          </w:tcPr>
          <w:p w14:paraId="473616F4">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593" w:type="dxa"/>
          </w:tcPr>
          <w:p w14:paraId="47893C3E">
            <w:pPr>
              <w:snapToGrid w:val="0"/>
              <w:spacing w:line="300" w:lineRule="auto"/>
              <w:rPr>
                <w:rFonts w:ascii="Arial" w:hAnsi="Arial" w:eastAsia="宋体" w:cs="Arial"/>
                <w:color w:val="auto"/>
                <w:highlight w:val="none"/>
              </w:rPr>
            </w:pPr>
            <w:r>
              <w:rPr>
                <w:rFonts w:ascii="Arial" w:hAnsi="Arial" w:eastAsia="宋体" w:cs="Arial"/>
                <w:color w:val="auto"/>
                <w:highlight w:val="none"/>
              </w:rPr>
              <w:t>1基于图神经网络的晶体结构特征计算方法，并为该方法的使用提供模型训练框架。</w:t>
            </w:r>
          </w:p>
          <w:p w14:paraId="78A06B9A">
            <w:pPr>
              <w:snapToGrid w:val="0"/>
              <w:spacing w:line="300" w:lineRule="auto"/>
              <w:rPr>
                <w:rFonts w:ascii="Arial" w:hAnsi="Arial" w:eastAsia="宋体" w:cs="Arial"/>
                <w:color w:val="auto"/>
                <w:highlight w:val="none"/>
              </w:rPr>
            </w:pPr>
            <w:r>
              <w:rPr>
                <w:rFonts w:ascii="Arial" w:hAnsi="Arial" w:eastAsia="宋体" w:cs="Arial"/>
                <w:color w:val="auto"/>
                <w:highlight w:val="none"/>
              </w:rPr>
              <w:t>2包含原子、键长及键角的相互作用，尤其是三体之间键角作用向量的引入，准确地捕获隐含的结构信息，提高材料属性预测模型的精度。</w:t>
            </w:r>
          </w:p>
          <w:p w14:paraId="4181A2A8">
            <w:pPr>
              <w:snapToGrid w:val="0"/>
              <w:spacing w:line="300" w:lineRule="auto"/>
              <w:rPr>
                <w:rFonts w:ascii="Arial" w:hAnsi="Arial" w:eastAsia="宋体" w:cs="Arial"/>
                <w:color w:val="auto"/>
                <w:szCs w:val="21"/>
                <w:highlight w:val="none"/>
              </w:rPr>
            </w:pPr>
            <w:r>
              <w:rPr>
                <w:rFonts w:ascii="Arial" w:hAnsi="Arial" w:eastAsia="宋体" w:cs="Arial"/>
                <w:color w:val="auto"/>
                <w:highlight w:val="none"/>
              </w:rPr>
              <w:t>3能够适应所有材料结构体系。</w:t>
            </w:r>
          </w:p>
        </w:tc>
      </w:tr>
      <w:tr w14:paraId="79EA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Align w:val="center"/>
          </w:tcPr>
          <w:p w14:paraId="0383C71B">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4</w:t>
            </w:r>
          </w:p>
        </w:tc>
        <w:tc>
          <w:tcPr>
            <w:tcW w:w="1200" w:type="dxa"/>
            <w:vAlign w:val="center"/>
          </w:tcPr>
          <w:p w14:paraId="0F98C76D">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基于原子环境的结构特征提取软件</w:t>
            </w:r>
          </w:p>
        </w:tc>
        <w:tc>
          <w:tcPr>
            <w:tcW w:w="664" w:type="dxa"/>
            <w:gridSpan w:val="2"/>
            <w:vAlign w:val="center"/>
          </w:tcPr>
          <w:p w14:paraId="74E5ADBC">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729" w:type="dxa"/>
            <w:vAlign w:val="center"/>
          </w:tcPr>
          <w:p w14:paraId="7CE66CB9">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593" w:type="dxa"/>
          </w:tcPr>
          <w:p w14:paraId="2C784BA0">
            <w:pPr>
              <w:snapToGrid w:val="0"/>
              <w:spacing w:line="300" w:lineRule="auto"/>
              <w:rPr>
                <w:rFonts w:ascii="Arial" w:hAnsi="Arial" w:eastAsia="宋体" w:cs="Arial"/>
                <w:color w:val="auto"/>
                <w:highlight w:val="none"/>
              </w:rPr>
            </w:pPr>
            <w:r>
              <w:rPr>
                <w:rFonts w:ascii="Arial" w:hAnsi="Arial" w:eastAsia="宋体" w:cs="Arial"/>
                <w:color w:val="auto"/>
                <w:highlight w:val="none"/>
              </w:rPr>
              <w:t>1用于材料结构特征的提取，特征描述方法利用径向函数和角对称函数对原子周围环境进行准确的描述.</w:t>
            </w:r>
          </w:p>
          <w:p w14:paraId="3030995F">
            <w:pPr>
              <w:snapToGrid w:val="0"/>
              <w:spacing w:line="300" w:lineRule="auto"/>
              <w:rPr>
                <w:rFonts w:ascii="Arial" w:hAnsi="Arial" w:eastAsia="宋体" w:cs="Arial"/>
                <w:color w:val="auto"/>
                <w:highlight w:val="none"/>
              </w:rPr>
            </w:pPr>
            <w:r>
              <w:rPr>
                <w:rFonts w:ascii="Arial" w:hAnsi="Arial" w:eastAsia="宋体" w:cs="Arial"/>
                <w:color w:val="auto"/>
                <w:highlight w:val="none"/>
              </w:rPr>
              <w:t>2软件支持函数表达式的展开形式采用切比雪夫第一多项式和对称函数两种形式，兼顾计算效率与描述准确性的基础上，支持所有结构的特征提取。</w:t>
            </w:r>
          </w:p>
          <w:p w14:paraId="0D1965D1">
            <w:pPr>
              <w:snapToGrid w:val="0"/>
              <w:spacing w:line="300" w:lineRule="auto"/>
              <w:rPr>
                <w:rFonts w:ascii="Arial" w:hAnsi="Arial" w:eastAsia="宋体" w:cs="Arial"/>
                <w:color w:val="auto"/>
                <w:szCs w:val="21"/>
                <w:highlight w:val="none"/>
              </w:rPr>
            </w:pPr>
            <w:r>
              <w:rPr>
                <w:rFonts w:ascii="Arial" w:hAnsi="Arial" w:eastAsia="宋体" w:cs="Arial"/>
                <w:color w:val="auto"/>
                <w:highlight w:val="none"/>
              </w:rPr>
              <w:t>3输入包含晶体结构信息的文件，利用该软件可以获取用于神经网路训练的结构特征向量。</w:t>
            </w:r>
          </w:p>
        </w:tc>
      </w:tr>
      <w:tr w14:paraId="59CE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48" w:type="dxa"/>
            <w:vAlign w:val="center"/>
          </w:tcPr>
          <w:p w14:paraId="42AB6EDD">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5</w:t>
            </w:r>
          </w:p>
        </w:tc>
        <w:tc>
          <w:tcPr>
            <w:tcW w:w="1200" w:type="dxa"/>
            <w:vAlign w:val="center"/>
          </w:tcPr>
          <w:p w14:paraId="06E3D464">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晶体结构预测软件</w:t>
            </w:r>
          </w:p>
        </w:tc>
        <w:tc>
          <w:tcPr>
            <w:tcW w:w="664" w:type="dxa"/>
            <w:gridSpan w:val="2"/>
            <w:vAlign w:val="center"/>
          </w:tcPr>
          <w:p w14:paraId="2ABE101C">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729" w:type="dxa"/>
            <w:vAlign w:val="center"/>
          </w:tcPr>
          <w:p w14:paraId="0B9AF1CA">
            <w:pPr>
              <w:adjustRightInd w:val="0"/>
              <w:snapToGrid w:val="0"/>
              <w:jc w:val="center"/>
              <w:rPr>
                <w:rFonts w:ascii="Arial" w:hAnsi="Arial" w:eastAsia="宋体" w:cs="Arial"/>
                <w:color w:val="auto"/>
                <w:szCs w:val="21"/>
                <w:highlight w:val="none"/>
              </w:rPr>
            </w:pPr>
            <w:r>
              <w:rPr>
                <w:rFonts w:ascii="Arial" w:hAnsi="Arial" w:eastAsia="宋体" w:cs="Arial"/>
                <w:color w:val="auto"/>
                <w:szCs w:val="21"/>
                <w:highlight w:val="none"/>
              </w:rPr>
              <w:t>套</w:t>
            </w:r>
          </w:p>
        </w:tc>
        <w:tc>
          <w:tcPr>
            <w:tcW w:w="6593" w:type="dxa"/>
          </w:tcPr>
          <w:p w14:paraId="458A8660">
            <w:pPr>
              <w:snapToGrid w:val="0"/>
              <w:spacing w:line="300" w:lineRule="auto"/>
              <w:rPr>
                <w:rFonts w:ascii="Arial" w:hAnsi="Arial" w:eastAsia="宋体" w:cs="Arial"/>
                <w:color w:val="auto"/>
                <w:highlight w:val="none"/>
              </w:rPr>
            </w:pPr>
            <w:r>
              <w:rPr>
                <w:rFonts w:ascii="Arial" w:hAnsi="Arial" w:eastAsia="宋体" w:cs="Arial"/>
                <w:color w:val="auto"/>
                <w:highlight w:val="none"/>
              </w:rPr>
              <w:t>1为材料研究提供晶体结构信息的软件，</w:t>
            </w:r>
          </w:p>
          <w:p w14:paraId="1D414D88">
            <w:pPr>
              <w:snapToGrid w:val="0"/>
              <w:spacing w:line="300" w:lineRule="auto"/>
              <w:rPr>
                <w:rFonts w:ascii="Arial" w:hAnsi="Arial" w:eastAsia="宋体" w:cs="Arial"/>
                <w:color w:val="auto"/>
                <w:highlight w:val="none"/>
              </w:rPr>
            </w:pPr>
            <w:r>
              <w:rPr>
                <w:rFonts w:ascii="Arial" w:hAnsi="Arial" w:eastAsia="宋体" w:cs="Arial"/>
                <w:color w:val="auto"/>
                <w:highlight w:val="none"/>
              </w:rPr>
              <w:t>2采用遗传算法产生初始结构，基于第一性原理计算数据训练特定模型，并将该模型用于材料晶体结构的预测和筛选。</w:t>
            </w:r>
          </w:p>
          <w:p w14:paraId="3017DAF3">
            <w:pPr>
              <w:snapToGrid w:val="0"/>
              <w:spacing w:line="300" w:lineRule="auto"/>
              <w:rPr>
                <w:rFonts w:ascii="Arial" w:hAnsi="Arial" w:eastAsia="宋体" w:cs="Arial"/>
                <w:color w:val="auto"/>
                <w:szCs w:val="21"/>
                <w:highlight w:val="none"/>
              </w:rPr>
            </w:pPr>
            <w:r>
              <w:rPr>
                <w:rFonts w:ascii="Arial" w:hAnsi="Arial" w:eastAsia="宋体" w:cs="Arial"/>
                <w:color w:val="auto"/>
                <w:highlight w:val="none"/>
              </w:rPr>
              <w:t>3采用并行化技术处理产生初始结构和应用模型预测材料性质的过程，提高软件的运行效率。</w:t>
            </w:r>
          </w:p>
        </w:tc>
      </w:tr>
      <w:tr w14:paraId="7DF4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4" w:type="dxa"/>
            <w:gridSpan w:val="6"/>
            <w:vAlign w:val="center"/>
          </w:tcPr>
          <w:p w14:paraId="0930C444">
            <w:pPr>
              <w:rPr>
                <w:rFonts w:ascii="Arial" w:hAnsi="Arial" w:eastAsia="宋体" w:cs="Arial"/>
                <w:b/>
                <w:color w:val="auto"/>
                <w:szCs w:val="21"/>
                <w:highlight w:val="none"/>
              </w:rPr>
            </w:pPr>
            <w:r>
              <w:rPr>
                <w:rFonts w:ascii="Arial" w:hAnsi="Arial" w:eastAsia="宋体" w:cs="Arial"/>
                <w:b/>
                <w:color w:val="auto"/>
                <w:szCs w:val="21"/>
                <w:highlight w:val="none"/>
              </w:rPr>
              <w:t>预算金额(元)：本项目采购</w:t>
            </w:r>
            <w:r>
              <w:rPr>
                <w:rFonts w:ascii="Arial" w:hAnsi="Arial" w:eastAsia="宋体" w:cs="Arial"/>
                <w:b/>
                <w:color w:val="auto"/>
                <w:szCs w:val="21"/>
                <w:highlight w:val="none"/>
              </w:rPr>
              <w:t>预算为</w:t>
            </w:r>
            <w:r>
              <w:rPr>
                <w:rFonts w:hint="eastAsia" w:ascii="Arial" w:hAnsi="Arial" w:eastAsia="宋体" w:cs="Arial"/>
                <w:b/>
                <w:color w:val="auto"/>
                <w:szCs w:val="21"/>
                <w:highlight w:val="none"/>
              </w:rPr>
              <w:t>：人民币捌拾万元整（¥800000.00）</w:t>
            </w:r>
            <w:r>
              <w:rPr>
                <w:rFonts w:ascii="Arial" w:hAnsi="Arial" w:eastAsia="宋体" w:cs="Arial"/>
                <w:b/>
                <w:color w:val="auto"/>
                <w:szCs w:val="21"/>
                <w:highlight w:val="none"/>
              </w:rPr>
              <w:t>，响应报价超采购预算的，作响应无效处理。</w:t>
            </w:r>
          </w:p>
        </w:tc>
      </w:tr>
      <w:tr w14:paraId="5408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4237A3D6">
            <w:pPr>
              <w:rPr>
                <w:rFonts w:ascii="Arial" w:hAnsi="Arial" w:eastAsia="宋体" w:cs="Arial"/>
                <w:b/>
                <w:color w:val="auto"/>
                <w:szCs w:val="21"/>
                <w:highlight w:val="none"/>
              </w:rPr>
            </w:pPr>
            <w:r>
              <w:rPr>
                <w:rFonts w:ascii="Arial" w:hAnsi="Arial" w:eastAsia="宋体" w:cs="Arial"/>
                <w:b/>
                <w:color w:val="auto"/>
                <w:szCs w:val="21"/>
                <w:highlight w:val="none"/>
              </w:rPr>
              <w:t>二、核心产品：为第</w:t>
            </w:r>
            <w:r>
              <w:rPr>
                <w:rFonts w:ascii="Arial" w:hAnsi="Arial" w:eastAsia="宋体" w:cs="Arial"/>
                <w:b/>
                <w:color w:val="auto"/>
                <w:szCs w:val="21"/>
                <w:highlight w:val="none"/>
                <w:u w:val="single"/>
              </w:rPr>
              <w:t xml:space="preserve"> </w:t>
            </w:r>
            <w:r>
              <w:rPr>
                <w:rFonts w:hint="eastAsia" w:ascii="Arial" w:hAnsi="Arial" w:eastAsia="宋体" w:cs="Arial"/>
                <w:b/>
                <w:color w:val="auto"/>
                <w:szCs w:val="21"/>
                <w:highlight w:val="none"/>
                <w:u w:val="single"/>
              </w:rPr>
              <w:t>1</w:t>
            </w:r>
            <w:r>
              <w:rPr>
                <w:rFonts w:ascii="Arial" w:hAnsi="Arial" w:eastAsia="宋体" w:cs="Arial"/>
                <w:b/>
                <w:color w:val="auto"/>
                <w:szCs w:val="21"/>
                <w:highlight w:val="none"/>
                <w:u w:val="single"/>
              </w:rPr>
              <w:t xml:space="preserve"> </w:t>
            </w:r>
            <w:r>
              <w:rPr>
                <w:rFonts w:ascii="Arial" w:hAnsi="Arial" w:eastAsia="宋体" w:cs="Arial"/>
                <w:b/>
                <w:color w:val="auto"/>
                <w:szCs w:val="21"/>
                <w:highlight w:val="none"/>
              </w:rPr>
              <w:t>项号标的</w:t>
            </w:r>
            <w:r>
              <w:rPr>
                <w:rFonts w:ascii="Arial" w:hAnsi="Arial" w:eastAsia="宋体" w:cs="Arial"/>
                <w:b/>
                <w:color w:val="auto"/>
                <w:szCs w:val="21"/>
                <w:highlight w:val="none"/>
                <w:u w:val="single"/>
              </w:rPr>
              <w:t>“</w:t>
            </w:r>
            <w:r>
              <w:rPr>
                <w:rFonts w:hint="eastAsia" w:ascii="Arial" w:hAnsi="Arial" w:eastAsia="宋体" w:cs="Arial"/>
                <w:b/>
                <w:color w:val="auto"/>
                <w:szCs w:val="21"/>
                <w:highlight w:val="none"/>
                <w:u w:val="single"/>
              </w:rPr>
              <w:t>IT管理系统</w:t>
            </w:r>
            <w:r>
              <w:rPr>
                <w:rFonts w:ascii="Arial" w:hAnsi="Arial" w:eastAsia="宋体" w:cs="Arial"/>
                <w:b/>
                <w:color w:val="auto"/>
                <w:szCs w:val="21"/>
                <w:highlight w:val="none"/>
                <w:u w:val="single"/>
              </w:rPr>
              <w:t>”</w:t>
            </w:r>
            <w:r>
              <w:rPr>
                <w:rFonts w:ascii="Arial" w:hAnsi="Arial" w:eastAsia="宋体" w:cs="Arial"/>
                <w:b/>
                <w:color w:val="auto"/>
                <w:szCs w:val="21"/>
                <w:highlight w:val="none"/>
              </w:rPr>
              <w:t>。</w:t>
            </w:r>
          </w:p>
        </w:tc>
      </w:tr>
      <w:tr w14:paraId="6B8C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5F100F9B">
            <w:pPr>
              <w:rPr>
                <w:rFonts w:ascii="Arial" w:hAnsi="Arial" w:eastAsia="宋体" w:cs="Arial"/>
                <w:b/>
                <w:color w:val="auto"/>
                <w:szCs w:val="21"/>
                <w:highlight w:val="none"/>
              </w:rPr>
            </w:pPr>
            <w:r>
              <w:rPr>
                <w:rFonts w:ascii="Arial" w:hAnsi="Arial" w:eastAsia="宋体" w:cs="Arial"/>
                <w:b/>
                <w:color w:val="auto"/>
                <w:szCs w:val="21"/>
                <w:highlight w:val="none"/>
              </w:rPr>
              <w:t>三、商务要求</w:t>
            </w:r>
          </w:p>
        </w:tc>
      </w:tr>
      <w:tr w14:paraId="7D9C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43C61214">
            <w:pPr>
              <w:jc w:val="center"/>
              <w:rPr>
                <w:rFonts w:ascii="Arial" w:hAnsi="Arial" w:eastAsia="宋体" w:cs="Arial"/>
                <w:color w:val="auto"/>
                <w:szCs w:val="21"/>
                <w:highlight w:val="none"/>
              </w:rPr>
            </w:pPr>
            <w:r>
              <w:rPr>
                <w:rFonts w:hint="eastAsia" w:ascii="Arial" w:hAnsi="Arial" w:eastAsia="宋体" w:cs="Arial"/>
                <w:color w:val="auto"/>
                <w:szCs w:val="21"/>
                <w:highlight w:val="none"/>
              </w:rPr>
              <w:t>（一）免费保修期</w:t>
            </w:r>
          </w:p>
        </w:tc>
        <w:tc>
          <w:tcPr>
            <w:tcW w:w="7986" w:type="dxa"/>
            <w:gridSpan w:val="4"/>
          </w:tcPr>
          <w:p w14:paraId="3E9F88F5">
            <w:pPr>
              <w:rPr>
                <w:rFonts w:ascii="Arial" w:hAnsi="Arial" w:eastAsia="宋体" w:cs="Arial"/>
                <w:color w:val="auto"/>
                <w:szCs w:val="21"/>
                <w:highlight w:val="none"/>
              </w:rPr>
            </w:pPr>
            <w:r>
              <w:rPr>
                <w:rFonts w:hint="eastAsia" w:ascii="Arial" w:hAnsi="Arial" w:eastAsia="宋体" w:cs="Arial"/>
                <w:color w:val="auto"/>
                <w:szCs w:val="21"/>
                <w:highlight w:val="none"/>
              </w:rPr>
              <w:t>1．免费保修期：按国家有关产品“三包”规定执行“三包”，免费保修期最短不得少于</w:t>
            </w:r>
            <w:r>
              <w:rPr>
                <w:rFonts w:hint="eastAsia" w:ascii="Arial" w:hAnsi="Arial" w:eastAsia="宋体" w:cs="Arial"/>
                <w:color w:val="auto"/>
                <w:szCs w:val="21"/>
                <w:highlight w:val="none"/>
                <w:lang w:val="en-US" w:eastAsia="zh-CN"/>
              </w:rPr>
              <w:t>三</w:t>
            </w:r>
            <w:r>
              <w:rPr>
                <w:rFonts w:hint="eastAsia" w:ascii="Arial" w:hAnsi="Arial" w:eastAsia="宋体" w:cs="Arial"/>
                <w:color w:val="auto"/>
                <w:szCs w:val="21"/>
                <w:highlight w:val="none"/>
              </w:rPr>
              <w:t>年（免费保修期从设备验收合格之日起计算，项目要求及技术需求中规定的，按规定执行）。免费保修期内免费上门维修（免收维修费和元器件费）、免费更换零部件，并提供终身维修服务。</w:t>
            </w:r>
          </w:p>
        </w:tc>
      </w:tr>
      <w:tr w14:paraId="5C19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5420DEF6">
            <w:pPr>
              <w:jc w:val="center"/>
              <w:rPr>
                <w:rFonts w:ascii="Arial" w:hAnsi="Arial" w:eastAsia="宋体" w:cs="Arial"/>
                <w:color w:val="auto"/>
                <w:szCs w:val="21"/>
                <w:highlight w:val="none"/>
              </w:rPr>
            </w:pPr>
            <w:r>
              <w:rPr>
                <w:rFonts w:hint="eastAsia" w:ascii="Arial" w:hAnsi="Arial" w:eastAsia="宋体" w:cs="Arial"/>
                <w:color w:val="auto"/>
                <w:szCs w:val="21"/>
                <w:highlight w:val="none"/>
              </w:rPr>
              <w:t>（二）售后服务要求</w:t>
            </w:r>
          </w:p>
        </w:tc>
        <w:tc>
          <w:tcPr>
            <w:tcW w:w="7986" w:type="dxa"/>
            <w:gridSpan w:val="4"/>
          </w:tcPr>
          <w:p w14:paraId="45BE46D0">
            <w:pPr>
              <w:rPr>
                <w:rFonts w:hint="eastAsia" w:ascii="Arial" w:hAnsi="Arial" w:eastAsia="宋体" w:cs="Arial"/>
                <w:color w:val="auto"/>
                <w:szCs w:val="21"/>
                <w:highlight w:val="none"/>
              </w:rPr>
            </w:pPr>
            <w:r>
              <w:rPr>
                <w:rFonts w:hint="eastAsia" w:ascii="Arial" w:hAnsi="Arial" w:eastAsia="宋体" w:cs="Arial"/>
                <w:color w:val="auto"/>
                <w:szCs w:val="21"/>
                <w:highlight w:val="none"/>
              </w:rPr>
              <w:t>1．免费送货上门，免费按采购人要求安装调试，免费技术培训，直至操作人员熟练操作产品的各项功能。</w:t>
            </w:r>
          </w:p>
          <w:p w14:paraId="62B1B65F">
            <w:pPr>
              <w:rPr>
                <w:rFonts w:hint="eastAsia" w:ascii="Arial" w:hAnsi="Arial" w:eastAsia="宋体" w:cs="Arial"/>
                <w:color w:val="auto"/>
                <w:szCs w:val="21"/>
                <w:highlight w:val="none"/>
              </w:rPr>
            </w:pPr>
            <w:r>
              <w:rPr>
                <w:rFonts w:hint="eastAsia" w:ascii="Arial" w:hAnsi="Arial" w:eastAsia="宋体" w:cs="Arial"/>
                <w:color w:val="auto"/>
                <w:szCs w:val="21"/>
                <w:highlight w:val="none"/>
              </w:rPr>
              <w:t>2.售后服务要求：①免费保修期内接到报障电话在承诺时间内派工程技术人员上门维修解决问题，如果需要更换配件的，要求更换的配件应跟被更换的品牌、类型相一致或者是同类同档次的替代品，后者需征得用户方管理人员同意；②若</w:t>
            </w:r>
            <w:r>
              <w:rPr>
                <w:rFonts w:hint="eastAsia" w:ascii="Arial" w:hAnsi="Arial" w:eastAsia="宋体" w:cs="Arial"/>
                <w:color w:val="auto"/>
                <w:szCs w:val="21"/>
                <w:highlight w:val="none"/>
                <w:lang w:val="zh-CN"/>
              </w:rPr>
              <w:t>产品自带</w:t>
            </w:r>
            <w:r>
              <w:rPr>
                <w:rFonts w:hint="eastAsia" w:ascii="Arial" w:hAnsi="Arial" w:eastAsia="宋体" w:cs="Arial"/>
                <w:color w:val="auto"/>
                <w:szCs w:val="21"/>
                <w:highlight w:val="none"/>
              </w:rPr>
              <w:t>软件的，则须提供免费保修期内免费升级服务。③其余按厂家承诺执行。</w:t>
            </w:r>
          </w:p>
          <w:p w14:paraId="7BB7531C">
            <w:pPr>
              <w:rPr>
                <w:rFonts w:hint="eastAsia" w:ascii="Arial" w:hAnsi="Arial" w:eastAsia="宋体" w:cs="Arial"/>
                <w:color w:val="auto"/>
                <w:szCs w:val="21"/>
                <w:highlight w:val="none"/>
              </w:rPr>
            </w:pPr>
            <w:r>
              <w:rPr>
                <w:rFonts w:hint="eastAsia" w:ascii="Arial" w:hAnsi="Arial" w:eastAsia="宋体" w:cs="Arial"/>
                <w:color w:val="auto"/>
                <w:szCs w:val="21"/>
                <w:highlight w:val="none"/>
                <w:lang w:val="en-US" w:eastAsia="zh-CN"/>
              </w:rPr>
              <w:t>3.</w:t>
            </w:r>
            <w:r>
              <w:rPr>
                <w:rFonts w:hint="eastAsia" w:ascii="Arial" w:hAnsi="Arial" w:eastAsia="宋体" w:cs="Arial"/>
                <w:color w:val="auto"/>
                <w:szCs w:val="21"/>
                <w:highlight w:val="none"/>
              </w:rPr>
              <w:t>质保期（三年）内运维服务：软硬件设备部署安装调试。日常巡检、设备运营维护、突发故障现场解决问题（工程师7天*24小时*5分钟到现场）或提供驻场服务。</w:t>
            </w:r>
          </w:p>
          <w:p w14:paraId="0E29E755">
            <w:pPr>
              <w:rPr>
                <w:rFonts w:hint="eastAsia" w:ascii="Arial" w:hAnsi="Arial" w:eastAsia="等线" w:cs="Arial"/>
                <w:color w:val="auto"/>
                <w:szCs w:val="21"/>
                <w:highlight w:val="none"/>
                <w:lang w:eastAsia="zh-CN"/>
              </w:rPr>
            </w:pPr>
            <w:r>
              <w:rPr>
                <w:rFonts w:hint="eastAsia" w:ascii="Arial" w:hAnsi="Arial" w:eastAsia="宋体" w:cs="Arial"/>
                <w:color w:val="auto"/>
                <w:szCs w:val="21"/>
                <w:highlight w:val="none"/>
                <w:lang w:val="en-US" w:eastAsia="zh-CN"/>
              </w:rPr>
              <w:t>4.</w:t>
            </w:r>
            <w:r>
              <w:rPr>
                <w:rFonts w:hint="eastAsia" w:ascii="Arial" w:hAnsi="Arial" w:eastAsia="宋体" w:cs="Arial"/>
                <w:color w:val="auto"/>
                <w:szCs w:val="21"/>
                <w:highlight w:val="none"/>
              </w:rPr>
              <w:t>除学院内使用外，可共享全校使用</w:t>
            </w:r>
            <w:r>
              <w:rPr>
                <w:rFonts w:hint="eastAsia" w:ascii="Arial" w:hAnsi="Arial" w:eastAsia="宋体" w:cs="Arial"/>
                <w:color w:val="auto"/>
                <w:szCs w:val="21"/>
                <w:highlight w:val="none"/>
                <w:lang w:eastAsia="zh-CN"/>
              </w:rPr>
              <w:t>。</w:t>
            </w:r>
          </w:p>
        </w:tc>
      </w:tr>
      <w:tr w14:paraId="005C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032EB2B4">
            <w:pPr>
              <w:jc w:val="center"/>
              <w:rPr>
                <w:rFonts w:ascii="Arial" w:hAnsi="Arial" w:eastAsia="宋体" w:cs="Arial"/>
                <w:color w:val="auto"/>
                <w:szCs w:val="21"/>
                <w:highlight w:val="none"/>
              </w:rPr>
            </w:pPr>
            <w:r>
              <w:rPr>
                <w:rFonts w:hint="eastAsia" w:ascii="Arial" w:hAnsi="Arial" w:eastAsia="宋体" w:cs="Arial"/>
                <w:color w:val="auto"/>
                <w:szCs w:val="21"/>
                <w:highlight w:val="none"/>
              </w:rPr>
              <w:t>（三）</w:t>
            </w:r>
            <w:r>
              <w:rPr>
                <w:rFonts w:ascii="Arial" w:hAnsi="Arial" w:eastAsia="宋体" w:cs="Arial"/>
                <w:color w:val="auto"/>
                <w:szCs w:val="21"/>
                <w:highlight w:val="none"/>
              </w:rPr>
              <w:t>合同签订时间</w:t>
            </w:r>
          </w:p>
        </w:tc>
        <w:tc>
          <w:tcPr>
            <w:tcW w:w="7986" w:type="dxa"/>
            <w:gridSpan w:val="4"/>
            <w:vAlign w:val="center"/>
          </w:tcPr>
          <w:p w14:paraId="548B31EF">
            <w:pPr>
              <w:rPr>
                <w:rFonts w:ascii="Arial" w:hAnsi="Arial" w:eastAsia="宋体" w:cs="Arial"/>
                <w:color w:val="auto"/>
                <w:szCs w:val="21"/>
                <w:highlight w:val="none"/>
              </w:rPr>
            </w:pPr>
            <w:r>
              <w:rPr>
                <w:rFonts w:ascii="Arial" w:hAnsi="Arial" w:eastAsia="宋体" w:cs="Arial"/>
                <w:color w:val="auto"/>
                <w:szCs w:val="21"/>
                <w:highlight w:val="none"/>
              </w:rPr>
              <w:t>自</w:t>
            </w:r>
            <w:r>
              <w:rPr>
                <w:rFonts w:hint="eastAsia" w:ascii="Arial" w:hAnsi="Arial" w:eastAsia="宋体" w:cs="Arial"/>
                <w:color w:val="auto"/>
                <w:szCs w:val="21"/>
                <w:highlight w:val="none"/>
              </w:rPr>
              <w:t>成交</w:t>
            </w:r>
            <w:r>
              <w:rPr>
                <w:rFonts w:ascii="Arial" w:hAnsi="Arial" w:eastAsia="宋体" w:cs="Arial"/>
                <w:color w:val="auto"/>
                <w:szCs w:val="21"/>
                <w:highlight w:val="none"/>
              </w:rPr>
              <w:t>通知书发出之日起25日内签订采购合同。</w:t>
            </w:r>
          </w:p>
        </w:tc>
      </w:tr>
      <w:tr w14:paraId="0CD9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68803C02">
            <w:pPr>
              <w:jc w:val="center"/>
              <w:rPr>
                <w:rFonts w:ascii="Arial" w:hAnsi="Arial" w:eastAsia="宋体" w:cs="Arial"/>
                <w:color w:val="auto"/>
                <w:szCs w:val="21"/>
                <w:highlight w:val="none"/>
              </w:rPr>
            </w:pPr>
            <w:r>
              <w:rPr>
                <w:rFonts w:hint="eastAsia" w:ascii="Arial" w:hAnsi="Arial" w:eastAsia="宋体" w:cs="Arial"/>
                <w:color w:val="auto"/>
                <w:szCs w:val="21"/>
                <w:highlight w:val="none"/>
              </w:rPr>
              <w:t>（四）</w:t>
            </w:r>
            <w:r>
              <w:rPr>
                <w:rFonts w:ascii="Arial" w:hAnsi="Arial" w:eastAsia="宋体" w:cs="Arial"/>
                <w:color w:val="auto"/>
                <w:szCs w:val="21"/>
                <w:highlight w:val="none"/>
              </w:rPr>
              <w:t>交货期及地点</w:t>
            </w:r>
          </w:p>
        </w:tc>
        <w:tc>
          <w:tcPr>
            <w:tcW w:w="7986" w:type="dxa"/>
            <w:gridSpan w:val="4"/>
            <w:vAlign w:val="center"/>
          </w:tcPr>
          <w:p w14:paraId="7ED761A1">
            <w:pPr>
              <w:rPr>
                <w:rFonts w:ascii="Arial" w:hAnsi="Arial" w:eastAsia="宋体" w:cs="Arial"/>
                <w:color w:val="auto"/>
                <w:szCs w:val="21"/>
                <w:highlight w:val="none"/>
              </w:rPr>
            </w:pPr>
            <w:r>
              <w:rPr>
                <w:rFonts w:ascii="Arial" w:hAnsi="Arial" w:eastAsia="宋体" w:cs="Arial"/>
                <w:color w:val="auto"/>
                <w:szCs w:val="21"/>
                <w:highlight w:val="none"/>
              </w:rPr>
              <w:t>1.交货期：自签订合同之日起</w:t>
            </w:r>
            <w:r>
              <w:rPr>
                <w:rFonts w:ascii="Arial" w:hAnsi="Arial" w:eastAsia="宋体" w:cs="Arial"/>
                <w:b/>
                <w:bCs/>
                <w:color w:val="auto"/>
                <w:szCs w:val="21"/>
                <w:highlight w:val="none"/>
                <w:u w:val="single"/>
              </w:rPr>
              <w:t xml:space="preserve"> 45个</w:t>
            </w:r>
            <w:r>
              <w:rPr>
                <w:rFonts w:ascii="Arial" w:hAnsi="Arial" w:eastAsia="宋体" w:cs="Arial"/>
                <w:color w:val="auto"/>
                <w:szCs w:val="21"/>
                <w:highlight w:val="none"/>
              </w:rPr>
              <w:t>工作日内到货并全部安装调试合格完毕；</w:t>
            </w:r>
          </w:p>
          <w:p w14:paraId="4509DA49">
            <w:pPr>
              <w:rPr>
                <w:rFonts w:ascii="Arial" w:hAnsi="Arial" w:eastAsia="宋体" w:cs="Arial"/>
                <w:color w:val="auto"/>
                <w:szCs w:val="21"/>
                <w:highlight w:val="none"/>
              </w:rPr>
            </w:pPr>
            <w:r>
              <w:rPr>
                <w:rFonts w:ascii="Arial" w:hAnsi="Arial" w:eastAsia="宋体" w:cs="Arial"/>
                <w:color w:val="auto"/>
                <w:szCs w:val="21"/>
                <w:highlight w:val="none"/>
              </w:rPr>
              <w:t>2.交货地点：广西桂林市采购人指定地点。</w:t>
            </w:r>
          </w:p>
        </w:tc>
      </w:tr>
      <w:tr w14:paraId="7BC9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084F1540">
            <w:pPr>
              <w:jc w:val="center"/>
              <w:rPr>
                <w:rFonts w:ascii="Arial" w:hAnsi="Arial" w:eastAsia="宋体" w:cs="Arial"/>
                <w:color w:val="auto"/>
                <w:szCs w:val="21"/>
                <w:highlight w:val="none"/>
              </w:rPr>
            </w:pPr>
            <w:r>
              <w:rPr>
                <w:rFonts w:hint="eastAsia" w:ascii="Arial" w:hAnsi="Arial" w:eastAsia="宋体" w:cs="Arial"/>
                <w:color w:val="auto"/>
                <w:szCs w:val="21"/>
                <w:highlight w:val="none"/>
              </w:rPr>
              <w:t>（五）</w:t>
            </w:r>
            <w:r>
              <w:rPr>
                <w:rFonts w:ascii="Arial" w:hAnsi="Arial" w:eastAsia="宋体" w:cs="Arial"/>
                <w:color w:val="auto"/>
                <w:szCs w:val="21"/>
                <w:highlight w:val="none"/>
              </w:rPr>
              <w:t>付款方式</w:t>
            </w:r>
          </w:p>
        </w:tc>
        <w:tc>
          <w:tcPr>
            <w:tcW w:w="7986" w:type="dxa"/>
            <w:gridSpan w:val="4"/>
          </w:tcPr>
          <w:p w14:paraId="6828A424">
            <w:pPr>
              <w:rPr>
                <w:rFonts w:ascii="Arial" w:hAnsi="Arial" w:eastAsia="宋体" w:cs="Arial"/>
                <w:color w:val="auto"/>
                <w:szCs w:val="21"/>
                <w:highlight w:val="none"/>
              </w:rPr>
            </w:pPr>
            <w:r>
              <w:rPr>
                <w:rFonts w:ascii="Arial" w:hAnsi="Arial" w:eastAsia="宋体" w:cs="Arial"/>
                <w:color w:val="auto"/>
                <w:szCs w:val="21"/>
                <w:highlight w:val="none"/>
              </w:rPr>
              <w:t>付款方式</w:t>
            </w:r>
            <w:r>
              <w:rPr>
                <w:rFonts w:hint="eastAsia" w:ascii="Arial" w:hAnsi="Arial" w:eastAsia="宋体" w:cs="Arial"/>
                <w:color w:val="auto"/>
                <w:szCs w:val="21"/>
                <w:highlight w:val="none"/>
              </w:rPr>
              <w:t>：</w:t>
            </w:r>
            <w:r>
              <w:rPr>
                <w:rFonts w:ascii="Arial" w:hAnsi="Arial" w:eastAsia="宋体" w:cs="Arial"/>
                <w:color w:val="auto"/>
                <w:szCs w:val="21"/>
                <w:highlight w:val="none"/>
              </w:rPr>
              <w:t>本项目通过最终验收后，成交供应商开具全额发票（国产设备必须开具增值税专用发票）给采购人，采购人收到发票后10个工作日内一次性付清100%的合同价款（无息）。</w:t>
            </w:r>
          </w:p>
        </w:tc>
      </w:tr>
      <w:tr w14:paraId="3BA6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182D2C2B">
            <w:pPr>
              <w:jc w:val="center"/>
              <w:rPr>
                <w:rFonts w:ascii="Arial" w:hAnsi="Arial" w:eastAsia="宋体" w:cs="Arial"/>
                <w:color w:val="auto"/>
                <w:szCs w:val="21"/>
                <w:highlight w:val="none"/>
              </w:rPr>
            </w:pPr>
            <w:r>
              <w:rPr>
                <w:rFonts w:hint="eastAsia" w:ascii="Arial" w:hAnsi="Arial" w:eastAsia="宋体" w:cs="Arial"/>
                <w:color w:val="auto"/>
                <w:szCs w:val="21"/>
                <w:highlight w:val="none"/>
              </w:rPr>
              <w:t>（六）</w:t>
            </w:r>
            <w:r>
              <w:rPr>
                <w:rFonts w:ascii="Arial" w:hAnsi="Arial" w:eastAsia="宋体" w:cs="Arial"/>
                <w:color w:val="auto"/>
                <w:szCs w:val="21"/>
                <w:highlight w:val="none"/>
              </w:rPr>
              <w:t>包装和运输</w:t>
            </w:r>
          </w:p>
        </w:tc>
        <w:tc>
          <w:tcPr>
            <w:tcW w:w="7986" w:type="dxa"/>
            <w:gridSpan w:val="4"/>
          </w:tcPr>
          <w:p w14:paraId="64E57168">
            <w:pPr>
              <w:rPr>
                <w:rFonts w:ascii="Arial" w:hAnsi="Arial" w:eastAsia="宋体" w:cs="Arial"/>
                <w:color w:val="auto"/>
                <w:szCs w:val="21"/>
                <w:highlight w:val="none"/>
              </w:rPr>
            </w:pPr>
            <w:r>
              <w:rPr>
                <w:rFonts w:ascii="Arial" w:hAnsi="Arial" w:eastAsia="宋体" w:cs="Arial"/>
                <w:color w:val="auto"/>
                <w:szCs w:val="21"/>
                <w:highlight w:val="none"/>
              </w:rPr>
              <w:t>1.原厂原包装，包装完好、完整无破损、未开封。</w:t>
            </w:r>
          </w:p>
          <w:p w14:paraId="286DDC4A">
            <w:pPr>
              <w:rPr>
                <w:rFonts w:ascii="Arial" w:hAnsi="Arial" w:eastAsia="宋体" w:cs="Arial"/>
                <w:color w:val="auto"/>
                <w:szCs w:val="21"/>
                <w:highlight w:val="none"/>
              </w:rPr>
            </w:pPr>
            <w:r>
              <w:rPr>
                <w:rFonts w:ascii="Arial" w:hAnsi="Arial" w:eastAsia="宋体" w:cs="Arial"/>
                <w:color w:val="auto"/>
                <w:szCs w:val="21"/>
                <w:highlight w:val="none"/>
              </w:rPr>
              <w:t>2.包装及运输方式应综合考虑运输距离、防潮、防震、防锈和防破损装卸等要求。</w:t>
            </w:r>
          </w:p>
          <w:p w14:paraId="6647FE65">
            <w:pPr>
              <w:rPr>
                <w:rFonts w:ascii="Arial" w:hAnsi="Arial" w:eastAsia="宋体" w:cs="Arial"/>
                <w:color w:val="auto"/>
                <w:szCs w:val="21"/>
                <w:highlight w:val="none"/>
              </w:rPr>
            </w:pPr>
            <w:r>
              <w:rPr>
                <w:rFonts w:ascii="Arial" w:hAnsi="Arial" w:eastAsia="宋体" w:cs="Arial"/>
                <w:color w:val="auto"/>
                <w:szCs w:val="21"/>
                <w:highlight w:val="none"/>
              </w:rPr>
              <w:t>3.国家对包装及运输有相关强制性标准或要求的，</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应当执行。</w:t>
            </w:r>
          </w:p>
          <w:p w14:paraId="53607A0C">
            <w:pPr>
              <w:rPr>
                <w:rFonts w:ascii="Arial" w:hAnsi="Arial" w:eastAsia="宋体" w:cs="Arial"/>
                <w:color w:val="auto"/>
                <w:szCs w:val="21"/>
                <w:highlight w:val="none"/>
              </w:rPr>
            </w:pPr>
            <w:r>
              <w:rPr>
                <w:rFonts w:ascii="Arial" w:hAnsi="Arial" w:eastAsia="宋体" w:cs="Arial"/>
                <w:color w:val="auto"/>
                <w:szCs w:val="21"/>
                <w:highlight w:val="none"/>
              </w:rPr>
              <w:t>4.产品(含包装)运抵采购人指定交付地点前发生损坏的，相关损失由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自行承担。</w:t>
            </w:r>
          </w:p>
        </w:tc>
      </w:tr>
      <w:tr w14:paraId="4FA6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7EA0AE4D">
            <w:pPr>
              <w:jc w:val="center"/>
              <w:rPr>
                <w:rFonts w:ascii="Arial" w:hAnsi="Arial" w:eastAsia="宋体" w:cs="Arial"/>
                <w:color w:val="auto"/>
                <w:szCs w:val="21"/>
                <w:highlight w:val="none"/>
              </w:rPr>
            </w:pPr>
            <w:r>
              <w:rPr>
                <w:rFonts w:hint="eastAsia" w:ascii="Arial" w:hAnsi="Arial" w:eastAsia="宋体" w:cs="Arial"/>
                <w:color w:val="auto"/>
                <w:szCs w:val="21"/>
                <w:highlight w:val="none"/>
              </w:rPr>
              <w:t>（七）</w:t>
            </w:r>
            <w:r>
              <w:rPr>
                <w:rFonts w:ascii="Arial" w:hAnsi="Arial" w:eastAsia="宋体" w:cs="Arial"/>
                <w:color w:val="auto"/>
                <w:szCs w:val="21"/>
                <w:highlight w:val="none"/>
              </w:rPr>
              <w:t>保险</w:t>
            </w:r>
          </w:p>
        </w:tc>
        <w:tc>
          <w:tcPr>
            <w:tcW w:w="7986" w:type="dxa"/>
            <w:gridSpan w:val="4"/>
          </w:tcPr>
          <w:p w14:paraId="04B920B3">
            <w:pPr>
              <w:rPr>
                <w:rFonts w:ascii="Arial" w:hAnsi="Arial" w:eastAsia="宋体" w:cs="Arial"/>
                <w:color w:val="auto"/>
                <w:szCs w:val="21"/>
                <w:highlight w:val="none"/>
              </w:rPr>
            </w:pPr>
            <w:r>
              <w:rPr>
                <w:rFonts w:ascii="Arial" w:hAnsi="Arial" w:eastAsia="宋体" w:cs="Arial"/>
                <w:color w:val="auto"/>
                <w:szCs w:val="21"/>
                <w:highlight w:val="none"/>
              </w:rPr>
              <w:t>若</w:t>
            </w:r>
            <w:r>
              <w:rPr>
                <w:rFonts w:hint="eastAsia" w:ascii="Arial" w:hAnsi="Arial" w:eastAsia="宋体" w:cs="Arial"/>
                <w:color w:val="auto"/>
                <w:szCs w:val="21"/>
                <w:highlight w:val="none"/>
              </w:rPr>
              <w:t>供应商</w:t>
            </w:r>
            <w:r>
              <w:rPr>
                <w:rFonts w:ascii="Arial" w:hAnsi="Arial" w:eastAsia="宋体" w:cs="Arial"/>
                <w:color w:val="auto"/>
                <w:szCs w:val="21"/>
                <w:highlight w:val="none"/>
              </w:rPr>
              <w:t>为本项目标的及标的涉及的相关材料、设备、人员、运输等购买保险的，相关费用由</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自行承担。</w:t>
            </w:r>
          </w:p>
        </w:tc>
      </w:tr>
      <w:tr w14:paraId="126B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16745507">
            <w:pPr>
              <w:widowControl/>
              <w:spacing w:line="360" w:lineRule="exact"/>
              <w:jc w:val="center"/>
              <w:rPr>
                <w:rFonts w:ascii="Arial" w:hAnsi="Arial" w:eastAsia="宋体" w:cs="Arial"/>
                <w:color w:val="auto"/>
                <w:szCs w:val="21"/>
                <w:highlight w:val="none"/>
              </w:rPr>
            </w:pPr>
            <w:r>
              <w:rPr>
                <w:rFonts w:ascii="Arial" w:hAnsi="Arial" w:eastAsia="宋体" w:cs="Arial"/>
                <w:bCs/>
                <w:color w:val="auto"/>
                <w:kern w:val="0"/>
                <w:szCs w:val="21"/>
                <w:highlight w:val="none"/>
              </w:rPr>
              <w:t>（八）验收标准</w:t>
            </w:r>
          </w:p>
        </w:tc>
        <w:tc>
          <w:tcPr>
            <w:tcW w:w="7986" w:type="dxa"/>
            <w:gridSpan w:val="4"/>
            <w:vAlign w:val="center"/>
          </w:tcPr>
          <w:p w14:paraId="44412DE7">
            <w:pPr>
              <w:spacing w:line="360" w:lineRule="exact"/>
              <w:rPr>
                <w:rFonts w:ascii="Arial" w:hAnsi="Arial" w:eastAsia="宋体" w:cs="Arial"/>
                <w:color w:val="auto"/>
                <w:szCs w:val="21"/>
                <w:highlight w:val="none"/>
              </w:rPr>
            </w:pPr>
            <w:r>
              <w:rPr>
                <w:rFonts w:ascii="Arial" w:hAnsi="Arial" w:eastAsia="宋体" w:cs="Arial"/>
                <w:color w:val="auto"/>
                <w:szCs w:val="21"/>
                <w:highlight w:val="none"/>
              </w:rPr>
              <w:t>（1）质量标准：本项目执行国家相关标准、行业标准、地方标准或者其他标准、规范。如具体采购需求与标准、规范不一致的，高于标准、规范的按具体采购需求执行；低于标准、规范的按标准、规范执行。</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所提供的产品必须是全新、完好、无破损、未经使用的原装产品，产品符合制造厂家合格产品的出厂质量标准，且在正常安装、使用和保养条件下，其使用寿命期内各项指标均达到质量要求。</w:t>
            </w:r>
          </w:p>
          <w:p w14:paraId="0B4E3D1B">
            <w:pPr>
              <w:spacing w:line="360" w:lineRule="exact"/>
              <w:rPr>
                <w:rFonts w:ascii="Arial" w:hAnsi="Arial" w:eastAsia="宋体" w:cs="Arial"/>
                <w:color w:val="auto"/>
                <w:szCs w:val="21"/>
                <w:highlight w:val="none"/>
              </w:rPr>
            </w:pPr>
            <w:r>
              <w:rPr>
                <w:rFonts w:ascii="Arial" w:hAnsi="Arial" w:eastAsia="宋体" w:cs="Arial"/>
                <w:color w:val="auto"/>
                <w:szCs w:val="21"/>
                <w:highlight w:val="none"/>
              </w:rPr>
              <w:t>（2）产品到货后，采购人现场根据</w:t>
            </w:r>
            <w:r>
              <w:rPr>
                <w:rFonts w:hint="eastAsia" w:ascii="Arial" w:hAnsi="Arial" w:eastAsia="宋体" w:cs="Arial"/>
                <w:color w:val="auto"/>
                <w:szCs w:val="21"/>
                <w:highlight w:val="none"/>
              </w:rPr>
              <w:t>采购</w:t>
            </w:r>
            <w:r>
              <w:rPr>
                <w:rFonts w:ascii="Arial" w:hAnsi="Arial" w:eastAsia="宋体" w:cs="Arial"/>
                <w:color w:val="auto"/>
                <w:szCs w:val="21"/>
                <w:highlight w:val="none"/>
              </w:rPr>
              <w:t>文件要求及</w:t>
            </w:r>
            <w:r>
              <w:rPr>
                <w:rFonts w:hint="eastAsia" w:ascii="Arial" w:hAnsi="Arial" w:eastAsia="宋体" w:cs="Arial"/>
                <w:color w:val="auto"/>
                <w:szCs w:val="21"/>
                <w:highlight w:val="none"/>
              </w:rPr>
              <w:t>响应</w:t>
            </w:r>
            <w:r>
              <w:rPr>
                <w:rFonts w:ascii="Arial" w:hAnsi="Arial" w:eastAsia="宋体" w:cs="Arial"/>
                <w:color w:val="auto"/>
                <w:szCs w:val="21"/>
                <w:highlight w:val="none"/>
              </w:rPr>
              <w:t>文件承诺逐条对应进行核验（含测试或试运行），核验不合格的，采购人有权不予验收，同时报相关监督管理部门，由此造成采购人经济损失的由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负责承担全部赔偿责任。</w:t>
            </w:r>
          </w:p>
          <w:p w14:paraId="210C3428">
            <w:pPr>
              <w:spacing w:line="360" w:lineRule="exact"/>
              <w:rPr>
                <w:rFonts w:ascii="Arial" w:hAnsi="Arial" w:eastAsia="宋体" w:cs="Arial"/>
                <w:color w:val="auto"/>
                <w:szCs w:val="21"/>
                <w:highlight w:val="none"/>
              </w:rPr>
            </w:pPr>
            <w:r>
              <w:rPr>
                <w:rFonts w:ascii="Arial" w:hAnsi="Arial" w:eastAsia="宋体" w:cs="Arial"/>
                <w:color w:val="auto"/>
                <w:szCs w:val="21"/>
                <w:highlight w:val="none"/>
              </w:rPr>
              <w:t>（3）设备开机试运行，测试设备的技术性能指标，确认各项功能正常运行，同时检查随机文件应齐整。</w:t>
            </w:r>
          </w:p>
          <w:p w14:paraId="6711E0A5">
            <w:pPr>
              <w:spacing w:line="360" w:lineRule="exact"/>
              <w:rPr>
                <w:rFonts w:ascii="Arial" w:hAnsi="Arial" w:eastAsia="宋体" w:cs="Arial"/>
                <w:color w:val="auto"/>
                <w:szCs w:val="21"/>
                <w:highlight w:val="none"/>
              </w:rPr>
            </w:pPr>
            <w:r>
              <w:rPr>
                <w:rFonts w:ascii="Arial" w:hAnsi="Arial" w:eastAsia="宋体" w:cs="Arial"/>
                <w:color w:val="auto"/>
                <w:szCs w:val="21"/>
                <w:highlight w:val="none"/>
              </w:rPr>
              <w:t>（4）验收时，采购人有权邀请国家认可的</w:t>
            </w:r>
            <w:r>
              <w:rPr>
                <w:rFonts w:ascii="Arial" w:hAnsi="Arial" w:eastAsia="宋体" w:cs="Arial"/>
                <w:bCs/>
                <w:color w:val="auto"/>
                <w:szCs w:val="21"/>
                <w:highlight w:val="none"/>
              </w:rPr>
              <w:t>第三方检测计量单位到现场进行校准</w:t>
            </w:r>
            <w:r>
              <w:rPr>
                <w:rFonts w:ascii="Arial" w:hAnsi="Arial" w:eastAsia="宋体" w:cs="Arial"/>
                <w:color w:val="auto"/>
                <w:szCs w:val="21"/>
                <w:highlight w:val="none"/>
              </w:rPr>
              <w:t>，并出具校准报告，</w:t>
            </w:r>
            <w:r>
              <w:rPr>
                <w:rFonts w:ascii="Arial" w:hAnsi="Arial" w:eastAsia="宋体" w:cs="Arial"/>
                <w:bCs/>
                <w:color w:val="auto"/>
                <w:szCs w:val="21"/>
                <w:highlight w:val="none"/>
              </w:rPr>
              <w:t>所涉及的相关费用</w:t>
            </w:r>
            <w:r>
              <w:rPr>
                <w:rFonts w:ascii="Arial" w:hAnsi="Arial" w:eastAsia="宋体" w:cs="Arial"/>
                <w:color w:val="auto"/>
                <w:szCs w:val="21"/>
                <w:highlight w:val="none"/>
              </w:rPr>
              <w:t>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承担（</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自行将费用综合考虑进入</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报价中）</w:t>
            </w:r>
            <w:r>
              <w:rPr>
                <w:rFonts w:ascii="Arial" w:hAnsi="Arial" w:eastAsia="宋体" w:cs="Arial"/>
                <w:bCs/>
                <w:color w:val="auto"/>
                <w:szCs w:val="21"/>
                <w:highlight w:val="none"/>
              </w:rPr>
              <w:t>，采购人不再另行支付。校准不合格的，采购人不予验收。</w:t>
            </w:r>
          </w:p>
          <w:p w14:paraId="13804F86">
            <w:pPr>
              <w:adjustRightInd w:val="0"/>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（5）因产品质量问题发生争议的，应邀请国家认可的质量检测机构对产品质量进行鉴定。产品符合标准的，鉴定费由采购人承担；产品不符合标准的，鉴定费由</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承担。</w:t>
            </w:r>
          </w:p>
        </w:tc>
      </w:tr>
      <w:tr w14:paraId="5C87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420BDC10">
            <w:pPr>
              <w:spacing w:line="320" w:lineRule="exact"/>
              <w:jc w:val="center"/>
              <w:rPr>
                <w:rFonts w:ascii="Arial" w:hAnsi="Arial" w:eastAsia="宋体" w:cs="Arial"/>
                <w:color w:val="auto"/>
                <w:szCs w:val="21"/>
                <w:highlight w:val="none"/>
              </w:rPr>
            </w:pPr>
            <w:r>
              <w:rPr>
                <w:rFonts w:ascii="Arial" w:hAnsi="Arial" w:eastAsia="宋体" w:cs="Arial"/>
                <w:color w:val="auto"/>
                <w:szCs w:val="21"/>
                <w:highlight w:val="none"/>
              </w:rPr>
              <w:t>（九）知识产权</w:t>
            </w:r>
          </w:p>
        </w:tc>
        <w:tc>
          <w:tcPr>
            <w:tcW w:w="7986" w:type="dxa"/>
            <w:gridSpan w:val="4"/>
          </w:tcPr>
          <w:p w14:paraId="1570D050">
            <w:pPr>
              <w:spacing w:line="360" w:lineRule="exact"/>
              <w:jc w:val="left"/>
              <w:rPr>
                <w:rFonts w:ascii="Arial" w:hAnsi="Arial" w:eastAsia="宋体" w:cs="Arial"/>
                <w:color w:val="auto"/>
                <w:szCs w:val="21"/>
                <w:highlight w:val="none"/>
              </w:rPr>
            </w:pP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负责解决由此引起的一切纠纷，采购人有权追究</w:t>
            </w:r>
            <w:r>
              <w:rPr>
                <w:rFonts w:hint="eastAsia" w:ascii="Arial" w:hAnsi="Arial" w:eastAsia="宋体" w:cs="Arial"/>
                <w:bCs/>
                <w:color w:val="auto"/>
                <w:kern w:val="0"/>
                <w:szCs w:val="21"/>
                <w:highlight w:val="none"/>
              </w:rPr>
              <w:t>成交供应商</w:t>
            </w:r>
            <w:r>
              <w:rPr>
                <w:rFonts w:ascii="Arial" w:hAnsi="Arial" w:eastAsia="宋体" w:cs="Arial"/>
                <w:color w:val="auto"/>
                <w:szCs w:val="21"/>
                <w:highlight w:val="none"/>
              </w:rPr>
              <w:t>的法律责任，其不利后果</w:t>
            </w:r>
            <w:r>
              <w:rPr>
                <w:rFonts w:hint="eastAsia" w:ascii="Arial" w:hAnsi="Arial" w:eastAsia="宋体" w:cs="Arial"/>
                <w:color w:val="auto"/>
                <w:szCs w:val="21"/>
                <w:highlight w:val="none"/>
              </w:rPr>
              <w:t>由</w:t>
            </w:r>
            <w:r>
              <w:rPr>
                <w:rFonts w:hint="eastAsia" w:ascii="Arial" w:hAnsi="Arial" w:eastAsia="宋体" w:cs="Arial"/>
                <w:bCs/>
                <w:color w:val="auto"/>
                <w:kern w:val="0"/>
                <w:szCs w:val="21"/>
                <w:highlight w:val="none"/>
              </w:rPr>
              <w:t>供应商</w:t>
            </w:r>
            <w:r>
              <w:rPr>
                <w:rFonts w:ascii="Arial" w:hAnsi="Arial" w:eastAsia="宋体" w:cs="Arial"/>
                <w:color w:val="auto"/>
                <w:szCs w:val="21"/>
                <w:highlight w:val="none"/>
              </w:rPr>
              <w:t>全部承担。</w:t>
            </w:r>
          </w:p>
        </w:tc>
      </w:tr>
      <w:tr w14:paraId="265F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12BCE89A">
            <w:pPr>
              <w:jc w:val="center"/>
              <w:rPr>
                <w:rFonts w:ascii="Arial" w:hAnsi="Arial" w:eastAsia="宋体" w:cs="Arial"/>
                <w:color w:val="auto"/>
                <w:szCs w:val="21"/>
                <w:highlight w:val="none"/>
              </w:rPr>
            </w:pPr>
            <w:r>
              <w:rPr>
                <w:rFonts w:hint="eastAsia" w:ascii="Arial" w:hAnsi="Arial" w:eastAsia="宋体" w:cs="Arial"/>
                <w:color w:val="auto"/>
                <w:szCs w:val="21"/>
                <w:highlight w:val="none"/>
              </w:rPr>
              <w:t>（十）</w:t>
            </w:r>
            <w:r>
              <w:rPr>
                <w:rFonts w:ascii="Arial" w:hAnsi="Arial" w:eastAsia="宋体" w:cs="Arial"/>
                <w:color w:val="auto"/>
                <w:szCs w:val="21"/>
                <w:highlight w:val="none"/>
              </w:rPr>
              <w:t>履约保证金</w:t>
            </w:r>
          </w:p>
        </w:tc>
        <w:tc>
          <w:tcPr>
            <w:tcW w:w="7986" w:type="dxa"/>
            <w:gridSpan w:val="4"/>
          </w:tcPr>
          <w:p w14:paraId="31AAF605">
            <w:pPr>
              <w:rPr>
                <w:rFonts w:ascii="Arial" w:hAnsi="Arial" w:eastAsia="宋体" w:cs="Arial"/>
                <w:color w:val="auto"/>
                <w:szCs w:val="21"/>
                <w:highlight w:val="none"/>
              </w:rPr>
            </w:pPr>
            <w:r>
              <w:rPr>
                <w:rFonts w:ascii="Arial" w:hAnsi="Arial" w:eastAsia="宋体" w:cs="Arial"/>
                <w:color w:val="auto"/>
                <w:szCs w:val="21"/>
                <w:highlight w:val="none"/>
              </w:rPr>
              <w:t>履约保证金：在合同签订之前，成交供应商按成交金额的5%（如成交供应商为中小微企业的，按成交金额的2%））向采购人交纳履约保证金。履约保证金交纳方式：转账或电汇等非现金形式。履约保证金指定账户【开户名称：桂林理工大学，开户银行：中国银行桂林分行，账号：613257488744】。成交供应商须按上述规定的金额、方式将履约保证金转入桂林理工大学账户。否则，不予签订合同。</w:t>
            </w:r>
          </w:p>
          <w:p w14:paraId="338DE0FD">
            <w:pPr>
              <w:rPr>
                <w:rFonts w:ascii="Arial" w:hAnsi="Arial" w:eastAsia="宋体" w:cs="Arial"/>
                <w:color w:val="auto"/>
                <w:szCs w:val="21"/>
                <w:highlight w:val="none"/>
              </w:rPr>
            </w:pPr>
            <w:r>
              <w:rPr>
                <w:rFonts w:ascii="Arial" w:hAnsi="Arial" w:eastAsia="宋体" w:cs="Arial"/>
                <w:color w:val="auto"/>
                <w:szCs w:val="21"/>
                <w:highlight w:val="none"/>
              </w:rPr>
              <w:t>履约保证金在成交供应商履行完合同约定的权利义务（包括免费保修服务等）事项后7个工作日内，由成交供应商凭履约保证金的申请表及合同向采购人申请办理履约保证金退还手续，采购人在收到合格材料后5个工作日内以银行转账方式如数退还（不计利息）。</w:t>
            </w:r>
          </w:p>
        </w:tc>
      </w:tr>
      <w:tr w14:paraId="4B6A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8" w:type="dxa"/>
            <w:gridSpan w:val="2"/>
            <w:vAlign w:val="center"/>
          </w:tcPr>
          <w:p w14:paraId="4B3C419D">
            <w:pPr>
              <w:jc w:val="center"/>
              <w:rPr>
                <w:rFonts w:ascii="Arial" w:hAnsi="Arial" w:eastAsia="宋体" w:cs="Arial"/>
                <w:color w:val="auto"/>
                <w:szCs w:val="21"/>
                <w:highlight w:val="none"/>
              </w:rPr>
            </w:pPr>
            <w:r>
              <w:rPr>
                <w:rFonts w:hint="eastAsia" w:ascii="Arial" w:hAnsi="Arial" w:eastAsia="宋体" w:cs="Arial"/>
                <w:color w:val="auto"/>
                <w:szCs w:val="21"/>
                <w:highlight w:val="none"/>
              </w:rPr>
              <w:t>（十一）</w:t>
            </w:r>
            <w:r>
              <w:rPr>
                <w:rFonts w:ascii="Arial" w:hAnsi="Arial" w:eastAsia="宋体" w:cs="Arial"/>
                <w:color w:val="auto"/>
                <w:szCs w:val="21"/>
                <w:highlight w:val="none"/>
              </w:rPr>
              <w:t>违约责任</w:t>
            </w:r>
          </w:p>
        </w:tc>
        <w:tc>
          <w:tcPr>
            <w:tcW w:w="7986" w:type="dxa"/>
            <w:gridSpan w:val="4"/>
          </w:tcPr>
          <w:p w14:paraId="25C9D56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1.成交供应商所提供的产品名称、生产厂家、品牌、规格型号、技术参数等不符合投标（响应）文件承诺或质量不合格的，应在</w:t>
            </w:r>
            <w:r>
              <w:rPr>
                <w:rFonts w:ascii="Arial" w:hAnsi="Arial" w:eastAsia="宋体" w:cs="Arial"/>
                <w:color w:val="auto"/>
                <w:highlight w:val="none"/>
                <w:u w:val="single"/>
              </w:rPr>
              <w:t>2</w:t>
            </w:r>
            <w:r>
              <w:rPr>
                <w:rFonts w:ascii="Arial" w:hAnsi="Arial" w:eastAsia="宋体" w:cs="Arial"/>
                <w:color w:val="auto"/>
                <w:szCs w:val="21"/>
                <w:highlight w:val="none"/>
              </w:rPr>
              <w:t xml:space="preserve">日内及时更换，更换不及时的按逾期交货处罚；因质量问题采购人不同意接收的或特殊情况采购人同意接收的，成交供应商应向采购人支付违约货款额 </w:t>
            </w:r>
            <w:r>
              <w:rPr>
                <w:rFonts w:ascii="Arial" w:hAnsi="Arial" w:eastAsia="宋体" w:cs="Arial"/>
                <w:color w:val="auto"/>
                <w:szCs w:val="21"/>
                <w:highlight w:val="none"/>
                <w:u w:val="single"/>
              </w:rPr>
              <w:t>5%</w:t>
            </w:r>
            <w:r>
              <w:rPr>
                <w:rFonts w:ascii="Arial" w:hAnsi="Arial" w:eastAsia="宋体" w:cs="Arial"/>
                <w:color w:val="auto"/>
                <w:szCs w:val="21"/>
                <w:highlight w:val="none"/>
              </w:rPr>
              <w:t>违约金并赔偿采购人经济损失。</w:t>
            </w:r>
          </w:p>
          <w:p w14:paraId="7D39F6B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2.成交供应商提供的货物如侵犯了第三方合法权益而引发的任何纠纷或诉讼，均由成交供应商负责交涉并承担全部责任。</w:t>
            </w:r>
          </w:p>
          <w:p w14:paraId="1EFB94CB">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3.因包装、运输引起的货物损坏，按质量不合格处罚。</w:t>
            </w:r>
          </w:p>
          <w:p w14:paraId="79BFECF4">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4.采购人无故延期接收货物、成交供应商逾期交货的，每天向对方偿付违约货款额3‰违约金，但违约金累计不得超过违约货款额</w:t>
            </w:r>
            <w:r>
              <w:rPr>
                <w:rFonts w:ascii="Arial" w:hAnsi="Arial" w:eastAsia="宋体" w:cs="Arial"/>
                <w:color w:val="auto"/>
                <w:szCs w:val="21"/>
                <w:highlight w:val="none"/>
                <w:u w:val="single"/>
              </w:rPr>
              <w:t>5%</w:t>
            </w:r>
            <w:r>
              <w:rPr>
                <w:rFonts w:ascii="Arial" w:hAnsi="Arial" w:eastAsia="宋体" w:cs="Arial"/>
                <w:color w:val="auto"/>
                <w:szCs w:val="21"/>
                <w:highlight w:val="none"/>
              </w:rPr>
              <w:t>，超过</w:t>
            </w:r>
            <w:r>
              <w:rPr>
                <w:rFonts w:ascii="Arial" w:hAnsi="Arial" w:eastAsia="宋体" w:cs="Arial"/>
                <w:color w:val="auto"/>
                <w:highlight w:val="none"/>
                <w:u w:val="single"/>
              </w:rPr>
              <w:t>7天</w:t>
            </w:r>
            <w:r>
              <w:rPr>
                <w:rFonts w:ascii="Arial" w:hAnsi="Arial" w:eastAsia="宋体" w:cs="Arial"/>
                <w:color w:val="auto"/>
                <w:szCs w:val="21"/>
                <w:highlight w:val="none"/>
              </w:rPr>
              <w:t>对方有权解除合同，违约方承担因此给对方造成经济损失；采购人延期付货款的，每天向成交供应商偿付延期货款额3‰滞纳金，但滞纳金累计不得超过延期货款额5%。</w:t>
            </w:r>
          </w:p>
          <w:p w14:paraId="1EBDE424">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5.成交供应商未按本合同和投标（响应）文件中规定的服务承诺提供售后服务的，成交供应商应按本合同合计金额 5%向采购人支付违约金。</w:t>
            </w:r>
          </w:p>
          <w:p w14:paraId="0440951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6.成交供应商提供的货物在质量保证期内，因设计、工艺或材料的缺陷和其它质量原因造成的问题，由成交供应商负责，费用从履约保证金中扣除，不足另补。</w:t>
            </w:r>
          </w:p>
          <w:p w14:paraId="49A39829">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7.其它违约行为按违约货款额5%收取违约金并赔偿经济损失。</w:t>
            </w:r>
          </w:p>
          <w:p w14:paraId="62F15B6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8.成交供应商于响应文件中必须对所有产品的技术参数要求作出真实、有效的响应和承诺。所提供的产品必须为原装正品的、全新的、符合国家有关质量标准的产品。验收前，采购人现场根据采购文件要求及响应文件承诺对各项参数逐条对应进行核验，核验或检测数据不符合采购人要求及响应文件承诺的指标的，采购人有权终止合同执行并全部退货，由此造成采购人经济损失的由成交供应商负责承担全部赔偿责任并向采购人支付合同金额的30%违约赔偿金。如有异议，将交由国家认可并具有检验检测资质的第三方机构进行检验，若核验结果的各项参数指标不满足采购人要求及响应文件承诺的指标要求，所有产生的费用由成交供应商承担，并承担政府采购虚假竞标的相关法律责任。</w:t>
            </w:r>
          </w:p>
        </w:tc>
      </w:tr>
      <w:tr w14:paraId="652B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1648" w:type="dxa"/>
            <w:gridSpan w:val="2"/>
            <w:vAlign w:val="center"/>
          </w:tcPr>
          <w:p w14:paraId="537B6AE8">
            <w:pPr>
              <w:jc w:val="center"/>
              <w:rPr>
                <w:rFonts w:ascii="Arial" w:hAnsi="Arial" w:eastAsia="宋体" w:cs="Arial"/>
                <w:color w:val="auto"/>
                <w:szCs w:val="21"/>
                <w:highlight w:val="none"/>
              </w:rPr>
            </w:pPr>
            <w:r>
              <w:rPr>
                <w:rFonts w:hint="eastAsia" w:ascii="Arial" w:hAnsi="Arial" w:eastAsia="宋体" w:cs="Arial"/>
                <w:color w:val="auto"/>
                <w:szCs w:val="21"/>
                <w:highlight w:val="none"/>
              </w:rPr>
              <w:t>（十二）</w:t>
            </w:r>
            <w:r>
              <w:rPr>
                <w:rFonts w:ascii="Arial" w:hAnsi="Arial" w:eastAsia="宋体" w:cs="Arial"/>
                <w:color w:val="auto"/>
                <w:szCs w:val="21"/>
                <w:highlight w:val="none"/>
              </w:rPr>
              <w:t>进口产品说明</w:t>
            </w:r>
          </w:p>
        </w:tc>
        <w:tc>
          <w:tcPr>
            <w:tcW w:w="7986" w:type="dxa"/>
            <w:gridSpan w:val="4"/>
          </w:tcPr>
          <w:p w14:paraId="5323FDD4">
            <w:pPr>
              <w:adjustRightInd w:val="0"/>
              <w:snapToGrid w:val="0"/>
              <w:spacing w:line="300" w:lineRule="auto"/>
              <w:rPr>
                <w:rFonts w:ascii="Arial" w:hAnsi="Arial" w:eastAsia="宋体" w:cs="Arial"/>
                <w:b/>
                <w:bCs/>
                <w:color w:val="auto"/>
                <w:szCs w:val="21"/>
                <w:highlight w:val="none"/>
              </w:rPr>
            </w:pPr>
            <w:r>
              <w:rPr>
                <w:rFonts w:ascii="Arial" w:hAnsi="Arial" w:eastAsia="宋体" w:cs="Arial"/>
                <w:b/>
                <w:bCs/>
                <w:color w:val="auto"/>
                <w:szCs w:val="21"/>
                <w:highlight w:val="none"/>
              </w:rPr>
              <w:sym w:font="Wingdings 2" w:char="0052"/>
            </w:r>
            <w:r>
              <w:rPr>
                <w:rFonts w:ascii="Arial" w:hAnsi="Arial" w:eastAsia="宋体" w:cs="Arial"/>
                <w:b/>
                <w:bCs/>
                <w:color w:val="auto"/>
                <w:szCs w:val="21"/>
                <w:highlight w:val="none"/>
              </w:rPr>
              <w:t xml:space="preserve"> 本项目标的不接受进口产品参与</w:t>
            </w:r>
            <w:r>
              <w:rPr>
                <w:rFonts w:hint="eastAsia" w:ascii="Arial" w:hAnsi="Arial" w:eastAsia="宋体" w:cs="Arial"/>
                <w:b/>
                <w:bCs/>
                <w:color w:val="auto"/>
                <w:szCs w:val="21"/>
                <w:highlight w:val="none"/>
              </w:rPr>
              <w:t>谈判</w:t>
            </w:r>
            <w:r>
              <w:rPr>
                <w:rFonts w:ascii="Arial" w:hAnsi="Arial" w:eastAsia="宋体" w:cs="Arial"/>
                <w:b/>
                <w:bCs/>
                <w:color w:val="auto"/>
                <w:szCs w:val="21"/>
                <w:highlight w:val="none"/>
              </w:rPr>
              <w:t>，如</w:t>
            </w:r>
            <w:r>
              <w:rPr>
                <w:rFonts w:hint="eastAsia" w:ascii="Arial" w:hAnsi="Arial" w:eastAsia="宋体" w:cs="Arial"/>
                <w:b/>
                <w:bCs/>
                <w:color w:val="auto"/>
                <w:szCs w:val="21"/>
                <w:highlight w:val="none"/>
              </w:rPr>
              <w:t>供应商</w:t>
            </w:r>
            <w:r>
              <w:rPr>
                <w:rFonts w:ascii="Arial" w:hAnsi="Arial" w:eastAsia="宋体" w:cs="Arial"/>
                <w:b/>
                <w:bCs/>
                <w:color w:val="auto"/>
                <w:szCs w:val="21"/>
                <w:highlight w:val="none"/>
              </w:rPr>
              <w:t>选用进口产品</w:t>
            </w:r>
            <w:r>
              <w:rPr>
                <w:rFonts w:hint="eastAsia" w:ascii="Arial" w:hAnsi="Arial" w:eastAsia="宋体" w:cs="Arial"/>
                <w:b/>
                <w:bCs/>
                <w:color w:val="auto"/>
                <w:szCs w:val="21"/>
                <w:highlight w:val="none"/>
              </w:rPr>
              <w:t>谈判</w:t>
            </w:r>
            <w:r>
              <w:rPr>
                <w:rFonts w:ascii="Arial" w:hAnsi="Arial" w:eastAsia="宋体" w:cs="Arial"/>
                <w:b/>
                <w:bCs/>
                <w:color w:val="auto"/>
                <w:szCs w:val="21"/>
                <w:highlight w:val="none"/>
              </w:rPr>
              <w:t>的，</w:t>
            </w:r>
            <w:r>
              <w:rPr>
                <w:rFonts w:hint="eastAsia" w:ascii="Arial" w:hAnsi="Arial" w:eastAsia="宋体" w:cs="Arial"/>
                <w:b/>
                <w:bCs/>
                <w:color w:val="auto"/>
                <w:szCs w:val="21"/>
                <w:highlight w:val="none"/>
              </w:rPr>
              <w:t>响应</w:t>
            </w:r>
            <w:r>
              <w:rPr>
                <w:rFonts w:ascii="Arial" w:hAnsi="Arial" w:eastAsia="宋体" w:cs="Arial"/>
                <w:b/>
                <w:bCs/>
                <w:color w:val="auto"/>
                <w:szCs w:val="21"/>
                <w:highlight w:val="none"/>
              </w:rPr>
              <w:t>文件按无效处理。</w:t>
            </w:r>
          </w:p>
          <w:p w14:paraId="62F2B568">
            <w:pPr>
              <w:adjustRightInd w:val="0"/>
              <w:snapToGrid w:val="0"/>
              <w:spacing w:line="300" w:lineRule="auto"/>
              <w:rPr>
                <w:rFonts w:ascii="Arial" w:hAnsi="Arial" w:eastAsia="宋体" w:cs="Arial"/>
                <w:color w:val="auto"/>
                <w:szCs w:val="21"/>
                <w:highlight w:val="none"/>
              </w:rPr>
            </w:pPr>
          </w:p>
          <w:p w14:paraId="01924551">
            <w:pPr>
              <w:adjustRightInd w:val="0"/>
              <w:snapToGrid w:val="0"/>
              <w:spacing w:line="300" w:lineRule="auto"/>
              <w:rPr>
                <w:rFonts w:ascii="Arial" w:hAnsi="Arial" w:eastAsia="宋体" w:cs="Arial"/>
                <w:color w:val="auto"/>
                <w:szCs w:val="21"/>
                <w:highlight w:val="none"/>
              </w:rPr>
            </w:pPr>
            <w:r>
              <w:rPr>
                <w:rFonts w:hint="eastAsia" w:ascii="Arial" w:hAnsi="Arial" w:eastAsia="宋体" w:cs="Arial"/>
                <w:color w:val="auto"/>
                <w:szCs w:val="21"/>
                <w:highlight w:val="none"/>
              </w:rPr>
              <w:t>□</w:t>
            </w:r>
            <w:r>
              <w:rPr>
                <w:rFonts w:ascii="Arial" w:hAnsi="Arial" w:eastAsia="宋体" w:cs="Arial"/>
                <w:color w:val="auto"/>
                <w:szCs w:val="21"/>
                <w:highlight w:val="none"/>
              </w:rPr>
              <w:t>1.本项目货物已办理进口产品手续，接受进口产品（即通过中国海关报关验放进入中国境内且产自关境外的产品）参与</w:t>
            </w:r>
            <w:r>
              <w:rPr>
                <w:rFonts w:hint="eastAsia" w:ascii="Arial" w:hAnsi="Arial" w:eastAsia="宋体" w:cs="Arial"/>
                <w:color w:val="auto"/>
                <w:szCs w:val="21"/>
                <w:highlight w:val="none"/>
              </w:rPr>
              <w:t>谈判</w:t>
            </w:r>
            <w:r>
              <w:rPr>
                <w:rFonts w:ascii="Arial" w:hAnsi="Arial" w:eastAsia="宋体" w:cs="Arial"/>
                <w:color w:val="auto"/>
                <w:szCs w:val="21"/>
                <w:highlight w:val="none"/>
              </w:rPr>
              <w:t>。但如选用进口产品时必须为原装进口产品（即通过中国海关报关验放进入中国境内且产自境外的产品），</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报价必须为人民币报价，若</w:t>
            </w:r>
            <w:r>
              <w:rPr>
                <w:rFonts w:hint="eastAsia" w:ascii="Arial" w:hAnsi="Arial" w:eastAsia="宋体" w:cs="Arial"/>
                <w:color w:val="auto"/>
                <w:szCs w:val="21"/>
                <w:highlight w:val="none"/>
              </w:rPr>
              <w:t>供应商</w:t>
            </w:r>
            <w:r>
              <w:rPr>
                <w:rFonts w:ascii="Arial" w:hAnsi="Arial" w:eastAsia="宋体" w:cs="Arial"/>
                <w:color w:val="auto"/>
                <w:szCs w:val="21"/>
                <w:highlight w:val="none"/>
              </w:rPr>
              <w:t>选用进口产品</w:t>
            </w:r>
            <w:r>
              <w:rPr>
                <w:rFonts w:hint="eastAsia" w:ascii="Arial" w:hAnsi="Arial" w:eastAsia="宋体" w:cs="Arial"/>
                <w:color w:val="auto"/>
                <w:szCs w:val="21"/>
                <w:highlight w:val="none"/>
              </w:rPr>
              <w:t>谈判</w:t>
            </w:r>
            <w:r>
              <w:rPr>
                <w:rFonts w:ascii="Arial" w:hAnsi="Arial" w:eastAsia="宋体" w:cs="Arial"/>
                <w:color w:val="auto"/>
                <w:szCs w:val="21"/>
                <w:highlight w:val="none"/>
              </w:rPr>
              <w:t>用人民币之外的其他货币报价的，</w:t>
            </w:r>
            <w:r>
              <w:rPr>
                <w:rFonts w:hint="eastAsia" w:ascii="Arial" w:hAnsi="Arial" w:eastAsia="宋体" w:cs="Arial"/>
                <w:color w:val="auto"/>
                <w:szCs w:val="21"/>
                <w:highlight w:val="none"/>
              </w:rPr>
              <w:t>响应</w:t>
            </w:r>
            <w:r>
              <w:rPr>
                <w:rFonts w:ascii="Arial" w:hAnsi="Arial" w:eastAsia="宋体" w:cs="Arial"/>
                <w:color w:val="auto"/>
                <w:szCs w:val="21"/>
                <w:highlight w:val="none"/>
              </w:rPr>
              <w:t>文件无效处理；同时</w:t>
            </w:r>
            <w:r>
              <w:rPr>
                <w:rFonts w:hint="eastAsia" w:ascii="Arial" w:hAnsi="Arial" w:eastAsia="宋体" w:cs="Arial"/>
                <w:color w:val="auto"/>
                <w:szCs w:val="21"/>
                <w:highlight w:val="none"/>
              </w:rPr>
              <w:t>供应商</w:t>
            </w:r>
            <w:r>
              <w:rPr>
                <w:rFonts w:ascii="Arial" w:hAnsi="Arial" w:eastAsia="宋体" w:cs="Arial"/>
                <w:color w:val="auto"/>
                <w:szCs w:val="21"/>
                <w:highlight w:val="none"/>
              </w:rPr>
              <w:t>必须负责办理进口产品所有相关手续并承担所有费用，采购人不再支付除</w:t>
            </w:r>
            <w:r>
              <w:rPr>
                <w:rFonts w:hint="eastAsia" w:ascii="Arial" w:hAnsi="Arial" w:eastAsia="宋体" w:cs="Arial"/>
                <w:color w:val="auto"/>
                <w:szCs w:val="21"/>
                <w:highlight w:val="none"/>
              </w:rPr>
              <w:t>成交</w:t>
            </w:r>
            <w:r>
              <w:rPr>
                <w:rFonts w:ascii="Arial" w:hAnsi="Arial" w:eastAsia="宋体" w:cs="Arial"/>
                <w:color w:val="auto"/>
                <w:szCs w:val="21"/>
                <w:highlight w:val="none"/>
              </w:rPr>
              <w:t>价以外的任何费用，采购人协助办理免税审批手续。在进口产品最后报价相同的情况下，优先采购向我国企业转让技术、与我国企业签订消化吸收再创新方案的供应商的进口产品。  2.</w:t>
            </w:r>
            <w:r>
              <w:rPr>
                <w:rFonts w:hint="eastAsia" w:ascii="Arial" w:hAnsi="Arial" w:eastAsia="宋体" w:cs="Arial"/>
                <w:color w:val="auto"/>
                <w:szCs w:val="21"/>
                <w:highlight w:val="none"/>
              </w:rPr>
              <w:t>供应商</w:t>
            </w:r>
            <w:r>
              <w:rPr>
                <w:rFonts w:ascii="Arial" w:hAnsi="Arial" w:eastAsia="宋体" w:cs="Arial"/>
                <w:color w:val="auto"/>
                <w:szCs w:val="21"/>
                <w:highlight w:val="none"/>
              </w:rPr>
              <w:t>如所投本项目货物产品为进口产品时，</w:t>
            </w:r>
            <w:r>
              <w:rPr>
                <w:rFonts w:hint="eastAsia" w:ascii="Arial" w:hAnsi="Arial" w:eastAsia="宋体" w:cs="Arial"/>
                <w:color w:val="auto"/>
                <w:szCs w:val="21"/>
                <w:highlight w:val="none"/>
              </w:rPr>
              <w:t>供应商</w:t>
            </w:r>
            <w:r>
              <w:rPr>
                <w:rFonts w:ascii="Arial" w:hAnsi="Arial" w:eastAsia="宋体" w:cs="Arial"/>
                <w:color w:val="auto"/>
                <w:szCs w:val="21"/>
                <w:highlight w:val="none"/>
              </w:rPr>
              <w:t>的</w:t>
            </w:r>
            <w:r>
              <w:rPr>
                <w:rFonts w:hint="eastAsia" w:ascii="Arial" w:hAnsi="Arial" w:eastAsia="宋体" w:cs="Arial"/>
                <w:color w:val="auto"/>
                <w:szCs w:val="21"/>
                <w:highlight w:val="none"/>
              </w:rPr>
              <w:t>响应</w:t>
            </w:r>
            <w:r>
              <w:rPr>
                <w:rFonts w:ascii="Arial" w:hAnsi="Arial" w:eastAsia="宋体" w:cs="Arial"/>
                <w:color w:val="auto"/>
                <w:szCs w:val="21"/>
                <w:highlight w:val="none"/>
              </w:rPr>
              <w:t>报价必须为免税价，如项目执行期间遭遇国家相关政策因素加征关税，凭政府出台征收该设备关税的相应文件和缴纳关税税额凭证予以办理合同补充协议，增加关税部分差价。</w:t>
            </w:r>
          </w:p>
        </w:tc>
      </w:tr>
      <w:tr w14:paraId="75CC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34" w:type="dxa"/>
            <w:gridSpan w:val="6"/>
            <w:vAlign w:val="center"/>
          </w:tcPr>
          <w:p w14:paraId="6D7FB49B">
            <w:pPr>
              <w:snapToGrid w:val="0"/>
              <w:spacing w:line="320" w:lineRule="exact"/>
              <w:jc w:val="left"/>
              <w:rPr>
                <w:rFonts w:ascii="Arial" w:hAnsi="Arial" w:eastAsia="宋体" w:cs="Arial"/>
                <w:color w:val="auto"/>
                <w:szCs w:val="21"/>
                <w:highlight w:val="none"/>
              </w:rPr>
            </w:pPr>
            <w:r>
              <w:rPr>
                <w:rFonts w:ascii="Arial" w:hAnsi="Arial" w:eastAsia="宋体" w:cs="Arial"/>
                <w:b/>
                <w:color w:val="auto"/>
                <w:szCs w:val="21"/>
                <w:highlight w:val="none"/>
              </w:rPr>
              <w:t>四、</w:t>
            </w:r>
            <w:r>
              <w:rPr>
                <w:rFonts w:ascii="Arial" w:hAnsi="Arial" w:eastAsia="宋体" w:cs="Arial"/>
                <w:b/>
                <w:bCs/>
                <w:color w:val="auto"/>
                <w:szCs w:val="21"/>
                <w:highlight w:val="none"/>
              </w:rPr>
              <w:t>与实现项目目标相关的其他要求</w:t>
            </w:r>
          </w:p>
        </w:tc>
      </w:tr>
      <w:tr w14:paraId="700F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42" w:type="dxa"/>
            <w:gridSpan w:val="3"/>
            <w:vAlign w:val="center"/>
          </w:tcPr>
          <w:p w14:paraId="73A0445E">
            <w:pPr>
              <w:snapToGrid w:val="0"/>
              <w:spacing w:line="320" w:lineRule="exact"/>
              <w:jc w:val="left"/>
              <w:rPr>
                <w:rFonts w:ascii="Arial" w:hAnsi="Arial" w:eastAsia="宋体" w:cs="Arial"/>
                <w:color w:val="auto"/>
                <w:szCs w:val="21"/>
                <w:highlight w:val="none"/>
              </w:rPr>
            </w:pPr>
            <w:r>
              <w:rPr>
                <w:rFonts w:ascii="Arial" w:hAnsi="Arial" w:eastAsia="宋体" w:cs="Arial"/>
                <w:bCs/>
                <w:color w:val="auto"/>
                <w:szCs w:val="21"/>
                <w:highlight w:val="none"/>
              </w:rPr>
              <w:t>（一）其他要求</w:t>
            </w:r>
          </w:p>
        </w:tc>
        <w:tc>
          <w:tcPr>
            <w:tcW w:w="7892" w:type="dxa"/>
            <w:gridSpan w:val="3"/>
            <w:vAlign w:val="center"/>
          </w:tcPr>
          <w:p w14:paraId="40AAE5B9">
            <w:pPr>
              <w:snapToGrid w:val="0"/>
              <w:spacing w:line="320" w:lineRule="exact"/>
              <w:jc w:val="left"/>
              <w:rPr>
                <w:rFonts w:ascii="Arial" w:hAnsi="Arial" w:eastAsia="宋体" w:cs="Arial"/>
                <w:bCs/>
                <w:color w:val="auto"/>
                <w:szCs w:val="21"/>
                <w:highlight w:val="none"/>
              </w:rPr>
            </w:pPr>
            <w:r>
              <w:rPr>
                <w:rFonts w:ascii="Arial" w:hAnsi="Arial" w:eastAsia="宋体" w:cs="Arial"/>
                <w:b/>
                <w:bCs w:val="0"/>
                <w:color w:val="auto"/>
                <w:sz w:val="22"/>
                <w:szCs w:val="22"/>
                <w:highlight w:val="none"/>
              </w:rPr>
              <w:t>1.本项目采购需求中的内容为实质性要求，必须全部满足，否则视为无效</w:t>
            </w:r>
            <w:r>
              <w:rPr>
                <w:rFonts w:hint="eastAsia" w:ascii="Arial" w:hAnsi="Arial" w:eastAsia="宋体" w:cs="Arial"/>
                <w:b/>
                <w:bCs w:val="0"/>
                <w:color w:val="auto"/>
                <w:sz w:val="22"/>
                <w:szCs w:val="22"/>
                <w:highlight w:val="none"/>
              </w:rPr>
              <w:t>响应</w:t>
            </w:r>
            <w:r>
              <w:rPr>
                <w:rFonts w:ascii="Arial" w:hAnsi="Arial" w:eastAsia="宋体" w:cs="Arial"/>
                <w:b/>
                <w:bCs w:val="0"/>
                <w:color w:val="auto"/>
                <w:sz w:val="22"/>
                <w:szCs w:val="22"/>
                <w:highlight w:val="none"/>
              </w:rPr>
              <w:t>。</w:t>
            </w:r>
          </w:p>
          <w:p w14:paraId="717F91FE">
            <w:pPr>
              <w:snapToGrid w:val="0"/>
              <w:spacing w:line="320" w:lineRule="exact"/>
              <w:jc w:val="left"/>
              <w:rPr>
                <w:rFonts w:hint="eastAsia" w:ascii="Arial" w:hAnsi="Arial" w:eastAsia="宋体" w:cs="Arial"/>
                <w:bCs/>
                <w:color w:val="auto"/>
                <w:szCs w:val="21"/>
                <w:highlight w:val="none"/>
                <w:lang w:val="en-US" w:eastAsia="zh-CN"/>
              </w:rPr>
            </w:pPr>
            <w:r>
              <w:rPr>
                <w:rFonts w:hint="eastAsia" w:ascii="Arial" w:hAnsi="Arial" w:eastAsia="宋体" w:cs="Arial"/>
                <w:b/>
                <w:bCs w:val="0"/>
                <w:color w:val="auto"/>
                <w:sz w:val="22"/>
                <w:szCs w:val="22"/>
                <w:highlight w:val="none"/>
                <w:lang w:val="en-US" w:eastAsia="zh-CN"/>
              </w:rPr>
              <w:t>2.序号1产品</w:t>
            </w:r>
            <w:r>
              <w:rPr>
                <w:rFonts w:ascii="Arial" w:hAnsi="Arial" w:eastAsia="宋体" w:cs="Arial"/>
                <w:b/>
                <w:bCs w:val="0"/>
                <w:color w:val="auto"/>
                <w:sz w:val="22"/>
                <w:szCs w:val="22"/>
                <w:highlight w:val="none"/>
              </w:rPr>
              <w:t>IT管理系统</w:t>
            </w:r>
            <w:r>
              <w:rPr>
                <w:rFonts w:hint="eastAsia" w:ascii="Arial" w:hAnsi="Arial" w:eastAsia="宋体" w:cs="Arial"/>
                <w:b/>
                <w:bCs w:val="0"/>
                <w:color w:val="auto"/>
                <w:sz w:val="22"/>
                <w:szCs w:val="22"/>
                <w:highlight w:val="none"/>
                <w:lang w:eastAsia="zh-CN"/>
              </w:rPr>
              <w:t>、</w:t>
            </w:r>
            <w:r>
              <w:rPr>
                <w:rFonts w:hint="eastAsia" w:ascii="Arial" w:hAnsi="Arial" w:eastAsia="宋体" w:cs="Arial"/>
                <w:b/>
                <w:bCs w:val="0"/>
                <w:color w:val="auto"/>
                <w:sz w:val="22"/>
                <w:szCs w:val="22"/>
                <w:highlight w:val="none"/>
                <w:lang w:val="en-US" w:eastAsia="zh-CN"/>
              </w:rPr>
              <w:t>序号2产品</w:t>
            </w:r>
            <w:r>
              <w:rPr>
                <w:rFonts w:ascii="Arial" w:hAnsi="Arial" w:eastAsia="宋体" w:cs="Arial"/>
                <w:b/>
                <w:bCs w:val="0"/>
                <w:color w:val="auto"/>
                <w:sz w:val="22"/>
                <w:szCs w:val="22"/>
                <w:highlight w:val="none"/>
              </w:rPr>
              <w:t>服务材料筛选的机器学习系统软件</w:t>
            </w:r>
            <w:r>
              <w:rPr>
                <w:rFonts w:hint="eastAsia" w:ascii="Arial" w:hAnsi="Arial" w:eastAsia="宋体" w:cs="Arial"/>
                <w:b/>
                <w:bCs w:val="0"/>
                <w:color w:val="auto"/>
                <w:sz w:val="22"/>
                <w:szCs w:val="22"/>
                <w:highlight w:val="none"/>
                <w:lang w:eastAsia="zh-CN"/>
              </w:rPr>
              <w:t>、</w:t>
            </w:r>
            <w:r>
              <w:rPr>
                <w:rFonts w:hint="eastAsia" w:ascii="Arial" w:hAnsi="Arial" w:eastAsia="宋体" w:cs="Arial"/>
                <w:b/>
                <w:bCs w:val="0"/>
                <w:color w:val="auto"/>
                <w:sz w:val="22"/>
                <w:szCs w:val="22"/>
                <w:highlight w:val="none"/>
                <w:lang w:val="en-US" w:eastAsia="zh-CN"/>
              </w:rPr>
              <w:t>序号3产品</w:t>
            </w:r>
            <w:r>
              <w:rPr>
                <w:rFonts w:ascii="Arial" w:hAnsi="Arial" w:eastAsia="宋体" w:cs="Arial"/>
                <w:b/>
                <w:bCs w:val="0"/>
                <w:color w:val="auto"/>
                <w:sz w:val="22"/>
                <w:szCs w:val="22"/>
                <w:highlight w:val="none"/>
              </w:rPr>
              <w:t>基于图神经网络的晶体结构表征及属性预测软件</w:t>
            </w:r>
            <w:r>
              <w:rPr>
                <w:rFonts w:hint="eastAsia" w:ascii="Arial" w:hAnsi="Arial" w:eastAsia="宋体" w:cs="Arial"/>
                <w:b/>
                <w:bCs w:val="0"/>
                <w:color w:val="auto"/>
                <w:sz w:val="22"/>
                <w:szCs w:val="22"/>
                <w:highlight w:val="none"/>
                <w:lang w:eastAsia="zh-CN"/>
              </w:rPr>
              <w:t>、</w:t>
            </w:r>
            <w:r>
              <w:rPr>
                <w:rFonts w:hint="eastAsia" w:ascii="Arial" w:hAnsi="Arial" w:eastAsia="宋体" w:cs="Arial"/>
                <w:b/>
                <w:bCs w:val="0"/>
                <w:color w:val="auto"/>
                <w:sz w:val="22"/>
                <w:szCs w:val="22"/>
                <w:highlight w:val="none"/>
                <w:lang w:val="en-US" w:eastAsia="zh-CN"/>
              </w:rPr>
              <w:t>序号4产品</w:t>
            </w:r>
            <w:r>
              <w:rPr>
                <w:rFonts w:ascii="Arial" w:hAnsi="Arial" w:eastAsia="宋体" w:cs="Arial"/>
                <w:b/>
                <w:bCs w:val="0"/>
                <w:color w:val="auto"/>
                <w:sz w:val="22"/>
                <w:szCs w:val="22"/>
                <w:highlight w:val="none"/>
              </w:rPr>
              <w:t>基于原子环境的结构特征提取软件</w:t>
            </w:r>
            <w:r>
              <w:rPr>
                <w:rFonts w:hint="eastAsia" w:ascii="Arial" w:hAnsi="Arial" w:eastAsia="宋体" w:cs="Arial"/>
                <w:b/>
                <w:bCs w:val="0"/>
                <w:color w:val="auto"/>
                <w:sz w:val="22"/>
                <w:szCs w:val="22"/>
                <w:highlight w:val="none"/>
                <w:lang w:eastAsia="zh-CN"/>
              </w:rPr>
              <w:t>、</w:t>
            </w:r>
            <w:r>
              <w:rPr>
                <w:rFonts w:hint="eastAsia" w:ascii="Arial" w:hAnsi="Arial" w:eastAsia="宋体" w:cs="Arial"/>
                <w:b/>
                <w:bCs w:val="0"/>
                <w:color w:val="auto"/>
                <w:sz w:val="22"/>
                <w:szCs w:val="22"/>
                <w:highlight w:val="none"/>
                <w:lang w:val="en-US" w:eastAsia="zh-CN"/>
              </w:rPr>
              <w:t>序号5产品</w:t>
            </w:r>
            <w:r>
              <w:rPr>
                <w:rFonts w:ascii="Arial" w:hAnsi="Arial" w:eastAsia="宋体" w:cs="Arial"/>
                <w:b/>
                <w:bCs w:val="0"/>
                <w:color w:val="auto"/>
                <w:sz w:val="22"/>
                <w:szCs w:val="22"/>
                <w:highlight w:val="none"/>
              </w:rPr>
              <w:t>晶体结构预测软件</w:t>
            </w:r>
            <w:r>
              <w:rPr>
                <w:rFonts w:hint="eastAsia" w:ascii="Arial" w:hAnsi="Arial" w:eastAsia="宋体" w:cs="Arial"/>
                <w:b/>
                <w:bCs w:val="0"/>
                <w:color w:val="auto"/>
                <w:sz w:val="22"/>
                <w:szCs w:val="22"/>
                <w:highlight w:val="none"/>
              </w:rPr>
              <w:t>供货时提供软件著作权证书</w:t>
            </w:r>
            <w:r>
              <w:rPr>
                <w:rFonts w:hint="eastAsia" w:ascii="Arial" w:hAnsi="Arial" w:eastAsia="宋体" w:cs="Arial"/>
                <w:b/>
                <w:bCs w:val="0"/>
                <w:color w:val="auto"/>
                <w:sz w:val="22"/>
                <w:szCs w:val="22"/>
                <w:highlight w:val="none"/>
                <w:lang w:val="en-US" w:eastAsia="zh-CN"/>
              </w:rPr>
              <w:t>复印件加盖供应商公章</w:t>
            </w:r>
            <w:r>
              <w:rPr>
                <w:rFonts w:hint="eastAsia" w:ascii="Arial" w:hAnsi="Arial" w:eastAsia="宋体" w:cs="Arial"/>
                <w:b/>
                <w:bCs w:val="0"/>
                <w:color w:val="auto"/>
                <w:sz w:val="22"/>
                <w:szCs w:val="22"/>
                <w:highlight w:val="none"/>
              </w:rPr>
              <w:t>，否则，不予验收</w:t>
            </w:r>
            <w:r>
              <w:rPr>
                <w:rFonts w:hint="eastAsia" w:ascii="Arial" w:hAnsi="Arial" w:eastAsia="宋体" w:cs="Arial"/>
                <w:b/>
                <w:bCs w:val="0"/>
                <w:color w:val="auto"/>
                <w:sz w:val="22"/>
                <w:szCs w:val="22"/>
                <w:highlight w:val="none"/>
                <w:lang w:eastAsia="zh-CN"/>
              </w:rPr>
              <w:t>。</w:t>
            </w:r>
          </w:p>
        </w:tc>
      </w:tr>
    </w:tbl>
    <w:p w14:paraId="4274C7B4">
      <w:pPr>
        <w:rPr>
          <w:rFonts w:ascii="Arial" w:hAnsi="Arial" w:eastAsia="宋体" w:cs="Arial"/>
          <w:b/>
          <w:color w:val="auto"/>
          <w:highlight w:val="none"/>
        </w:rPr>
      </w:pPr>
      <w:r>
        <w:rPr>
          <w:rFonts w:ascii="Arial" w:hAnsi="Arial" w:eastAsia="宋体" w:cs="Arial"/>
          <w:b/>
          <w:color w:val="auto"/>
          <w:highlight w:val="none"/>
        </w:rPr>
        <w:br w:type="page"/>
      </w:r>
    </w:p>
    <w:p w14:paraId="23E9478A">
      <w:pPr>
        <w:pStyle w:val="2"/>
        <w:snapToGrid w:val="0"/>
        <w:spacing w:before="0" w:after="0" w:line="240" w:lineRule="auto"/>
        <w:jc w:val="center"/>
        <w:rPr>
          <w:color w:val="auto"/>
          <w:highlight w:val="none"/>
        </w:rPr>
      </w:pPr>
      <w:bookmarkStart w:id="29" w:name="_Toc16632"/>
      <w:r>
        <w:rPr>
          <w:color w:val="auto"/>
          <w:highlight w:val="none"/>
        </w:rPr>
        <w:t>第四章  评审办法</w:t>
      </w:r>
      <w:bookmarkEnd w:id="28"/>
      <w:bookmarkEnd w:id="29"/>
    </w:p>
    <w:p w14:paraId="291453A0">
      <w:pPr>
        <w:pStyle w:val="14"/>
        <w:snapToGrid w:val="0"/>
        <w:ind w:firstLine="420" w:firstLineChars="200"/>
        <w:rPr>
          <w:rFonts w:ascii="Arial" w:hAnsi="Arial" w:eastAsia="宋体" w:cs="Arial"/>
          <w:b/>
          <w:bCs/>
          <w:color w:val="auto"/>
          <w:szCs w:val="21"/>
          <w:highlight w:val="none"/>
        </w:rPr>
      </w:pPr>
    </w:p>
    <w:p w14:paraId="5AD18180">
      <w:pPr>
        <w:pStyle w:val="14"/>
        <w:snapToGrid w:val="0"/>
        <w:spacing w:line="300" w:lineRule="auto"/>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一、评审依据</w:t>
      </w:r>
    </w:p>
    <w:p w14:paraId="2957B798">
      <w:pPr>
        <w:pStyle w:val="14"/>
        <w:snapToGrid w:val="0"/>
        <w:spacing w:line="300" w:lineRule="auto"/>
        <w:ind w:firstLine="420" w:firstLineChars="200"/>
        <w:rPr>
          <w:rFonts w:ascii="Arial" w:hAnsi="Arial" w:eastAsia="宋体" w:cs="Arial"/>
          <w:bCs/>
          <w:color w:val="auto"/>
          <w:highlight w:val="none"/>
        </w:rPr>
      </w:pPr>
      <w:r>
        <w:rPr>
          <w:rFonts w:ascii="Arial" w:hAnsi="Arial" w:eastAsia="宋体" w:cs="Arial"/>
          <w:bCs/>
          <w:color w:val="auto"/>
          <w:highlight w:val="none"/>
        </w:rPr>
        <w:t>1. 评审依据：谈判小组以谈判文件和响应文件为评审依据。</w:t>
      </w:r>
    </w:p>
    <w:p w14:paraId="3229BC59">
      <w:pPr>
        <w:pStyle w:val="14"/>
        <w:snapToGrid w:val="0"/>
        <w:spacing w:line="300" w:lineRule="auto"/>
        <w:ind w:firstLine="420" w:firstLineChars="200"/>
        <w:rPr>
          <w:rFonts w:ascii="Arial" w:hAnsi="Arial" w:eastAsia="宋体" w:cs="Arial"/>
          <w:bCs/>
          <w:color w:val="auto"/>
          <w:highlight w:val="none"/>
        </w:rPr>
      </w:pPr>
      <w:r>
        <w:rPr>
          <w:rFonts w:ascii="Arial" w:hAnsi="Arial" w:eastAsia="宋体" w:cs="Arial"/>
          <w:bCs/>
          <w:color w:val="auto"/>
          <w:highlight w:val="none"/>
        </w:rPr>
        <w:t>2. 采购人和采购代理机构、竞争性谈判小组成员要严格遵守相关法律制度，依法履行各自职责，公正、客观、审慎地组织和参与评审工作。</w:t>
      </w:r>
    </w:p>
    <w:p w14:paraId="5AB2A515">
      <w:pPr>
        <w:pStyle w:val="14"/>
        <w:snapToGrid w:val="0"/>
        <w:spacing w:line="300" w:lineRule="auto"/>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二、评审办法</w:t>
      </w:r>
    </w:p>
    <w:p w14:paraId="1AC4DD34">
      <w:pPr>
        <w:pStyle w:val="14"/>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1.谈判小组应当从质量和服务均能满足竞争性谈判文件全部实质性响应要求的供应商中，按照评审报价由低到高顺序提出3名以上（含3名）成交候选人。</w:t>
      </w:r>
    </w:p>
    <w:p w14:paraId="32681A52">
      <w:pPr>
        <w:pStyle w:val="14"/>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2.评审时，应当将通过资格性审查和符合性审查各供应商的评审报价，按照由低到高顺序排序；</w:t>
      </w:r>
    </w:p>
    <w:p w14:paraId="1BCB5F21">
      <w:pPr>
        <w:pStyle w:val="14"/>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提供相同品牌产品的不同</w:t>
      </w:r>
      <w:r>
        <w:rPr>
          <w:rFonts w:hint="eastAsia" w:ascii="Arial" w:hAnsi="Arial" w:eastAsia="宋体" w:cs="Arial"/>
          <w:color w:val="auto"/>
          <w:szCs w:val="21"/>
          <w:highlight w:val="none"/>
        </w:rPr>
        <w:t>供应商</w:t>
      </w:r>
      <w:r>
        <w:rPr>
          <w:rFonts w:ascii="Arial" w:hAnsi="Arial" w:eastAsia="宋体" w:cs="Arial"/>
          <w:color w:val="auto"/>
          <w:szCs w:val="21"/>
          <w:highlight w:val="none"/>
        </w:rPr>
        <w:t>参加同一合同项下</w:t>
      </w:r>
      <w:r>
        <w:rPr>
          <w:rFonts w:hint="eastAsia" w:ascii="Arial" w:hAnsi="Arial" w:eastAsia="宋体" w:cs="Arial"/>
          <w:color w:val="auto"/>
          <w:szCs w:val="21"/>
          <w:highlight w:val="none"/>
        </w:rPr>
        <w:t>谈判</w:t>
      </w:r>
      <w:r>
        <w:rPr>
          <w:rFonts w:ascii="Arial" w:hAnsi="Arial" w:eastAsia="宋体" w:cs="Arial"/>
          <w:color w:val="auto"/>
          <w:szCs w:val="21"/>
          <w:highlight w:val="none"/>
        </w:rPr>
        <w:t>的，以其中通过资格审查、符合性审查</w:t>
      </w:r>
      <w:r>
        <w:rPr>
          <w:rFonts w:hint="eastAsia" w:ascii="Arial" w:hAnsi="Arial" w:eastAsia="宋体" w:cs="Arial"/>
          <w:color w:val="auto"/>
          <w:szCs w:val="21"/>
          <w:highlight w:val="none"/>
        </w:rPr>
        <w:t>、谈判</w:t>
      </w:r>
      <w:r>
        <w:rPr>
          <w:rFonts w:ascii="Arial" w:hAnsi="Arial" w:eastAsia="宋体" w:cs="Arial"/>
          <w:color w:val="auto"/>
          <w:szCs w:val="21"/>
          <w:highlight w:val="none"/>
        </w:rPr>
        <w:t>且</w:t>
      </w:r>
      <w:r>
        <w:rPr>
          <w:rFonts w:hint="eastAsia" w:ascii="Arial" w:hAnsi="Arial" w:eastAsia="宋体" w:cs="Arial"/>
          <w:color w:val="auto"/>
          <w:szCs w:val="21"/>
          <w:highlight w:val="none"/>
        </w:rPr>
        <w:t>最后</w:t>
      </w:r>
      <w:r>
        <w:rPr>
          <w:rFonts w:ascii="Arial" w:hAnsi="Arial" w:eastAsia="宋体" w:cs="Arial"/>
          <w:color w:val="auto"/>
          <w:szCs w:val="21"/>
          <w:highlight w:val="none"/>
        </w:rPr>
        <w:t>报价最低的参加</w:t>
      </w:r>
      <w:r>
        <w:rPr>
          <w:rFonts w:hint="eastAsia" w:ascii="Arial" w:hAnsi="Arial" w:eastAsia="宋体" w:cs="Arial"/>
          <w:color w:val="auto"/>
          <w:szCs w:val="21"/>
          <w:highlight w:val="none"/>
        </w:rPr>
        <w:t>报价</w:t>
      </w:r>
      <w:r>
        <w:rPr>
          <w:rFonts w:ascii="Arial" w:hAnsi="Arial" w:eastAsia="宋体" w:cs="Arial"/>
          <w:color w:val="auto"/>
          <w:szCs w:val="21"/>
          <w:highlight w:val="none"/>
        </w:rPr>
        <w:t>评审，</w:t>
      </w:r>
      <w:r>
        <w:rPr>
          <w:rFonts w:hint="eastAsia" w:ascii="Arial" w:hAnsi="Arial" w:eastAsia="宋体" w:cs="Arial"/>
          <w:color w:val="auto"/>
          <w:szCs w:val="21"/>
          <w:highlight w:val="none"/>
        </w:rPr>
        <w:t>最后</w:t>
      </w:r>
      <w:r>
        <w:rPr>
          <w:rFonts w:ascii="Arial" w:hAnsi="Arial" w:eastAsia="宋体" w:cs="Arial"/>
          <w:color w:val="auto"/>
          <w:szCs w:val="21"/>
          <w:highlight w:val="none"/>
        </w:rPr>
        <w:t>报价相同的，</w:t>
      </w:r>
      <w:r>
        <w:rPr>
          <w:rFonts w:hint="eastAsia" w:ascii="Arial" w:hAnsi="Arial" w:eastAsia="宋体" w:cs="Arial"/>
          <w:color w:val="auto"/>
          <w:szCs w:val="21"/>
          <w:highlight w:val="none"/>
        </w:rPr>
        <w:t>由采购人或者采购人委托谈判小组按照竞争性谈判文件规定的方式确定一个参加评审的供应商，竞争性谈判文件未规定的采取随机抽取方式确定，其他响应文件作无效处理。</w:t>
      </w:r>
    </w:p>
    <w:p w14:paraId="2B120C62">
      <w:pPr>
        <w:pStyle w:val="14"/>
        <w:snapToGrid w:val="0"/>
        <w:spacing w:line="300"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非单一产品采购项目，多家供应商提供的核心产品品牌相同的，按前款规定处理。</w:t>
      </w:r>
    </w:p>
    <w:p w14:paraId="477744FD">
      <w:pPr>
        <w:pStyle w:val="14"/>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除以上情况外，当评审报价相同时，以最后报价低的优先排序；当最后报价相同时，则依次按节能环保产品优先、技术指标高优先、售后服务优先原则排序。</w:t>
      </w:r>
    </w:p>
    <w:p w14:paraId="369C9E7F">
      <w:pPr>
        <w:pStyle w:val="14"/>
        <w:snapToGrid w:val="0"/>
        <w:spacing w:line="300"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3.评审报价为供应商的最后报价进行政策性扣除后的价格，评审报价只是作为评审时使用。最终成交供应商的成交金额等于最后报价。</w:t>
      </w:r>
    </w:p>
    <w:p w14:paraId="0C01602A">
      <w:pPr>
        <w:pStyle w:val="14"/>
        <w:snapToGrid w:val="0"/>
        <w:spacing w:line="300"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4.政策性扣除计算方法：</w:t>
      </w:r>
    </w:p>
    <w:p w14:paraId="76F3094D">
      <w:pPr>
        <w:pStyle w:val="14"/>
        <w:snapToGrid w:val="0"/>
        <w:spacing w:line="300"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1）根据《政府采购促进中小企业发展管理办法》（财库〔2020〕46号）规定，供应商在其响应文件中提供《中小企业声明函》，且其投标全部货物由小微企业制造的，对其最后报价给予10%的扣除，用扣除后的价格参加评审，扣除后的价格为评审报价，即评审报价=最后报价×（1-10%）。</w:t>
      </w:r>
    </w:p>
    <w:p w14:paraId="61A047D4">
      <w:pPr>
        <w:pStyle w:val="14"/>
        <w:snapToGrid w:val="0"/>
        <w:spacing w:line="300"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8F5CBF5">
      <w:pPr>
        <w:pStyle w:val="14"/>
        <w:snapToGrid w:val="0"/>
        <w:spacing w:line="300"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58C8E4E">
      <w:pPr>
        <w:pStyle w:val="14"/>
        <w:snapToGrid w:val="0"/>
        <w:spacing w:line="300" w:lineRule="auto"/>
        <w:ind w:firstLine="420" w:firstLineChars="200"/>
        <w:rPr>
          <w:rFonts w:ascii="Arial" w:hAnsi="Arial" w:eastAsia="宋体" w:cs="Arial"/>
          <w:color w:val="auto"/>
          <w:szCs w:val="21"/>
          <w:highlight w:val="none"/>
        </w:rPr>
      </w:pPr>
      <w:r>
        <w:rPr>
          <w:rFonts w:hint="eastAsia" w:ascii="Arial" w:hAnsi="Arial" w:eastAsia="宋体" w:cs="Arial"/>
          <w:color w:val="auto"/>
          <w:szCs w:val="21"/>
          <w:highlight w:val="none"/>
        </w:rPr>
        <w:t>（4）除上述情况外，评审报价=最后报价。</w:t>
      </w:r>
    </w:p>
    <w:p w14:paraId="5B57DCF3">
      <w:pPr>
        <w:pStyle w:val="14"/>
        <w:snapToGrid w:val="0"/>
        <w:spacing w:line="300" w:lineRule="auto"/>
        <w:ind w:firstLine="420" w:firstLineChars="200"/>
        <w:rPr>
          <w:rFonts w:ascii="Arial" w:hAnsi="Arial" w:eastAsia="宋体" w:cs="Arial"/>
          <w:b/>
          <w:bCs/>
          <w:color w:val="auto"/>
          <w:szCs w:val="21"/>
          <w:highlight w:val="none"/>
        </w:rPr>
      </w:pPr>
      <w:r>
        <w:rPr>
          <w:rFonts w:ascii="Arial" w:hAnsi="Arial" w:eastAsia="宋体" w:cs="Arial"/>
          <w:b/>
          <w:bCs/>
          <w:color w:val="auto"/>
          <w:szCs w:val="21"/>
          <w:highlight w:val="none"/>
        </w:rPr>
        <w:t>三、成交候选人确定原则</w:t>
      </w:r>
    </w:p>
    <w:p w14:paraId="7A427A09">
      <w:pPr>
        <w:pStyle w:val="14"/>
        <w:tabs>
          <w:tab w:val="left" w:pos="4214"/>
        </w:tabs>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（1）采购单位应当确定谈判小组推荐排名第一的成交候选人为成交供应商。</w:t>
      </w:r>
    </w:p>
    <w:p w14:paraId="4D01E109">
      <w:pPr>
        <w:pStyle w:val="14"/>
        <w:snapToGrid w:val="0"/>
        <w:spacing w:line="300" w:lineRule="auto"/>
        <w:ind w:firstLine="447" w:firstLineChars="213"/>
        <w:rPr>
          <w:rFonts w:ascii="Arial" w:hAnsi="Arial" w:eastAsia="宋体" w:cs="Arial"/>
          <w:color w:val="auto"/>
          <w:szCs w:val="21"/>
          <w:highlight w:val="none"/>
        </w:rPr>
      </w:pPr>
      <w:r>
        <w:rPr>
          <w:rFonts w:ascii="Arial" w:hAnsi="Arial" w:eastAsia="宋体" w:cs="Arial"/>
          <w:color w:val="auto"/>
          <w:szCs w:val="21"/>
          <w:highlight w:val="none"/>
        </w:rPr>
        <w:t>（2）排名第一的成交候选人放弃成交、因不可抗力提出不能履行合同，或因失信行为被取消成交候选人资格的，采购单位可以确定排名第二的成交候选人为成交供应商。</w:t>
      </w:r>
    </w:p>
    <w:p w14:paraId="6EB75E13">
      <w:pPr>
        <w:pStyle w:val="14"/>
        <w:snapToGrid w:val="0"/>
        <w:spacing w:line="300" w:lineRule="auto"/>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（3）排名第二的成交候选人因前款规定的同样原因不能签订合同的，采购单位可以确定排名第三的成交候选人为成交供应商。</w:t>
      </w:r>
    </w:p>
    <w:p w14:paraId="091FC171">
      <w:pPr>
        <w:spacing w:line="360" w:lineRule="exact"/>
        <w:jc w:val="center"/>
        <w:rPr>
          <w:rFonts w:ascii="Arial" w:hAnsi="Arial" w:eastAsia="宋体" w:cs="Arial"/>
          <w:b/>
          <w:color w:val="auto"/>
          <w:sz w:val="32"/>
          <w:szCs w:val="32"/>
          <w:highlight w:val="none"/>
        </w:rPr>
      </w:pPr>
    </w:p>
    <w:p w14:paraId="5B83EDF6">
      <w:pPr>
        <w:pStyle w:val="2"/>
        <w:jc w:val="center"/>
        <w:rPr>
          <w:rFonts w:ascii="Arial" w:hAnsi="Arial" w:eastAsia="宋体" w:cs="Arial"/>
          <w:color w:val="auto"/>
          <w:highlight w:val="none"/>
        </w:rPr>
      </w:pPr>
      <w:r>
        <w:rPr>
          <w:rFonts w:ascii="Arial" w:hAnsi="Arial" w:eastAsia="宋体" w:cs="Arial"/>
          <w:b w:val="0"/>
          <w:color w:val="auto"/>
          <w:highlight w:val="none"/>
        </w:rPr>
        <w:br w:type="page"/>
      </w:r>
      <w:bookmarkStart w:id="30" w:name="_Toc7117"/>
      <w:bookmarkStart w:id="31" w:name="_Toc16567"/>
      <w:r>
        <w:rPr>
          <w:rFonts w:ascii="Arial" w:hAnsi="Arial" w:eastAsia="宋体" w:cs="Arial"/>
          <w:bCs w:val="0"/>
          <w:color w:val="auto"/>
          <w:highlight w:val="none"/>
        </w:rPr>
        <w:t>第五章  采购合同（合同主要条款及格式）</w:t>
      </w:r>
      <w:bookmarkEnd w:id="30"/>
      <w:bookmarkEnd w:id="31"/>
    </w:p>
    <w:p w14:paraId="288BF532">
      <w:pPr>
        <w:snapToGrid w:val="0"/>
        <w:spacing w:line="360" w:lineRule="exact"/>
        <w:ind w:right="480" w:firstLine="6720" w:firstLineChars="3200"/>
        <w:rPr>
          <w:rFonts w:ascii="Arial" w:hAnsi="Arial" w:eastAsia="宋体" w:cs="Arial"/>
          <w:bCs/>
          <w:color w:val="auto"/>
          <w:szCs w:val="21"/>
          <w:highlight w:val="none"/>
          <w:u w:val="single"/>
        </w:rPr>
      </w:pPr>
      <w:r>
        <w:rPr>
          <w:rFonts w:ascii="Arial" w:hAnsi="Arial" w:eastAsia="宋体" w:cs="Arial"/>
          <w:bCs/>
          <w:color w:val="auto"/>
          <w:szCs w:val="21"/>
          <w:highlight w:val="none"/>
        </w:rPr>
        <w:t>合同编号：</w:t>
      </w:r>
      <w:r>
        <w:rPr>
          <w:rFonts w:ascii="Arial" w:hAnsi="Arial" w:eastAsia="宋体" w:cs="Arial"/>
          <w:bCs/>
          <w:color w:val="auto"/>
          <w:szCs w:val="21"/>
          <w:highlight w:val="none"/>
          <w:u w:val="single"/>
        </w:rPr>
        <w:t xml:space="preserve">          </w:t>
      </w:r>
    </w:p>
    <w:p w14:paraId="6F446F7C">
      <w:pPr>
        <w:snapToGrid w:val="0"/>
        <w:spacing w:line="360" w:lineRule="exact"/>
        <w:rPr>
          <w:rFonts w:ascii="Arial" w:hAnsi="Arial" w:eastAsia="宋体" w:cs="Arial"/>
          <w:color w:val="auto"/>
          <w:szCs w:val="21"/>
          <w:highlight w:val="none"/>
        </w:rPr>
      </w:pPr>
    </w:p>
    <w:p w14:paraId="62C30E23">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采购人（甲方）:</w:t>
      </w:r>
      <w:r>
        <w:rPr>
          <w:rFonts w:ascii="Arial" w:hAnsi="Arial" w:eastAsia="宋体" w:cs="Arial"/>
          <w:color w:val="auto"/>
          <w:szCs w:val="21"/>
          <w:highlight w:val="none"/>
          <w:u w:val="single"/>
        </w:rPr>
        <w:t xml:space="preserve">桂林理工大学      </w:t>
      </w:r>
      <w:r>
        <w:rPr>
          <w:rFonts w:ascii="Arial" w:hAnsi="Arial" w:eastAsia="宋体" w:cs="Arial"/>
          <w:color w:val="auto"/>
          <w:szCs w:val="21"/>
          <w:highlight w:val="none"/>
        </w:rPr>
        <w:t xml:space="preserve">               </w:t>
      </w:r>
    </w:p>
    <w:p w14:paraId="18E1B370">
      <w:pPr>
        <w:snapToGrid w:val="0"/>
        <w:spacing w:line="360" w:lineRule="exact"/>
        <w:rPr>
          <w:rFonts w:ascii="Arial" w:hAnsi="Arial" w:eastAsia="宋体" w:cs="Arial"/>
          <w:color w:val="auto"/>
          <w:szCs w:val="21"/>
          <w:highlight w:val="none"/>
          <w:u w:val="single"/>
        </w:rPr>
      </w:pPr>
      <w:r>
        <w:rPr>
          <w:rFonts w:ascii="Arial" w:hAnsi="Arial" w:eastAsia="宋体" w:cs="Arial"/>
          <w:color w:val="auto"/>
          <w:szCs w:val="21"/>
          <w:highlight w:val="none"/>
        </w:rPr>
        <w:t>供应商（乙方）:</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项目编号:</w:t>
      </w:r>
      <w:r>
        <w:rPr>
          <w:rFonts w:ascii="Arial" w:hAnsi="Arial" w:eastAsia="宋体" w:cs="Arial"/>
          <w:color w:val="auto"/>
          <w:szCs w:val="21"/>
          <w:highlight w:val="none"/>
          <w:u w:val="single"/>
        </w:rPr>
        <w:t xml:space="preserve">                </w:t>
      </w:r>
    </w:p>
    <w:p w14:paraId="26EDCF08">
      <w:pPr>
        <w:snapToGrid w:val="0"/>
        <w:spacing w:line="360" w:lineRule="exact"/>
        <w:rPr>
          <w:rFonts w:ascii="Arial" w:hAnsi="Arial" w:eastAsia="宋体" w:cs="Arial"/>
          <w:color w:val="auto"/>
          <w:szCs w:val="21"/>
          <w:highlight w:val="none"/>
          <w:u w:val="single"/>
        </w:rPr>
      </w:pPr>
      <w:r>
        <w:rPr>
          <w:rFonts w:ascii="Arial" w:hAnsi="Arial" w:eastAsia="宋体" w:cs="Arial"/>
          <w:color w:val="auto"/>
          <w:szCs w:val="21"/>
          <w:highlight w:val="none"/>
        </w:rPr>
        <w:t>签订地点:</w:t>
      </w:r>
      <w:r>
        <w:rPr>
          <w:rFonts w:ascii="Arial" w:hAnsi="Arial" w:eastAsia="宋体" w:cs="Arial"/>
          <w:color w:val="auto"/>
          <w:szCs w:val="21"/>
          <w:highlight w:val="none"/>
          <w:u w:val="single"/>
        </w:rPr>
        <w:t xml:space="preserve">  广西桂林              </w:t>
      </w:r>
      <w:r>
        <w:rPr>
          <w:rFonts w:ascii="Arial" w:hAnsi="Arial" w:eastAsia="宋体" w:cs="Arial"/>
          <w:color w:val="auto"/>
          <w:szCs w:val="21"/>
          <w:highlight w:val="none"/>
        </w:rPr>
        <w:t xml:space="preserve">               签订时间:</w:t>
      </w:r>
      <w:r>
        <w:rPr>
          <w:rFonts w:ascii="Arial" w:hAnsi="Arial" w:eastAsia="宋体" w:cs="Arial"/>
          <w:color w:val="auto"/>
          <w:szCs w:val="21"/>
          <w:highlight w:val="none"/>
          <w:u w:val="single"/>
        </w:rPr>
        <w:t xml:space="preserve">                </w:t>
      </w:r>
    </w:p>
    <w:p w14:paraId="711BBDC2">
      <w:pPr>
        <w:snapToGrid w:val="0"/>
        <w:spacing w:line="360" w:lineRule="exact"/>
        <w:ind w:firstLine="420" w:firstLineChars="200"/>
        <w:rPr>
          <w:rFonts w:ascii="Arial" w:hAnsi="Arial" w:eastAsia="宋体" w:cs="Arial"/>
          <w:color w:val="auto"/>
          <w:szCs w:val="21"/>
          <w:highlight w:val="none"/>
        </w:rPr>
      </w:pPr>
      <w:r>
        <w:rPr>
          <w:rFonts w:ascii="Arial" w:hAnsi="Arial" w:eastAsia="宋体" w:cs="Arial"/>
          <w:color w:val="auto"/>
          <w:szCs w:val="21"/>
          <w:highlight w:val="none"/>
        </w:rPr>
        <w:t>根据《中华人民共和国政府采购法》、</w:t>
      </w:r>
      <w:r>
        <w:rPr>
          <w:rFonts w:ascii="Arial" w:hAnsi="Arial" w:eastAsia="宋体" w:cs="Arial"/>
          <w:color w:val="auto"/>
          <w:highlight w:val="none"/>
        </w:rPr>
        <w:t>《中华人民共和国政府采购法实施条例》、</w:t>
      </w:r>
      <w:r>
        <w:rPr>
          <w:rFonts w:ascii="Arial" w:hAnsi="Arial" w:eastAsia="宋体" w:cs="Arial"/>
          <w:color w:val="auto"/>
          <w:szCs w:val="21"/>
          <w:highlight w:val="none"/>
        </w:rPr>
        <w:t>《</w:t>
      </w:r>
      <w:r>
        <w:rPr>
          <w:rFonts w:ascii="Arial" w:hAnsi="Arial" w:eastAsia="宋体" w:cs="Arial"/>
          <w:color w:val="auto"/>
          <w:szCs w:val="21"/>
          <w:highlight w:val="none"/>
          <w:shd w:val="clear" w:color="auto" w:fill="FFFFFF"/>
        </w:rPr>
        <w:t>中华人民共和国民法典</w:t>
      </w:r>
      <w:r>
        <w:rPr>
          <w:rFonts w:ascii="Arial" w:hAnsi="Arial" w:eastAsia="宋体" w:cs="Arial"/>
          <w:color w:val="auto"/>
          <w:szCs w:val="21"/>
          <w:highlight w:val="none"/>
        </w:rPr>
        <w:t>》等法律、法规规定，甲乙双方签订本合同。</w:t>
      </w:r>
    </w:p>
    <w:p w14:paraId="471A7570">
      <w:pPr>
        <w:snapToGrid w:val="0"/>
        <w:spacing w:line="360" w:lineRule="exact"/>
        <w:rPr>
          <w:rFonts w:ascii="Arial" w:hAnsi="Arial" w:eastAsia="宋体" w:cs="Arial"/>
          <w:b/>
          <w:color w:val="auto"/>
          <w:szCs w:val="21"/>
          <w:highlight w:val="none"/>
        </w:rPr>
      </w:pPr>
      <w:r>
        <w:rPr>
          <w:rFonts w:ascii="Arial" w:hAnsi="Arial" w:eastAsia="宋体" w:cs="Arial"/>
          <w:b/>
          <w:color w:val="auto"/>
          <w:szCs w:val="21"/>
          <w:highlight w:val="none"/>
        </w:rPr>
        <w:t>第一条　合同标的</w:t>
      </w:r>
    </w:p>
    <w:p w14:paraId="1E4AC755">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1.供货一览表</w:t>
      </w:r>
    </w:p>
    <w:tbl>
      <w:tblPr>
        <w:tblStyle w:val="24"/>
        <w:tblW w:w="970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701"/>
        <w:gridCol w:w="992"/>
        <w:gridCol w:w="1134"/>
        <w:gridCol w:w="851"/>
        <w:gridCol w:w="708"/>
        <w:gridCol w:w="709"/>
        <w:gridCol w:w="1016"/>
        <w:gridCol w:w="1564"/>
      </w:tblGrid>
      <w:tr w14:paraId="6D0D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31" w:type="dxa"/>
            <w:vAlign w:val="center"/>
          </w:tcPr>
          <w:p w14:paraId="00DD9F9A">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项号</w:t>
            </w:r>
          </w:p>
        </w:tc>
        <w:tc>
          <w:tcPr>
            <w:tcW w:w="1701" w:type="dxa"/>
            <w:vAlign w:val="center"/>
          </w:tcPr>
          <w:p w14:paraId="4760CADF">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货物名称</w:t>
            </w:r>
          </w:p>
        </w:tc>
        <w:tc>
          <w:tcPr>
            <w:tcW w:w="992" w:type="dxa"/>
            <w:vAlign w:val="center"/>
          </w:tcPr>
          <w:p w14:paraId="3BA8E544">
            <w:pPr>
              <w:snapToGrid w:val="0"/>
              <w:jc w:val="center"/>
              <w:rPr>
                <w:rFonts w:ascii="Arial" w:hAnsi="Arial" w:eastAsia="宋体" w:cs="Arial"/>
                <w:color w:val="auto"/>
                <w:szCs w:val="21"/>
                <w:highlight w:val="none"/>
              </w:rPr>
            </w:pPr>
            <w:r>
              <w:rPr>
                <w:rFonts w:ascii="Arial" w:hAnsi="Arial" w:eastAsia="宋体" w:cs="Arial"/>
                <w:color w:val="auto"/>
                <w:szCs w:val="30"/>
                <w:highlight w:val="none"/>
              </w:rPr>
              <w:t>厂家、品牌</w:t>
            </w:r>
          </w:p>
        </w:tc>
        <w:tc>
          <w:tcPr>
            <w:tcW w:w="1134" w:type="dxa"/>
            <w:vAlign w:val="center"/>
          </w:tcPr>
          <w:p w14:paraId="09E51E8B">
            <w:pPr>
              <w:snapToGrid w:val="0"/>
              <w:jc w:val="center"/>
              <w:rPr>
                <w:rFonts w:ascii="Arial" w:hAnsi="Arial" w:eastAsia="宋体" w:cs="Arial"/>
                <w:color w:val="auto"/>
                <w:szCs w:val="21"/>
                <w:highlight w:val="none"/>
              </w:rPr>
            </w:pPr>
            <w:r>
              <w:rPr>
                <w:rFonts w:ascii="Arial" w:hAnsi="Arial" w:eastAsia="宋体" w:cs="Arial"/>
                <w:color w:val="auto"/>
                <w:szCs w:val="30"/>
                <w:highlight w:val="none"/>
              </w:rPr>
              <w:t>规格型号</w:t>
            </w:r>
          </w:p>
        </w:tc>
        <w:tc>
          <w:tcPr>
            <w:tcW w:w="851" w:type="dxa"/>
            <w:vAlign w:val="center"/>
          </w:tcPr>
          <w:p w14:paraId="05041CD4">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技术参数</w:t>
            </w:r>
          </w:p>
        </w:tc>
        <w:tc>
          <w:tcPr>
            <w:tcW w:w="708" w:type="dxa"/>
            <w:vAlign w:val="center"/>
          </w:tcPr>
          <w:p w14:paraId="530BAF60">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数量</w:t>
            </w:r>
          </w:p>
          <w:p w14:paraId="0AD72850">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①</w:t>
            </w:r>
          </w:p>
        </w:tc>
        <w:tc>
          <w:tcPr>
            <w:tcW w:w="709" w:type="dxa"/>
            <w:vAlign w:val="center"/>
          </w:tcPr>
          <w:p w14:paraId="71C2B51E">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单位</w:t>
            </w:r>
          </w:p>
        </w:tc>
        <w:tc>
          <w:tcPr>
            <w:tcW w:w="1016" w:type="dxa"/>
            <w:vAlign w:val="center"/>
          </w:tcPr>
          <w:p w14:paraId="6CECC826">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单价（元）</w:t>
            </w:r>
          </w:p>
          <w:p w14:paraId="6A0BD6B6">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②</w:t>
            </w:r>
          </w:p>
        </w:tc>
        <w:tc>
          <w:tcPr>
            <w:tcW w:w="1564" w:type="dxa"/>
            <w:vAlign w:val="center"/>
          </w:tcPr>
          <w:p w14:paraId="5902725C">
            <w:pPr>
              <w:snapToGrid w:val="0"/>
              <w:jc w:val="center"/>
              <w:rPr>
                <w:rFonts w:ascii="Arial" w:hAnsi="Arial" w:eastAsia="宋体" w:cs="Arial"/>
                <w:color w:val="auto"/>
                <w:szCs w:val="21"/>
                <w:highlight w:val="none"/>
              </w:rPr>
            </w:pPr>
            <w:r>
              <w:rPr>
                <w:rFonts w:ascii="Arial" w:hAnsi="Arial" w:eastAsia="宋体" w:cs="Arial"/>
                <w:b/>
                <w:color w:val="auto"/>
                <w:szCs w:val="21"/>
                <w:highlight w:val="none"/>
              </w:rPr>
              <w:t>单项合计金额</w:t>
            </w:r>
            <w:r>
              <w:rPr>
                <w:rFonts w:ascii="Arial" w:hAnsi="Arial" w:eastAsia="宋体" w:cs="Arial"/>
                <w:color w:val="auto"/>
                <w:szCs w:val="21"/>
                <w:highlight w:val="none"/>
              </w:rPr>
              <w:t>（元）</w:t>
            </w:r>
          </w:p>
          <w:p w14:paraId="21D6220F">
            <w:pPr>
              <w:snapToGrid w:val="0"/>
              <w:jc w:val="center"/>
              <w:rPr>
                <w:rFonts w:ascii="Arial" w:hAnsi="Arial" w:eastAsia="宋体" w:cs="Arial"/>
                <w:color w:val="auto"/>
                <w:szCs w:val="21"/>
                <w:highlight w:val="none"/>
              </w:rPr>
            </w:pPr>
            <w:r>
              <w:rPr>
                <w:rFonts w:ascii="Arial" w:hAnsi="Arial" w:eastAsia="宋体" w:cs="Arial"/>
                <w:color w:val="auto"/>
                <w:szCs w:val="21"/>
                <w:highlight w:val="none"/>
              </w:rPr>
              <w:t>③＝①×②</w:t>
            </w:r>
          </w:p>
        </w:tc>
      </w:tr>
      <w:tr w14:paraId="1EA2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20F62B53">
            <w:pPr>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701" w:type="dxa"/>
            <w:vAlign w:val="center"/>
          </w:tcPr>
          <w:p w14:paraId="0642AA95">
            <w:pPr>
              <w:jc w:val="center"/>
              <w:rPr>
                <w:rFonts w:ascii="Arial" w:hAnsi="Arial" w:eastAsia="宋体" w:cs="Arial"/>
                <w:color w:val="auto"/>
                <w:szCs w:val="21"/>
                <w:highlight w:val="none"/>
              </w:rPr>
            </w:pPr>
          </w:p>
        </w:tc>
        <w:tc>
          <w:tcPr>
            <w:tcW w:w="992" w:type="dxa"/>
            <w:vAlign w:val="center"/>
          </w:tcPr>
          <w:p w14:paraId="02A25151">
            <w:pPr>
              <w:snapToGrid w:val="0"/>
              <w:rPr>
                <w:rFonts w:ascii="Arial" w:hAnsi="Arial" w:eastAsia="宋体" w:cs="Arial"/>
                <w:color w:val="auto"/>
                <w:szCs w:val="21"/>
                <w:highlight w:val="none"/>
              </w:rPr>
            </w:pPr>
          </w:p>
        </w:tc>
        <w:tc>
          <w:tcPr>
            <w:tcW w:w="1134" w:type="dxa"/>
            <w:vAlign w:val="center"/>
          </w:tcPr>
          <w:p w14:paraId="7DC23E41">
            <w:pPr>
              <w:snapToGrid w:val="0"/>
              <w:rPr>
                <w:rFonts w:ascii="Arial" w:hAnsi="Arial" w:eastAsia="宋体" w:cs="Arial"/>
                <w:color w:val="auto"/>
                <w:szCs w:val="21"/>
                <w:highlight w:val="none"/>
              </w:rPr>
            </w:pPr>
          </w:p>
        </w:tc>
        <w:tc>
          <w:tcPr>
            <w:tcW w:w="851" w:type="dxa"/>
            <w:vAlign w:val="center"/>
          </w:tcPr>
          <w:p w14:paraId="73E8D12E">
            <w:pPr>
              <w:snapToGrid w:val="0"/>
              <w:rPr>
                <w:rFonts w:ascii="Arial" w:hAnsi="Arial" w:eastAsia="宋体" w:cs="Arial"/>
                <w:color w:val="auto"/>
                <w:szCs w:val="21"/>
                <w:highlight w:val="none"/>
              </w:rPr>
            </w:pPr>
          </w:p>
        </w:tc>
        <w:tc>
          <w:tcPr>
            <w:tcW w:w="708" w:type="dxa"/>
            <w:vAlign w:val="center"/>
          </w:tcPr>
          <w:p w14:paraId="3FAD1CD7">
            <w:pPr>
              <w:jc w:val="center"/>
              <w:rPr>
                <w:rFonts w:ascii="Arial" w:hAnsi="Arial" w:eastAsia="宋体" w:cs="Arial"/>
                <w:color w:val="auto"/>
                <w:szCs w:val="21"/>
                <w:highlight w:val="none"/>
              </w:rPr>
            </w:pPr>
          </w:p>
        </w:tc>
        <w:tc>
          <w:tcPr>
            <w:tcW w:w="709" w:type="dxa"/>
            <w:vAlign w:val="center"/>
          </w:tcPr>
          <w:p w14:paraId="55476934">
            <w:pPr>
              <w:jc w:val="center"/>
              <w:rPr>
                <w:rFonts w:ascii="Arial" w:hAnsi="Arial" w:eastAsia="宋体" w:cs="Arial"/>
                <w:color w:val="auto"/>
                <w:szCs w:val="21"/>
                <w:highlight w:val="none"/>
              </w:rPr>
            </w:pPr>
          </w:p>
        </w:tc>
        <w:tc>
          <w:tcPr>
            <w:tcW w:w="1016" w:type="dxa"/>
            <w:vAlign w:val="center"/>
          </w:tcPr>
          <w:p w14:paraId="16D78228">
            <w:pPr>
              <w:snapToGrid w:val="0"/>
              <w:rPr>
                <w:rFonts w:ascii="Arial" w:hAnsi="Arial" w:eastAsia="宋体" w:cs="Arial"/>
                <w:color w:val="auto"/>
                <w:szCs w:val="21"/>
                <w:highlight w:val="none"/>
              </w:rPr>
            </w:pPr>
          </w:p>
        </w:tc>
        <w:tc>
          <w:tcPr>
            <w:tcW w:w="1564" w:type="dxa"/>
            <w:vAlign w:val="center"/>
          </w:tcPr>
          <w:p w14:paraId="06F66FC4">
            <w:pPr>
              <w:snapToGrid w:val="0"/>
              <w:rPr>
                <w:rFonts w:ascii="Arial" w:hAnsi="Arial" w:eastAsia="宋体" w:cs="Arial"/>
                <w:color w:val="auto"/>
                <w:szCs w:val="21"/>
                <w:highlight w:val="none"/>
              </w:rPr>
            </w:pPr>
          </w:p>
        </w:tc>
      </w:tr>
      <w:tr w14:paraId="4213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4B247187">
            <w:pPr>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701" w:type="dxa"/>
            <w:vAlign w:val="center"/>
          </w:tcPr>
          <w:p w14:paraId="59AE6378">
            <w:pPr>
              <w:jc w:val="center"/>
              <w:rPr>
                <w:rFonts w:ascii="Arial" w:hAnsi="Arial" w:eastAsia="宋体" w:cs="Arial"/>
                <w:color w:val="auto"/>
                <w:szCs w:val="21"/>
                <w:highlight w:val="none"/>
              </w:rPr>
            </w:pPr>
          </w:p>
        </w:tc>
        <w:tc>
          <w:tcPr>
            <w:tcW w:w="992" w:type="dxa"/>
            <w:vAlign w:val="center"/>
          </w:tcPr>
          <w:p w14:paraId="188AF6EA">
            <w:pPr>
              <w:snapToGrid w:val="0"/>
              <w:rPr>
                <w:rFonts w:ascii="Arial" w:hAnsi="Arial" w:eastAsia="宋体" w:cs="Arial"/>
                <w:color w:val="auto"/>
                <w:szCs w:val="21"/>
                <w:highlight w:val="none"/>
              </w:rPr>
            </w:pPr>
          </w:p>
        </w:tc>
        <w:tc>
          <w:tcPr>
            <w:tcW w:w="1134" w:type="dxa"/>
            <w:vAlign w:val="center"/>
          </w:tcPr>
          <w:p w14:paraId="798F6DF3">
            <w:pPr>
              <w:snapToGrid w:val="0"/>
              <w:rPr>
                <w:rFonts w:ascii="Arial" w:hAnsi="Arial" w:eastAsia="宋体" w:cs="Arial"/>
                <w:color w:val="auto"/>
                <w:szCs w:val="21"/>
                <w:highlight w:val="none"/>
              </w:rPr>
            </w:pPr>
          </w:p>
        </w:tc>
        <w:tc>
          <w:tcPr>
            <w:tcW w:w="851" w:type="dxa"/>
            <w:vAlign w:val="center"/>
          </w:tcPr>
          <w:p w14:paraId="7988A31C">
            <w:pPr>
              <w:snapToGrid w:val="0"/>
              <w:rPr>
                <w:rFonts w:ascii="Arial" w:hAnsi="Arial" w:eastAsia="宋体" w:cs="Arial"/>
                <w:color w:val="auto"/>
                <w:szCs w:val="21"/>
                <w:highlight w:val="none"/>
              </w:rPr>
            </w:pPr>
          </w:p>
        </w:tc>
        <w:tc>
          <w:tcPr>
            <w:tcW w:w="708" w:type="dxa"/>
            <w:vAlign w:val="center"/>
          </w:tcPr>
          <w:p w14:paraId="52CD6FB9">
            <w:pPr>
              <w:jc w:val="center"/>
              <w:rPr>
                <w:rFonts w:ascii="Arial" w:hAnsi="Arial" w:eastAsia="宋体" w:cs="Arial"/>
                <w:color w:val="auto"/>
                <w:szCs w:val="21"/>
                <w:highlight w:val="none"/>
              </w:rPr>
            </w:pPr>
          </w:p>
        </w:tc>
        <w:tc>
          <w:tcPr>
            <w:tcW w:w="709" w:type="dxa"/>
            <w:vAlign w:val="center"/>
          </w:tcPr>
          <w:p w14:paraId="72E90D6D">
            <w:pPr>
              <w:jc w:val="center"/>
              <w:rPr>
                <w:rFonts w:ascii="Arial" w:hAnsi="Arial" w:eastAsia="宋体" w:cs="Arial"/>
                <w:color w:val="auto"/>
                <w:szCs w:val="21"/>
                <w:highlight w:val="none"/>
              </w:rPr>
            </w:pPr>
          </w:p>
        </w:tc>
        <w:tc>
          <w:tcPr>
            <w:tcW w:w="1016" w:type="dxa"/>
            <w:vAlign w:val="center"/>
          </w:tcPr>
          <w:p w14:paraId="717C1E87">
            <w:pPr>
              <w:snapToGrid w:val="0"/>
              <w:rPr>
                <w:rFonts w:ascii="Arial" w:hAnsi="Arial" w:eastAsia="宋体" w:cs="Arial"/>
                <w:color w:val="auto"/>
                <w:szCs w:val="21"/>
                <w:highlight w:val="none"/>
              </w:rPr>
            </w:pPr>
          </w:p>
        </w:tc>
        <w:tc>
          <w:tcPr>
            <w:tcW w:w="1564" w:type="dxa"/>
            <w:vAlign w:val="center"/>
          </w:tcPr>
          <w:p w14:paraId="1E558527">
            <w:pPr>
              <w:snapToGrid w:val="0"/>
              <w:rPr>
                <w:rFonts w:ascii="Arial" w:hAnsi="Arial" w:eastAsia="宋体" w:cs="Arial"/>
                <w:color w:val="auto"/>
                <w:szCs w:val="21"/>
                <w:highlight w:val="none"/>
              </w:rPr>
            </w:pPr>
          </w:p>
        </w:tc>
      </w:tr>
      <w:tr w14:paraId="1911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14:paraId="4D117138">
            <w:pPr>
              <w:widowControl/>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1701" w:type="dxa"/>
            <w:vAlign w:val="center"/>
          </w:tcPr>
          <w:p w14:paraId="56DD845E">
            <w:pPr>
              <w:widowControl/>
              <w:jc w:val="center"/>
              <w:textAlignment w:val="center"/>
              <w:rPr>
                <w:rFonts w:ascii="Arial" w:hAnsi="Arial" w:eastAsia="宋体" w:cs="Arial"/>
                <w:color w:val="auto"/>
                <w:szCs w:val="21"/>
                <w:highlight w:val="none"/>
              </w:rPr>
            </w:pPr>
          </w:p>
        </w:tc>
        <w:tc>
          <w:tcPr>
            <w:tcW w:w="992" w:type="dxa"/>
            <w:vAlign w:val="center"/>
          </w:tcPr>
          <w:p w14:paraId="15F59935">
            <w:pPr>
              <w:snapToGrid w:val="0"/>
              <w:rPr>
                <w:rFonts w:ascii="Arial" w:hAnsi="Arial" w:eastAsia="宋体" w:cs="Arial"/>
                <w:color w:val="auto"/>
                <w:szCs w:val="21"/>
                <w:highlight w:val="none"/>
              </w:rPr>
            </w:pPr>
          </w:p>
        </w:tc>
        <w:tc>
          <w:tcPr>
            <w:tcW w:w="1134" w:type="dxa"/>
            <w:vAlign w:val="center"/>
          </w:tcPr>
          <w:p w14:paraId="75650F46">
            <w:pPr>
              <w:snapToGrid w:val="0"/>
              <w:rPr>
                <w:rFonts w:ascii="Arial" w:hAnsi="Arial" w:eastAsia="宋体" w:cs="Arial"/>
                <w:color w:val="auto"/>
                <w:szCs w:val="21"/>
                <w:highlight w:val="none"/>
              </w:rPr>
            </w:pPr>
          </w:p>
        </w:tc>
        <w:tc>
          <w:tcPr>
            <w:tcW w:w="851" w:type="dxa"/>
            <w:vAlign w:val="center"/>
          </w:tcPr>
          <w:p w14:paraId="3B97FCEC">
            <w:pPr>
              <w:snapToGrid w:val="0"/>
              <w:rPr>
                <w:rFonts w:ascii="Arial" w:hAnsi="Arial" w:eastAsia="宋体" w:cs="Arial"/>
                <w:color w:val="auto"/>
                <w:szCs w:val="21"/>
                <w:highlight w:val="none"/>
              </w:rPr>
            </w:pPr>
          </w:p>
        </w:tc>
        <w:tc>
          <w:tcPr>
            <w:tcW w:w="708" w:type="dxa"/>
            <w:vAlign w:val="center"/>
          </w:tcPr>
          <w:p w14:paraId="77FEE017">
            <w:pPr>
              <w:jc w:val="center"/>
              <w:rPr>
                <w:rFonts w:ascii="Arial" w:hAnsi="Arial" w:eastAsia="宋体" w:cs="Arial"/>
                <w:color w:val="auto"/>
                <w:szCs w:val="21"/>
                <w:highlight w:val="none"/>
              </w:rPr>
            </w:pPr>
          </w:p>
        </w:tc>
        <w:tc>
          <w:tcPr>
            <w:tcW w:w="709" w:type="dxa"/>
            <w:vAlign w:val="center"/>
          </w:tcPr>
          <w:p w14:paraId="0F9BC61B">
            <w:pPr>
              <w:jc w:val="center"/>
              <w:rPr>
                <w:rFonts w:ascii="Arial" w:hAnsi="Arial" w:eastAsia="宋体" w:cs="Arial"/>
                <w:color w:val="auto"/>
                <w:szCs w:val="21"/>
                <w:highlight w:val="none"/>
              </w:rPr>
            </w:pPr>
          </w:p>
        </w:tc>
        <w:tc>
          <w:tcPr>
            <w:tcW w:w="1016" w:type="dxa"/>
            <w:vAlign w:val="center"/>
          </w:tcPr>
          <w:p w14:paraId="0F909907">
            <w:pPr>
              <w:snapToGrid w:val="0"/>
              <w:rPr>
                <w:rFonts w:ascii="Arial" w:hAnsi="Arial" w:eastAsia="宋体" w:cs="Arial"/>
                <w:color w:val="auto"/>
                <w:szCs w:val="21"/>
                <w:highlight w:val="none"/>
              </w:rPr>
            </w:pPr>
          </w:p>
        </w:tc>
        <w:tc>
          <w:tcPr>
            <w:tcW w:w="1564" w:type="dxa"/>
            <w:vAlign w:val="center"/>
          </w:tcPr>
          <w:p w14:paraId="27C04834">
            <w:pPr>
              <w:snapToGrid w:val="0"/>
              <w:rPr>
                <w:rFonts w:ascii="Arial" w:hAnsi="Arial" w:eastAsia="宋体" w:cs="Arial"/>
                <w:color w:val="auto"/>
                <w:szCs w:val="21"/>
                <w:highlight w:val="none"/>
              </w:rPr>
            </w:pPr>
          </w:p>
        </w:tc>
      </w:tr>
      <w:tr w14:paraId="20B1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706" w:type="dxa"/>
            <w:gridSpan w:val="9"/>
            <w:vAlign w:val="center"/>
          </w:tcPr>
          <w:p w14:paraId="0B1D299E">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（合计金额）大写：                  </w:t>
            </w:r>
            <w:r>
              <w:rPr>
                <w:rFonts w:ascii="Arial" w:hAnsi="Arial" w:eastAsia="宋体" w:cs="Arial"/>
                <w:color w:val="auto"/>
                <w:spacing w:val="20"/>
                <w:szCs w:val="21"/>
                <w:highlight w:val="none"/>
              </w:rPr>
              <w:t>人民币（¥               ）</w:t>
            </w:r>
          </w:p>
        </w:tc>
      </w:tr>
    </w:tbl>
    <w:p w14:paraId="118AC097">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2.</w:t>
      </w:r>
      <w:r>
        <w:rPr>
          <w:rFonts w:ascii="Arial" w:hAnsi="Arial" w:eastAsia="宋体" w:cs="Arial"/>
          <w:color w:val="auto"/>
          <w:highlight w:val="none"/>
        </w:rPr>
        <w:t>合同合计金额包括：本次采购范围内货物货款、货物标准附件、备品备件、专用工具、包装、运输、装卸、保险、税金、货到就位以及安装、安装所需辅材、调试、培训、保修和采购文件要求提供的所有伴随服务、工程等费用和税费。</w:t>
      </w:r>
    </w:p>
    <w:p w14:paraId="37D0948F">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第二条　质量保证</w:t>
      </w:r>
    </w:p>
    <w:p w14:paraId="3B426677">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1.乙方所提供的产品名称、商标品牌、生产厂家、规格型号、技术参数等内容必须与</w:t>
      </w:r>
      <w:r>
        <w:rPr>
          <w:rFonts w:ascii="Arial" w:hAnsi="Arial" w:eastAsia="宋体" w:cs="Arial"/>
          <w:color w:val="auto"/>
          <w:highlight w:val="none"/>
        </w:rPr>
        <w:t>采购文件</w:t>
      </w:r>
      <w:r>
        <w:rPr>
          <w:rFonts w:ascii="Arial" w:hAnsi="Arial" w:eastAsia="宋体" w:cs="Arial"/>
          <w:color w:val="auto"/>
          <w:szCs w:val="21"/>
          <w:highlight w:val="none"/>
        </w:rPr>
        <w:t>规定及投标（响应）文件承诺相一致。乙方提供的节能和环保产品必须是列入政府采购</w:t>
      </w:r>
      <w:r>
        <w:rPr>
          <w:rFonts w:ascii="Arial" w:hAnsi="Arial" w:eastAsia="宋体" w:cs="Arial"/>
          <w:color w:val="auto"/>
          <w:highlight w:val="none"/>
        </w:rPr>
        <w:t>品目</w:t>
      </w:r>
      <w:r>
        <w:rPr>
          <w:rFonts w:ascii="Arial" w:hAnsi="Arial" w:eastAsia="宋体" w:cs="Arial"/>
          <w:color w:val="auto"/>
          <w:szCs w:val="21"/>
          <w:highlight w:val="none"/>
        </w:rPr>
        <w:t>清单的产品。</w:t>
      </w:r>
    </w:p>
    <w:p w14:paraId="2F4AA39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2.乙方所提供的货物必须是全新、未使用的原装产品，且在正常安装、使用和保养条件下，其使用寿命期内各项指标均达到</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规定或投标（响应）文件承诺的质量要求。</w:t>
      </w:r>
    </w:p>
    <w:p w14:paraId="68DA1923">
      <w:pPr>
        <w:tabs>
          <w:tab w:val="left" w:pos="900"/>
        </w:tabs>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第三条　权利保证</w:t>
      </w:r>
    </w:p>
    <w:p w14:paraId="1F585D4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1.甲方在履行合同过程中提供给乙方的全部图纸、文件和其他含有数据和信息的资料，其知识产权属于甲方。</w:t>
      </w:r>
    </w:p>
    <w:p w14:paraId="72671A3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456C6420">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56032FDC">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4.乙方应按</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规定或投标（响应）文件承诺的时间向甲方提供使用货物的有关技术资料。</w:t>
      </w:r>
    </w:p>
    <w:p w14:paraId="5B80DB4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未经甲方书面同意，乙方不得将由甲方提供的有关合同或任何合同条款、规格、计划、图纸、样品或资料提供给与履行本合同无关的任何其他人。即使向履行本合同有关的人员提供，也应注意保密并限于履行合同的必需范围。</w:t>
      </w:r>
    </w:p>
    <w:p w14:paraId="6491EEA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6.乙方保证将要交付的货物的所有权完全属于乙方且无任何抵押、质押、查封等产权瑕疵。</w:t>
      </w:r>
    </w:p>
    <w:p w14:paraId="7390E26F">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第四条　货物包装、发运及运输</w:t>
      </w:r>
    </w:p>
    <w:p w14:paraId="2372C1D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1.乙方提供的货物均应按</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规定或投标（响应）文件承诺的要求的包装材料、包装标准、包装方式进行包装，每一包装单元内应附详细的装箱单和质量合格证。</w:t>
      </w:r>
    </w:p>
    <w:p w14:paraId="0A3DE76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2.乙方应在货物发运前对其进行满足运输距离、防水、防潮、防震、防锈和防破损装卸等要求包装，以保证货物安全运达甲方指定地点。</w:t>
      </w:r>
    </w:p>
    <w:p w14:paraId="38DE20FD">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3.货物在交付甲方前发生的风险均由乙方负责。</w:t>
      </w:r>
    </w:p>
    <w:p w14:paraId="0DEA05A9">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4.使用说明书、质量检验证明书、随配附件和工具以及清单一并附于货物内，进口设备必须提供报关单。</w:t>
      </w:r>
    </w:p>
    <w:p w14:paraId="297E1BD5">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第五条　交付</w:t>
      </w:r>
    </w:p>
    <w:p w14:paraId="44F80D47">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1.交货时间：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【按乙方投标（响应）文件中承诺的不超过</w:t>
      </w:r>
      <w:r>
        <w:rPr>
          <w:rFonts w:ascii="Arial" w:hAnsi="Arial" w:eastAsia="宋体" w:cs="Arial"/>
          <w:color w:val="auto"/>
          <w:highlight w:val="none"/>
        </w:rPr>
        <w:t>采购文件</w:t>
      </w:r>
      <w:r>
        <w:rPr>
          <w:rFonts w:ascii="Arial" w:hAnsi="Arial" w:eastAsia="宋体" w:cs="Arial"/>
          <w:color w:val="auto"/>
          <w:szCs w:val="21"/>
          <w:highlight w:val="none"/>
        </w:rPr>
        <w:t>要求的时间】；交付地点：</w:t>
      </w:r>
      <w:r>
        <w:rPr>
          <w:rFonts w:ascii="Arial" w:hAnsi="Arial" w:eastAsia="宋体" w:cs="Arial"/>
          <w:color w:val="auto"/>
          <w:szCs w:val="21"/>
          <w:highlight w:val="none"/>
          <w:u w:val="single"/>
        </w:rPr>
        <w:t>广西桂林市甲方指定地点</w:t>
      </w:r>
      <w:r>
        <w:rPr>
          <w:rFonts w:ascii="Arial" w:hAnsi="Arial" w:eastAsia="宋体" w:cs="Arial"/>
          <w:color w:val="auto"/>
          <w:szCs w:val="21"/>
          <w:highlight w:val="none"/>
        </w:rPr>
        <w:t>。乙方需在规定的交付期限内将货物送达甲方指定的地点，同时通知甲方货物已送达。</w:t>
      </w:r>
    </w:p>
    <w:p w14:paraId="36AC2297">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2.乙方提供不符合</w:t>
      </w:r>
      <w:r>
        <w:rPr>
          <w:rFonts w:ascii="Arial" w:hAnsi="Arial" w:eastAsia="宋体" w:cs="Arial"/>
          <w:color w:val="auto"/>
          <w:highlight w:val="none"/>
        </w:rPr>
        <w:t>采购文件</w:t>
      </w:r>
      <w:r>
        <w:rPr>
          <w:rFonts w:ascii="Arial" w:hAnsi="Arial" w:eastAsia="宋体" w:cs="Arial"/>
          <w:color w:val="auto"/>
          <w:szCs w:val="21"/>
          <w:highlight w:val="none"/>
        </w:rPr>
        <w:t>规定或投标（响应）文件承诺的和本合同规定的货物，甲方有权拒绝接受。</w:t>
      </w:r>
    </w:p>
    <w:p w14:paraId="57C0DC99">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18563AF7">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4.乙方交货前应对产品作出全面检查和对验收文件进行整理，并列出清单，作为甲方收货验收和使用的技术条件依据，检验的结果应随货物交甲方。</w:t>
      </w:r>
    </w:p>
    <w:p w14:paraId="0A9B5D05">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第六条　安装和培训</w:t>
      </w:r>
    </w:p>
    <w:p w14:paraId="38055CCD">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1.甲方应提供必要安装条件（如场地、电源、水源等）。</w:t>
      </w:r>
    </w:p>
    <w:p w14:paraId="628E18C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2.乙方应当按照投标（响应）文件的承诺对甲方有关人员进行培训。培训时间、地点：</w:t>
      </w:r>
      <w:r>
        <w:rPr>
          <w:rFonts w:ascii="Arial" w:hAnsi="Arial" w:eastAsia="宋体" w:cs="Arial"/>
          <w:color w:val="auto"/>
          <w:szCs w:val="21"/>
          <w:highlight w:val="none"/>
          <w:u w:val="single"/>
        </w:rPr>
        <w:t>由甲方指定。</w:t>
      </w:r>
    </w:p>
    <w:p w14:paraId="70D7E6E7">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第七条  调试和验收</w:t>
      </w:r>
    </w:p>
    <w:p w14:paraId="217EEBE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1.甲方对乙方提交的货物依据</w:t>
      </w:r>
      <w:r>
        <w:rPr>
          <w:rFonts w:ascii="Arial" w:hAnsi="Arial" w:eastAsia="宋体" w:cs="Arial"/>
          <w:color w:val="auto"/>
          <w:highlight w:val="none"/>
        </w:rPr>
        <w:t>采购文件</w:t>
      </w:r>
      <w:r>
        <w:rPr>
          <w:rFonts w:ascii="Arial" w:hAnsi="Arial" w:eastAsia="宋体" w:cs="Arial"/>
          <w:color w:val="auto"/>
          <w:szCs w:val="21"/>
          <w:highlight w:val="none"/>
        </w:rPr>
        <w:t>上的技术规格要求和国家有关质量标准进行现场初步验收，外观、说明书符合</w:t>
      </w:r>
      <w:r>
        <w:rPr>
          <w:rFonts w:ascii="Arial" w:hAnsi="Arial" w:eastAsia="宋体" w:cs="Arial"/>
          <w:color w:val="auto"/>
          <w:highlight w:val="none"/>
        </w:rPr>
        <w:t>采购文件</w:t>
      </w:r>
      <w:r>
        <w:rPr>
          <w:rFonts w:ascii="Arial" w:hAnsi="Arial" w:eastAsia="宋体" w:cs="Arial"/>
          <w:color w:val="auto"/>
          <w:szCs w:val="21"/>
          <w:highlight w:val="none"/>
        </w:rPr>
        <w:t>技术要求的，给予签收，初步验收不合格的不予签收。</w:t>
      </w:r>
    </w:p>
    <w:p w14:paraId="7068D53A">
      <w:pPr>
        <w:snapToGrid w:val="0"/>
        <w:spacing w:line="340" w:lineRule="exact"/>
        <w:rPr>
          <w:rFonts w:ascii="Arial" w:hAnsi="Arial" w:eastAsia="宋体" w:cs="Arial"/>
          <w:color w:val="auto"/>
          <w:szCs w:val="21"/>
          <w:highlight w:val="none"/>
        </w:rPr>
      </w:pPr>
      <w:r>
        <w:rPr>
          <w:rFonts w:ascii="Arial" w:hAnsi="Arial" w:eastAsia="宋体" w:cs="Arial"/>
          <w:color w:val="auto"/>
          <w:highlight w:val="none"/>
        </w:rPr>
        <w:t>2.乙方交货前应对产品作出全面检查和对验收文件进行整理，并列出清单，作为甲方收货验收和使用的技术条件依据，检验的结果应随货物交甲方。</w:t>
      </w:r>
    </w:p>
    <w:p w14:paraId="7F36F4BC">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3.甲方对乙方提供的货物在使用前进行调试时，乙方需负责安装并培训甲方的使用操作人员，并协助甲方一起调试，直到货物安装调试后符合技术要求</w:t>
      </w:r>
      <w:r>
        <w:rPr>
          <w:rFonts w:ascii="Arial" w:hAnsi="Arial" w:eastAsia="宋体" w:cs="Arial"/>
          <w:color w:val="auto"/>
          <w:highlight w:val="none"/>
        </w:rPr>
        <w:t>，甲方才做最终验收。</w:t>
      </w:r>
    </w:p>
    <w:p w14:paraId="35B0492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4.甲方应当在到货（安装、调试完）后，由甲方确认货物满足验收条件后</w:t>
      </w:r>
      <w:r>
        <w:rPr>
          <w:rFonts w:ascii="Arial" w:hAnsi="Arial" w:eastAsia="宋体" w:cs="Arial"/>
          <w:color w:val="auto"/>
          <w:szCs w:val="21"/>
          <w:highlight w:val="none"/>
          <w:u w:val="single"/>
        </w:rPr>
        <w:t>7个工作日</w:t>
      </w:r>
      <w:r>
        <w:rPr>
          <w:rFonts w:ascii="Arial" w:hAnsi="Arial" w:eastAsia="宋体" w:cs="Arial"/>
          <w:color w:val="auto"/>
          <w:szCs w:val="21"/>
          <w:highlight w:val="none"/>
        </w:rPr>
        <w:t>内进行验收，逾期不验收的，乙方可视同验收合格。验收时乙方必须在现场，验收完毕后作出验收结果报告，验收合格后由甲乙双方签署验收报告单，甲乙双方各执一份，验收费用由乙方负责。</w:t>
      </w:r>
    </w:p>
    <w:p w14:paraId="2892070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5.采购人委托采购代理机构组织的验收项目，其验收时间以该项目验收方案确定的验收时间为准，验收结果以该项目验收报告结论为准。</w:t>
      </w:r>
    </w:p>
    <w:p w14:paraId="0E90060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6.在验收过程中发现乙方有违约问题，可暂缓资金结算，待违约问题解决后，方可办理资金结算事宜。</w:t>
      </w:r>
    </w:p>
    <w:p w14:paraId="0BFF520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7.甲方对验收有异议的，在验收后5个工作日内以书面形式向乙方提出，乙方应自收到甲方书面异议后</w:t>
      </w:r>
      <w:r>
        <w:rPr>
          <w:rFonts w:ascii="Arial" w:hAnsi="Arial" w:eastAsia="宋体" w:cs="Arial"/>
          <w:color w:val="auto"/>
          <w:szCs w:val="21"/>
          <w:highlight w:val="none"/>
          <w:u w:val="single"/>
        </w:rPr>
        <w:t xml:space="preserve"> 10 </w:t>
      </w:r>
      <w:r>
        <w:rPr>
          <w:rFonts w:ascii="Arial" w:hAnsi="Arial" w:eastAsia="宋体" w:cs="Arial"/>
          <w:color w:val="auto"/>
          <w:szCs w:val="21"/>
          <w:highlight w:val="none"/>
        </w:rPr>
        <w:t>日内及时予以解决。</w:t>
      </w:r>
    </w:p>
    <w:p w14:paraId="34F2EE14">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8.对技术复杂的货物，甲方应请国家认可的专业检测机构参与初步验收及最终验收，并由其出具质量检测报告。</w:t>
      </w:r>
    </w:p>
    <w:p w14:paraId="3C031AE1">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第八条　付款方式</w:t>
      </w:r>
    </w:p>
    <w:p w14:paraId="10149BE0">
      <w:pPr>
        <w:snapToGrid w:val="0"/>
        <w:spacing w:line="340" w:lineRule="exact"/>
        <w:rPr>
          <w:rFonts w:ascii="Arial" w:hAnsi="Arial" w:eastAsia="宋体" w:cs="Arial"/>
          <w:color w:val="auto"/>
          <w:highlight w:val="none"/>
        </w:rPr>
      </w:pPr>
      <w:r>
        <w:rPr>
          <w:rFonts w:ascii="Arial" w:hAnsi="Arial" w:eastAsia="宋体" w:cs="Arial"/>
          <w:color w:val="auto"/>
          <w:highlight w:val="none"/>
        </w:rPr>
        <w:t>本项目通过最终验收后，</w:t>
      </w:r>
      <w:r>
        <w:rPr>
          <w:rFonts w:hint="eastAsia" w:ascii="Arial" w:hAnsi="Arial" w:eastAsia="宋体" w:cs="Arial"/>
          <w:color w:val="auto"/>
          <w:highlight w:val="none"/>
        </w:rPr>
        <w:t>乙方</w:t>
      </w:r>
      <w:r>
        <w:rPr>
          <w:rFonts w:ascii="Arial" w:hAnsi="Arial" w:eastAsia="宋体" w:cs="Arial"/>
          <w:color w:val="auto"/>
          <w:highlight w:val="none"/>
        </w:rPr>
        <w:t>开具全额发票（国产设备必须开具增值税专用发票）给</w:t>
      </w:r>
      <w:r>
        <w:rPr>
          <w:rFonts w:hint="eastAsia" w:ascii="Arial" w:hAnsi="Arial" w:eastAsia="宋体" w:cs="Arial"/>
          <w:color w:val="auto"/>
          <w:highlight w:val="none"/>
        </w:rPr>
        <w:t>甲方</w:t>
      </w:r>
      <w:r>
        <w:rPr>
          <w:rFonts w:ascii="Arial" w:hAnsi="Arial" w:eastAsia="宋体" w:cs="Arial"/>
          <w:color w:val="auto"/>
          <w:highlight w:val="none"/>
        </w:rPr>
        <w:t>，</w:t>
      </w:r>
      <w:r>
        <w:rPr>
          <w:rFonts w:hint="eastAsia" w:ascii="Arial" w:hAnsi="Arial" w:eastAsia="宋体" w:cs="Arial"/>
          <w:color w:val="auto"/>
          <w:highlight w:val="none"/>
        </w:rPr>
        <w:t>甲方</w:t>
      </w:r>
      <w:r>
        <w:rPr>
          <w:rFonts w:ascii="Arial" w:hAnsi="Arial" w:eastAsia="宋体" w:cs="Arial"/>
          <w:color w:val="auto"/>
          <w:highlight w:val="none"/>
        </w:rPr>
        <w:t>收到发票后10个工作日内一次性付清100%的合同价款（无息）。</w:t>
      </w:r>
    </w:p>
    <w:p w14:paraId="3798151A">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第九条　履约保证金</w:t>
      </w:r>
    </w:p>
    <w:p w14:paraId="3C5042AA">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1.履约保证金金额</w:t>
      </w:r>
      <w:r>
        <w:rPr>
          <w:rFonts w:ascii="Arial" w:hAnsi="Arial" w:eastAsia="宋体" w:cs="Arial"/>
          <w:color w:val="auto"/>
          <w:highlight w:val="none"/>
        </w:rPr>
        <w:t>：在合同签订之前，</w:t>
      </w:r>
      <w:r>
        <w:rPr>
          <w:rFonts w:hint="eastAsia" w:ascii="Arial" w:hAnsi="Arial" w:eastAsia="宋体" w:cs="Arial"/>
          <w:color w:val="auto"/>
          <w:highlight w:val="none"/>
        </w:rPr>
        <w:t>乙方</w:t>
      </w:r>
      <w:r>
        <w:rPr>
          <w:rFonts w:ascii="Arial" w:hAnsi="Arial" w:eastAsia="宋体" w:cs="Arial"/>
          <w:color w:val="auto"/>
          <w:highlight w:val="none"/>
        </w:rPr>
        <w:t>按成交金额的5%（如</w:t>
      </w:r>
      <w:r>
        <w:rPr>
          <w:rFonts w:hint="eastAsia" w:ascii="Arial" w:hAnsi="Arial" w:eastAsia="宋体" w:cs="Arial"/>
          <w:color w:val="auto"/>
          <w:highlight w:val="none"/>
        </w:rPr>
        <w:t>乙方</w:t>
      </w:r>
      <w:r>
        <w:rPr>
          <w:rFonts w:ascii="Arial" w:hAnsi="Arial" w:eastAsia="宋体" w:cs="Arial"/>
          <w:color w:val="auto"/>
          <w:highlight w:val="none"/>
        </w:rPr>
        <w:t>为中小微企业的，按成交金额的2%）向</w:t>
      </w:r>
      <w:r>
        <w:rPr>
          <w:rFonts w:hint="eastAsia" w:ascii="Arial" w:hAnsi="Arial" w:eastAsia="宋体" w:cs="Arial"/>
          <w:color w:val="auto"/>
          <w:highlight w:val="none"/>
        </w:rPr>
        <w:t>甲方</w:t>
      </w:r>
      <w:r>
        <w:rPr>
          <w:rFonts w:ascii="Arial" w:hAnsi="Arial" w:eastAsia="宋体" w:cs="Arial"/>
          <w:color w:val="auto"/>
          <w:highlight w:val="none"/>
        </w:rPr>
        <w:t>交纳履约保证金。</w:t>
      </w:r>
    </w:p>
    <w:p w14:paraId="174F0CD9">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2.履约保证金递交方式</w:t>
      </w:r>
      <w:r>
        <w:rPr>
          <w:rFonts w:ascii="Arial" w:hAnsi="Arial" w:eastAsia="宋体" w:cs="Arial"/>
          <w:color w:val="auto"/>
          <w:highlight w:val="none"/>
        </w:rPr>
        <w:t>：</w:t>
      </w:r>
      <w:r>
        <w:rPr>
          <w:rFonts w:ascii="Arial" w:hAnsi="Arial" w:eastAsia="宋体" w:cs="Arial"/>
          <w:color w:val="auto"/>
          <w:kern w:val="0"/>
          <w:szCs w:val="21"/>
          <w:highlight w:val="none"/>
        </w:rPr>
        <w:t>转账或电汇等非现金形式</w:t>
      </w:r>
      <w:r>
        <w:rPr>
          <w:rFonts w:ascii="Arial" w:hAnsi="Arial" w:eastAsia="宋体" w:cs="Arial"/>
          <w:color w:val="auto"/>
          <w:szCs w:val="21"/>
          <w:highlight w:val="none"/>
        </w:rPr>
        <w:t>。</w:t>
      </w:r>
    </w:p>
    <w:p w14:paraId="1CD17CF5">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3.履约保证金指定账户</w:t>
      </w:r>
    </w:p>
    <w:p w14:paraId="2C520F8F">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开户名称</w:t>
      </w:r>
      <w:r>
        <w:rPr>
          <w:rFonts w:ascii="Arial" w:hAnsi="Arial" w:eastAsia="宋体" w:cs="Arial"/>
          <w:color w:val="auto"/>
          <w:highlight w:val="none"/>
        </w:rPr>
        <w:t>：</w:t>
      </w:r>
      <w:r>
        <w:rPr>
          <w:rFonts w:ascii="Arial" w:hAnsi="Arial" w:eastAsia="宋体" w:cs="Arial"/>
          <w:color w:val="auto"/>
          <w:kern w:val="0"/>
          <w:szCs w:val="21"/>
          <w:highlight w:val="none"/>
          <w:u w:val="single"/>
        </w:rPr>
        <w:t>桂林理工大学</w:t>
      </w:r>
      <w:r>
        <w:rPr>
          <w:rFonts w:ascii="Arial" w:hAnsi="Arial" w:eastAsia="宋体" w:cs="Arial"/>
          <w:color w:val="auto"/>
          <w:szCs w:val="21"/>
          <w:highlight w:val="none"/>
        </w:rPr>
        <w:t>；</w:t>
      </w:r>
    </w:p>
    <w:p w14:paraId="01E30A5C">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开户银行</w:t>
      </w:r>
      <w:r>
        <w:rPr>
          <w:rFonts w:ascii="Arial" w:hAnsi="Arial" w:eastAsia="宋体" w:cs="Arial"/>
          <w:color w:val="auto"/>
          <w:highlight w:val="none"/>
        </w:rPr>
        <w:t>：</w:t>
      </w:r>
      <w:r>
        <w:rPr>
          <w:rFonts w:ascii="Arial" w:hAnsi="Arial" w:eastAsia="宋体" w:cs="Arial"/>
          <w:color w:val="auto"/>
          <w:kern w:val="0"/>
          <w:szCs w:val="21"/>
          <w:highlight w:val="none"/>
          <w:u w:val="single"/>
        </w:rPr>
        <w:t>中国银行桂林分行</w:t>
      </w:r>
      <w:r>
        <w:rPr>
          <w:rFonts w:ascii="Arial" w:hAnsi="Arial" w:eastAsia="宋体" w:cs="Arial"/>
          <w:color w:val="auto"/>
          <w:szCs w:val="21"/>
          <w:highlight w:val="none"/>
        </w:rPr>
        <w:t>；</w:t>
      </w:r>
    </w:p>
    <w:p w14:paraId="7B011B0D">
      <w:pPr>
        <w:snapToGrid w:val="0"/>
        <w:spacing w:line="340" w:lineRule="exact"/>
        <w:rPr>
          <w:rFonts w:ascii="Arial" w:hAnsi="Arial" w:eastAsia="宋体" w:cs="Arial"/>
          <w:color w:val="auto"/>
          <w:highlight w:val="none"/>
        </w:rPr>
      </w:pPr>
      <w:r>
        <w:rPr>
          <w:rFonts w:ascii="Arial" w:hAnsi="Arial" w:eastAsia="宋体" w:cs="Arial"/>
          <w:color w:val="auto"/>
          <w:szCs w:val="21"/>
          <w:highlight w:val="none"/>
        </w:rPr>
        <w:t>银行账号</w:t>
      </w:r>
      <w:r>
        <w:rPr>
          <w:rFonts w:ascii="Arial" w:hAnsi="Arial" w:eastAsia="宋体" w:cs="Arial"/>
          <w:color w:val="auto"/>
          <w:highlight w:val="none"/>
        </w:rPr>
        <w:t>：</w:t>
      </w:r>
      <w:r>
        <w:rPr>
          <w:rFonts w:ascii="Arial" w:hAnsi="Arial" w:eastAsia="宋体" w:cs="Arial"/>
          <w:color w:val="auto"/>
          <w:kern w:val="0"/>
          <w:szCs w:val="21"/>
          <w:highlight w:val="none"/>
          <w:u w:val="single"/>
        </w:rPr>
        <w:t>613257488744</w:t>
      </w:r>
      <w:r>
        <w:rPr>
          <w:rFonts w:ascii="Arial" w:hAnsi="Arial" w:eastAsia="宋体" w:cs="Arial"/>
          <w:color w:val="auto"/>
          <w:szCs w:val="21"/>
          <w:highlight w:val="none"/>
        </w:rPr>
        <w:t>。</w:t>
      </w:r>
    </w:p>
    <w:p w14:paraId="6366BDF8">
      <w:pPr>
        <w:snapToGrid w:val="0"/>
        <w:spacing w:line="340" w:lineRule="exact"/>
        <w:rPr>
          <w:rFonts w:ascii="Arial" w:hAnsi="Arial" w:eastAsia="宋体" w:cs="Arial"/>
          <w:color w:val="auto"/>
          <w:kern w:val="0"/>
          <w:highlight w:val="none"/>
        </w:rPr>
      </w:pPr>
      <w:r>
        <w:rPr>
          <w:rFonts w:ascii="Arial" w:hAnsi="Arial" w:eastAsia="宋体" w:cs="Arial"/>
          <w:color w:val="auto"/>
          <w:szCs w:val="21"/>
          <w:highlight w:val="none"/>
        </w:rPr>
        <w:t>4.履约保证金退付方式</w:t>
      </w:r>
      <w:r>
        <w:rPr>
          <w:rFonts w:ascii="Arial" w:hAnsi="Arial" w:eastAsia="宋体" w:cs="Arial"/>
          <w:color w:val="auto"/>
          <w:highlight w:val="none"/>
        </w:rPr>
        <w:t>、时间及条件</w:t>
      </w:r>
      <w:r>
        <w:rPr>
          <w:rFonts w:ascii="Arial" w:hAnsi="Arial" w:eastAsia="宋体" w:cs="Arial"/>
          <w:color w:val="auto"/>
          <w:kern w:val="0"/>
          <w:highlight w:val="none"/>
        </w:rPr>
        <w:t>：</w:t>
      </w:r>
    </w:p>
    <w:p w14:paraId="58F772BD">
      <w:pPr>
        <w:snapToGrid w:val="0"/>
        <w:spacing w:line="340" w:lineRule="exact"/>
        <w:rPr>
          <w:rFonts w:ascii="Arial" w:hAnsi="Arial" w:eastAsia="宋体" w:cs="Arial"/>
          <w:color w:val="auto"/>
          <w:highlight w:val="none"/>
        </w:rPr>
      </w:pPr>
      <w:r>
        <w:rPr>
          <w:rFonts w:ascii="Arial" w:hAnsi="Arial" w:eastAsia="宋体" w:cs="Arial"/>
          <w:color w:val="auto"/>
          <w:highlight w:val="none"/>
        </w:rPr>
        <w:t>（1）</w:t>
      </w:r>
      <w:r>
        <w:rPr>
          <w:rFonts w:hint="eastAsia" w:ascii="Arial" w:hAnsi="Arial" w:eastAsia="宋体" w:cs="Arial"/>
          <w:color w:val="auto"/>
          <w:highlight w:val="none"/>
        </w:rPr>
        <w:t>乙方</w:t>
      </w:r>
      <w:r>
        <w:rPr>
          <w:rFonts w:ascii="Arial" w:hAnsi="Arial" w:eastAsia="宋体" w:cs="Arial"/>
          <w:color w:val="auto"/>
          <w:highlight w:val="none"/>
        </w:rPr>
        <w:t>须按上述规定的金额、方式将履约保证金转入桂林理工大学账户。否则，不予签订合同。</w:t>
      </w:r>
    </w:p>
    <w:p w14:paraId="472C7DFC">
      <w:pPr>
        <w:snapToGrid w:val="0"/>
        <w:spacing w:line="340" w:lineRule="exact"/>
        <w:rPr>
          <w:rFonts w:ascii="Arial" w:hAnsi="Arial" w:eastAsia="宋体" w:cs="Arial"/>
          <w:color w:val="auto"/>
          <w:highlight w:val="none"/>
        </w:rPr>
      </w:pPr>
      <w:r>
        <w:rPr>
          <w:rFonts w:ascii="Arial" w:hAnsi="Arial" w:eastAsia="宋体" w:cs="Arial"/>
          <w:color w:val="auto"/>
          <w:highlight w:val="none"/>
        </w:rPr>
        <w:t>（2）履约保证金在</w:t>
      </w:r>
      <w:r>
        <w:rPr>
          <w:rFonts w:hint="eastAsia" w:ascii="Arial" w:hAnsi="Arial" w:eastAsia="宋体" w:cs="Arial"/>
          <w:color w:val="auto"/>
          <w:highlight w:val="none"/>
        </w:rPr>
        <w:t>乙方</w:t>
      </w:r>
      <w:r>
        <w:rPr>
          <w:rFonts w:ascii="Arial" w:hAnsi="Arial" w:eastAsia="宋体" w:cs="Arial"/>
          <w:color w:val="auto"/>
          <w:highlight w:val="none"/>
        </w:rPr>
        <w:t>履行完合同约定的权利义务（包括免费保修服务等）事项后7个工作日内，由</w:t>
      </w:r>
      <w:r>
        <w:rPr>
          <w:rFonts w:hint="eastAsia" w:ascii="Arial" w:hAnsi="Arial" w:eastAsia="宋体" w:cs="Arial"/>
          <w:color w:val="auto"/>
          <w:highlight w:val="none"/>
        </w:rPr>
        <w:t>乙方</w:t>
      </w:r>
      <w:r>
        <w:rPr>
          <w:rFonts w:ascii="Arial" w:hAnsi="Arial" w:eastAsia="宋体" w:cs="Arial"/>
          <w:color w:val="auto"/>
          <w:highlight w:val="none"/>
        </w:rPr>
        <w:t>凭履约保证金的申请表及合同向</w:t>
      </w:r>
      <w:r>
        <w:rPr>
          <w:rFonts w:hint="eastAsia" w:ascii="Arial" w:hAnsi="Arial" w:eastAsia="宋体" w:cs="Arial"/>
          <w:color w:val="auto"/>
          <w:highlight w:val="none"/>
        </w:rPr>
        <w:t>甲方</w:t>
      </w:r>
      <w:r>
        <w:rPr>
          <w:rFonts w:ascii="Arial" w:hAnsi="Arial" w:eastAsia="宋体" w:cs="Arial"/>
          <w:color w:val="auto"/>
          <w:highlight w:val="none"/>
        </w:rPr>
        <w:t>申请办理履约保证金退还手续，</w:t>
      </w:r>
      <w:r>
        <w:rPr>
          <w:rFonts w:hint="eastAsia" w:ascii="Arial" w:hAnsi="Arial" w:eastAsia="宋体" w:cs="Arial"/>
          <w:color w:val="auto"/>
          <w:highlight w:val="none"/>
        </w:rPr>
        <w:t>甲方</w:t>
      </w:r>
      <w:r>
        <w:rPr>
          <w:rFonts w:ascii="Arial" w:hAnsi="Arial" w:eastAsia="宋体" w:cs="Arial"/>
          <w:color w:val="auto"/>
          <w:highlight w:val="none"/>
        </w:rPr>
        <w:t>在收到合格材料后5个工作日内以银行转账方式如数退还（不计利息）。</w:t>
      </w:r>
    </w:p>
    <w:p w14:paraId="0008D172">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第十条  税费</w:t>
      </w:r>
    </w:p>
    <w:p w14:paraId="4D4A699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本合同执行中相关的一切税费均由乙方负担。</w:t>
      </w:r>
    </w:p>
    <w:p w14:paraId="4EBD300D">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第十一条  售后服务及质保期</w:t>
      </w:r>
    </w:p>
    <w:p w14:paraId="5D540583">
      <w:pPr>
        <w:snapToGrid w:val="0"/>
        <w:spacing w:line="340" w:lineRule="exact"/>
        <w:rPr>
          <w:rFonts w:ascii="Arial" w:hAnsi="Arial" w:eastAsia="宋体" w:cs="Arial"/>
          <w:color w:val="auto"/>
          <w:szCs w:val="21"/>
          <w:highlight w:val="none"/>
        </w:rPr>
      </w:pPr>
      <w:r>
        <w:rPr>
          <w:rFonts w:ascii="Arial" w:hAnsi="Arial" w:eastAsia="宋体" w:cs="Arial"/>
          <w:bCs/>
          <w:color w:val="auto"/>
          <w:highlight w:val="none"/>
        </w:rPr>
        <w:t>1.</w:t>
      </w:r>
      <w:r>
        <w:rPr>
          <w:rFonts w:ascii="Arial" w:hAnsi="Arial" w:eastAsia="宋体" w:cs="Arial"/>
          <w:color w:val="auto"/>
          <w:highlight w:val="none"/>
        </w:rPr>
        <w:t>乙方应按采购文件规定的产品名称、生产厂家、品牌、规格型号、技术参数、质量标准向甲方提供未经使用的全新产品。不符合要求的，根据实际情况，经双方协商，可按以下办法处理</w:t>
      </w:r>
      <w:r>
        <w:rPr>
          <w:rFonts w:ascii="Arial" w:hAnsi="Arial" w:eastAsia="宋体" w:cs="Arial"/>
          <w:color w:val="auto"/>
          <w:szCs w:val="21"/>
          <w:highlight w:val="none"/>
        </w:rPr>
        <w:t>：</w:t>
      </w:r>
    </w:p>
    <w:p w14:paraId="011C8E0A">
      <w:pPr>
        <w:snapToGrid w:val="0"/>
        <w:spacing w:line="340" w:lineRule="exact"/>
        <w:rPr>
          <w:rFonts w:ascii="Arial" w:hAnsi="Arial" w:eastAsia="宋体" w:cs="Arial"/>
          <w:color w:val="auto"/>
          <w:highlight w:val="none"/>
        </w:rPr>
      </w:pPr>
      <w:r>
        <w:rPr>
          <w:rFonts w:ascii="Arial" w:hAnsi="Arial" w:eastAsia="宋体" w:cs="Arial"/>
          <w:color w:val="auto"/>
          <w:highlight w:val="none"/>
        </w:rPr>
        <w:t>⑴更换：由乙方承担所发生的全部费用。</w:t>
      </w:r>
    </w:p>
    <w:p w14:paraId="370804CB">
      <w:pPr>
        <w:snapToGrid w:val="0"/>
        <w:spacing w:line="340" w:lineRule="exact"/>
        <w:rPr>
          <w:rFonts w:ascii="Arial" w:hAnsi="Arial" w:eastAsia="宋体" w:cs="Arial"/>
          <w:color w:val="auto"/>
          <w:highlight w:val="none"/>
        </w:rPr>
      </w:pPr>
      <w:r>
        <w:rPr>
          <w:rFonts w:ascii="Arial" w:hAnsi="Arial" w:eastAsia="宋体" w:cs="Arial"/>
          <w:color w:val="auto"/>
          <w:highlight w:val="none"/>
        </w:rPr>
        <w:t>⑵贬值处理：由甲乙双方合议定价。</w:t>
      </w:r>
    </w:p>
    <w:p w14:paraId="5B0CBF16">
      <w:pPr>
        <w:snapToGrid w:val="0"/>
        <w:spacing w:line="340" w:lineRule="exact"/>
        <w:rPr>
          <w:rFonts w:ascii="Arial" w:hAnsi="Arial" w:eastAsia="宋体" w:cs="Arial"/>
          <w:color w:val="auto"/>
          <w:highlight w:val="none"/>
        </w:rPr>
      </w:pPr>
      <w:r>
        <w:rPr>
          <w:rFonts w:ascii="Arial" w:hAnsi="Arial" w:eastAsia="宋体" w:cs="Arial"/>
          <w:color w:val="auto"/>
          <w:highlight w:val="none"/>
        </w:rPr>
        <w:t>⑶退货处理：乙方应退还甲方支付的合同款，同时应承担该货物的直接费用（运输、保险、检验、货款利息及银行手续费等）。</w:t>
      </w:r>
    </w:p>
    <w:p w14:paraId="09408A8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w:t>
      </w:r>
      <w:r>
        <w:rPr>
          <w:rFonts w:ascii="Arial" w:hAnsi="Arial" w:eastAsia="宋体" w:cs="Arial"/>
          <w:color w:val="auto"/>
          <w:highlight w:val="none"/>
        </w:rPr>
        <w:t>如在使用过程中发生质量问题</w:t>
      </w:r>
      <w:r>
        <w:rPr>
          <w:rFonts w:ascii="Arial" w:hAnsi="Arial" w:eastAsia="宋体" w:cs="Arial"/>
          <w:color w:val="auto"/>
          <w:szCs w:val="21"/>
          <w:highlight w:val="none"/>
        </w:rPr>
        <w:t>，乙方在接到甲方通知后在按</w:t>
      </w:r>
      <w:r>
        <w:rPr>
          <w:rFonts w:ascii="Arial" w:hAnsi="Arial" w:eastAsia="宋体" w:cs="Arial"/>
          <w:color w:val="auto"/>
          <w:szCs w:val="21"/>
          <w:highlight w:val="none"/>
          <w:u w:val="single"/>
        </w:rPr>
        <w:t>乙方投标（响应）文件中承诺的不超过采购文件要求的响应时间小时内</w:t>
      </w:r>
      <w:r>
        <w:rPr>
          <w:rFonts w:ascii="Arial" w:hAnsi="Arial" w:eastAsia="宋体" w:cs="Arial"/>
          <w:color w:val="auto"/>
          <w:szCs w:val="21"/>
          <w:highlight w:val="none"/>
        </w:rPr>
        <w:t>到达甲方现场处理。</w:t>
      </w:r>
    </w:p>
    <w:p w14:paraId="2505A84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3.在质保期内，乙方应对货物出现的质量及安全问题负责处理解决并承担一切费用。</w:t>
      </w:r>
    </w:p>
    <w:p w14:paraId="2FCC883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4.乙方应按照国家有关法律法规和“三包”规定以及</w:t>
      </w:r>
      <w:r>
        <w:rPr>
          <w:rFonts w:ascii="Arial" w:hAnsi="Arial" w:eastAsia="宋体" w:cs="Arial"/>
          <w:color w:val="auto"/>
          <w:highlight w:val="none"/>
        </w:rPr>
        <w:t>采购文件要求、</w:t>
      </w:r>
      <w:r>
        <w:rPr>
          <w:rFonts w:ascii="Arial" w:hAnsi="Arial" w:eastAsia="宋体" w:cs="Arial"/>
          <w:color w:val="auto"/>
          <w:szCs w:val="21"/>
          <w:highlight w:val="none"/>
        </w:rPr>
        <w:t>投标（响应）文件承诺和本合同所附的《售后服务承诺书》，为甲方提供售后服务。</w:t>
      </w:r>
    </w:p>
    <w:p w14:paraId="5252C30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5.货物质保期：按乙方投标（响应）文件中承诺的不少于</w:t>
      </w:r>
      <w:r>
        <w:rPr>
          <w:rFonts w:ascii="Arial" w:hAnsi="Arial" w:eastAsia="宋体" w:cs="Arial"/>
          <w:color w:val="auto"/>
          <w:highlight w:val="none"/>
        </w:rPr>
        <w:t>采购文件要求</w:t>
      </w:r>
      <w:r>
        <w:rPr>
          <w:rFonts w:ascii="Arial" w:hAnsi="Arial" w:eastAsia="宋体" w:cs="Arial"/>
          <w:color w:val="auto"/>
          <w:szCs w:val="21"/>
          <w:highlight w:val="none"/>
        </w:rPr>
        <w:t>的免费保修期限。</w:t>
      </w:r>
    </w:p>
    <w:p w14:paraId="671A0AC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6.乙方提供的服务承诺和售后服务及保修期责任等其它具体约定事项（见合同附件）。</w:t>
      </w:r>
    </w:p>
    <w:p w14:paraId="2F2B8327">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7.上述的货物免费保修期为</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highlight w:val="none"/>
        </w:rPr>
        <w:t>免费保修期自设备验收合格之日起计算，</w:t>
      </w:r>
      <w:r>
        <w:rPr>
          <w:rFonts w:ascii="Arial" w:hAnsi="Arial" w:eastAsia="宋体" w:cs="Arial"/>
          <w:color w:val="auto"/>
          <w:szCs w:val="21"/>
          <w:highlight w:val="none"/>
        </w:rPr>
        <w:t>若乙方投标（响应）承诺免费保修期超过</w:t>
      </w:r>
      <w:r>
        <w:rPr>
          <w:rFonts w:ascii="Arial" w:hAnsi="Arial" w:eastAsia="宋体" w:cs="Arial"/>
          <w:color w:val="auto"/>
          <w:highlight w:val="none"/>
        </w:rPr>
        <w:t>采购文件</w:t>
      </w:r>
      <w:r>
        <w:rPr>
          <w:rFonts w:ascii="Arial" w:hAnsi="Arial" w:eastAsia="宋体" w:cs="Arial"/>
          <w:color w:val="auto"/>
          <w:szCs w:val="21"/>
          <w:highlight w:val="none"/>
        </w:rPr>
        <w:t>要求年限的，按其承诺执行），因人为因素出现的故障不在免费保修范围内。超过保修期的机器设备，终生维修，维修时只收部件成本费。</w:t>
      </w:r>
    </w:p>
    <w:p w14:paraId="6914B3D5">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第十二条　违约责任</w:t>
      </w:r>
    </w:p>
    <w:p w14:paraId="1B1A5E51">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1.乙方所提供的产品名称、生产厂家、品牌、规格型号、技术参数等不符合投标（响应）文件承诺或质量不合格的，应在</w:t>
      </w:r>
      <w:r>
        <w:rPr>
          <w:rFonts w:ascii="Arial" w:hAnsi="Arial" w:eastAsia="宋体" w:cs="Arial"/>
          <w:color w:val="auto"/>
          <w:highlight w:val="none"/>
          <w:u w:val="single"/>
        </w:rPr>
        <w:t>2</w:t>
      </w:r>
      <w:r>
        <w:rPr>
          <w:rFonts w:ascii="Arial" w:hAnsi="Arial" w:eastAsia="宋体" w:cs="Arial"/>
          <w:color w:val="auto"/>
          <w:szCs w:val="21"/>
          <w:highlight w:val="none"/>
        </w:rPr>
        <w:t xml:space="preserve">日内及时更换，更换不及时的按逾期交货处罚；因质量问题甲方不同意接收的或特殊情况甲方同意接收的，乙方应向甲方支付违约货款额 </w:t>
      </w:r>
      <w:r>
        <w:rPr>
          <w:rFonts w:ascii="Arial" w:hAnsi="Arial" w:eastAsia="宋体" w:cs="Arial"/>
          <w:color w:val="auto"/>
          <w:szCs w:val="21"/>
          <w:highlight w:val="none"/>
          <w:u w:val="single"/>
        </w:rPr>
        <w:t>5%</w:t>
      </w:r>
      <w:r>
        <w:rPr>
          <w:rFonts w:ascii="Arial" w:hAnsi="Arial" w:eastAsia="宋体" w:cs="Arial"/>
          <w:color w:val="auto"/>
          <w:szCs w:val="21"/>
          <w:highlight w:val="none"/>
        </w:rPr>
        <w:t>违约金并赔偿甲方经济损失。</w:t>
      </w:r>
    </w:p>
    <w:p w14:paraId="6B35637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2.乙方提供的货物如侵犯了第三方合法权益而引发的任何纠纷或诉讼，均由乙方负责交涉并承担全部责任。</w:t>
      </w:r>
    </w:p>
    <w:p w14:paraId="70BA94D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3.因包装、运输引起的货物损坏，按质量不合格处罚。</w:t>
      </w:r>
    </w:p>
    <w:p w14:paraId="022439BD">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4.甲方无故延期接收货物、乙方逾期交货的，每天向对方偿付违约货款额3‰违约金，但违约金累计不得超过违约货款额</w:t>
      </w:r>
      <w:r>
        <w:rPr>
          <w:rFonts w:ascii="Arial" w:hAnsi="Arial" w:eastAsia="宋体" w:cs="Arial"/>
          <w:color w:val="auto"/>
          <w:szCs w:val="21"/>
          <w:highlight w:val="none"/>
          <w:u w:val="single"/>
        </w:rPr>
        <w:t>5%</w:t>
      </w:r>
      <w:r>
        <w:rPr>
          <w:rFonts w:ascii="Arial" w:hAnsi="Arial" w:eastAsia="宋体" w:cs="Arial"/>
          <w:color w:val="auto"/>
          <w:szCs w:val="21"/>
          <w:highlight w:val="none"/>
        </w:rPr>
        <w:t>，超过</w:t>
      </w:r>
      <w:r>
        <w:rPr>
          <w:rFonts w:ascii="Arial" w:hAnsi="Arial" w:eastAsia="宋体" w:cs="Arial"/>
          <w:color w:val="auto"/>
          <w:highlight w:val="none"/>
          <w:u w:val="single"/>
        </w:rPr>
        <w:t>7天</w:t>
      </w:r>
      <w:r>
        <w:rPr>
          <w:rFonts w:ascii="Arial" w:hAnsi="Arial" w:eastAsia="宋体" w:cs="Arial"/>
          <w:color w:val="auto"/>
          <w:szCs w:val="21"/>
          <w:highlight w:val="none"/>
        </w:rPr>
        <w:t>对方有权解除合同，违约方承担因此给对方造成经济损失；甲方延期付货款的，每天向乙方偿付延期货款额3‰滞纳金，但滞纳金累计不得超过延期货款额5%。</w:t>
      </w:r>
    </w:p>
    <w:p w14:paraId="425B2F2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5.乙方未按本合同和投标（响应）文件中规定的服务承诺提供售后服务的，乙方应按本合同合计金额 5%向甲方支付违约金。</w:t>
      </w:r>
    </w:p>
    <w:p w14:paraId="5CB7C208">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6.乙方提供的货物在质量保证期内，因设计、工艺或材料的缺陷和其它质量原因造成的问题，由乙方负责，费用从履约保证金中扣除，不足另补。</w:t>
      </w:r>
    </w:p>
    <w:p w14:paraId="4B382ECD">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7.其它违约行为按违约货款额5%收取违约金并赔偿经济损失。</w:t>
      </w:r>
    </w:p>
    <w:p w14:paraId="47E6594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8.乙方于响应文件中必须对所有产品的技术参数要求作出真实、有效的响应和承诺。所提供的产品必须为原装正品的、全新的、符合国家有关质量标准的产品。验收前，甲方现场根据采购文件要求及响应文件承诺对各项参数逐条对应进行核验，核验或检测数据不符合甲方要求及响应文件承诺的指标的，甲方有权终止合同执行并全部退货，由此造成甲方经济损失的由成交供应商负责承担全部赔偿责任并向甲方支付合同金额的30%违约赔偿金。如有异议，将交由国家认可并具有检验检测资质的第三方机构进行检验，若核验结果的各项参数指标不满足甲方要求及响应文件承诺的指标要求，所有产生的费用由成交供应商承担，并承担政府采购虚假竞标的相关法律责任。</w:t>
      </w:r>
    </w:p>
    <w:p w14:paraId="468CC00B">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第十三条  不可抗力事件处理</w:t>
      </w:r>
    </w:p>
    <w:p w14:paraId="5DB97773">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1.在合同有效期内，任何一方因不可抗力事件导致不能履行合同，则合同履行期可延长，其延长期与不可抗力影响期相同。</w:t>
      </w:r>
    </w:p>
    <w:p w14:paraId="0415952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2.不可抗力事件发生后，应立即通知对方，并寄送有关权威机构出具的证明。</w:t>
      </w:r>
    </w:p>
    <w:p w14:paraId="60E22132">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3.不可抗力事件延续120天以上，双方应通过友好协商，确定是否继续履行合同。</w:t>
      </w:r>
    </w:p>
    <w:p w14:paraId="6BC627C4">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第十四条  合同争议解决</w:t>
      </w:r>
    </w:p>
    <w:p w14:paraId="45B95B2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1.因货物质量问题发生争议的，应邀请国家认可的质量检测机构对货物质量进行鉴定。货物符合标准的，鉴定费由甲方承担；货物不符合标准的，鉴定费由乙方承担。</w:t>
      </w:r>
    </w:p>
    <w:p w14:paraId="4D191E1A">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2.因履行本合同引起的或与本合同有关的争议，甲乙双方应首先通过友好协商解决，如果协商不能解决，可向甲方所在地的人民法院提起诉讼。</w:t>
      </w:r>
    </w:p>
    <w:p w14:paraId="656BCDB2">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第十五条  合同生效及其它</w:t>
      </w:r>
    </w:p>
    <w:p w14:paraId="0EFFC107">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1.合同经双方法定代表人（负责人/自然人）或委托代理人签字并加盖单位公章后生效（委托代理人签字的需后附法定代表人授权委托书，格式自拟）。</w:t>
      </w:r>
    </w:p>
    <w:p w14:paraId="176FEC89">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2.合同执行中涉及采购资金和采购内容修改或补充的，须经财政部门审批，并签书面补充协议报财政部门备案，方可作为主合同不可分割的一部分。</w:t>
      </w:r>
    </w:p>
    <w:p w14:paraId="5BE7169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3.本合同未尽事宜，遵照《</w:t>
      </w:r>
      <w:r>
        <w:rPr>
          <w:rFonts w:ascii="Arial" w:hAnsi="Arial" w:eastAsia="宋体" w:cs="Arial"/>
          <w:color w:val="auto"/>
          <w:szCs w:val="21"/>
          <w:highlight w:val="none"/>
          <w:shd w:val="clear" w:color="auto" w:fill="FFFFFF"/>
        </w:rPr>
        <w:t>中华人民共和国民法典</w:t>
      </w:r>
      <w:r>
        <w:rPr>
          <w:rFonts w:ascii="Arial" w:hAnsi="Arial" w:eastAsia="宋体" w:cs="Arial"/>
          <w:color w:val="auto"/>
          <w:szCs w:val="21"/>
          <w:highlight w:val="none"/>
        </w:rPr>
        <w:t>》有关条文执行。</w:t>
      </w:r>
    </w:p>
    <w:p w14:paraId="5357788E">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第十六条　合同的变更、终止与转让</w:t>
      </w:r>
    </w:p>
    <w:p w14:paraId="4BB9436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1.除《中华人民共和国政府采购法》第五十条规定的情形外，本合同一经签订，甲乙双方不得擅自变更、中止或终止合同。</w:t>
      </w:r>
    </w:p>
    <w:p w14:paraId="4EC4EAE4">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2.乙方不得擅自转让其应履行的合同义务。</w:t>
      </w:r>
    </w:p>
    <w:p w14:paraId="76EC4316">
      <w:pPr>
        <w:snapToGrid w:val="0"/>
        <w:spacing w:line="340" w:lineRule="exact"/>
        <w:rPr>
          <w:rFonts w:ascii="Arial" w:hAnsi="Arial" w:eastAsia="宋体" w:cs="Arial"/>
          <w:b/>
          <w:color w:val="auto"/>
          <w:szCs w:val="21"/>
          <w:highlight w:val="none"/>
        </w:rPr>
      </w:pPr>
      <w:r>
        <w:rPr>
          <w:rFonts w:ascii="Arial" w:hAnsi="Arial" w:eastAsia="宋体" w:cs="Arial"/>
          <w:b/>
          <w:color w:val="auto"/>
          <w:szCs w:val="21"/>
          <w:highlight w:val="none"/>
        </w:rPr>
        <w:t>第十七条　签订本合同依据</w:t>
      </w:r>
    </w:p>
    <w:p w14:paraId="609A0CD3">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1.中标（成交）通知书；</w:t>
      </w:r>
    </w:p>
    <w:p w14:paraId="0C9C3FE9">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2.乙方提供的投标(响应)文件、应答文件；</w:t>
      </w:r>
    </w:p>
    <w:p w14:paraId="0F9A86D6">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3.采购文件及更正公告（澄清或补充通知）；</w:t>
      </w:r>
    </w:p>
    <w:p w14:paraId="37C71D25">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4.标准、规范及有关技术文件；</w:t>
      </w:r>
    </w:p>
    <w:p w14:paraId="4F09C6BC">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5.双方约定的其他合同文件。</w:t>
      </w:r>
    </w:p>
    <w:p w14:paraId="79AE95A3">
      <w:pPr>
        <w:snapToGrid w:val="0"/>
        <w:spacing w:line="340" w:lineRule="exact"/>
        <w:rPr>
          <w:rFonts w:ascii="Arial" w:hAnsi="Arial" w:eastAsia="宋体" w:cs="Arial"/>
          <w:color w:val="auto"/>
          <w:szCs w:val="21"/>
          <w:highlight w:val="none"/>
        </w:rPr>
      </w:pPr>
      <w:r>
        <w:rPr>
          <w:rFonts w:ascii="Arial" w:hAnsi="Arial" w:eastAsia="宋体" w:cs="Arial"/>
          <w:b/>
          <w:color w:val="auto"/>
          <w:szCs w:val="21"/>
          <w:highlight w:val="none"/>
        </w:rPr>
        <w:t>第十八条　本合同一式四份，具有同等法律效力，甲方两份、乙方一份、采购代理机构一份（可根据需要另增加）</w:t>
      </w:r>
      <w:r>
        <w:rPr>
          <w:rFonts w:ascii="Arial" w:hAnsi="Arial" w:eastAsia="宋体" w:cs="Arial"/>
          <w:color w:val="auto"/>
          <w:szCs w:val="21"/>
          <w:highlight w:val="none"/>
        </w:rPr>
        <w:t>。</w:t>
      </w:r>
    </w:p>
    <w:p w14:paraId="5EBD7B5F">
      <w:pPr>
        <w:snapToGrid w:val="0"/>
        <w:spacing w:line="340" w:lineRule="exact"/>
        <w:rPr>
          <w:rFonts w:ascii="Arial" w:hAnsi="Arial" w:eastAsia="宋体" w:cs="Arial"/>
          <w:color w:val="auto"/>
          <w:szCs w:val="21"/>
          <w:highlight w:val="none"/>
        </w:rPr>
      </w:pPr>
      <w:r>
        <w:rPr>
          <w:rFonts w:ascii="Arial" w:hAnsi="Arial" w:eastAsia="宋体" w:cs="Arial"/>
          <w:color w:val="auto"/>
          <w:szCs w:val="21"/>
          <w:highlight w:val="none"/>
        </w:rPr>
        <w:t>本合同甲乙双方签字并盖章后生效。</w:t>
      </w:r>
    </w:p>
    <w:p w14:paraId="5756EC89">
      <w:pPr>
        <w:snapToGrid w:val="0"/>
        <w:spacing w:line="340" w:lineRule="exact"/>
        <w:rPr>
          <w:rFonts w:ascii="Arial" w:hAnsi="Arial" w:eastAsia="宋体" w:cs="Arial"/>
          <w:color w:val="auto"/>
          <w:szCs w:val="21"/>
          <w:highlight w:val="none"/>
        </w:rPr>
      </w:pPr>
    </w:p>
    <w:tbl>
      <w:tblPr>
        <w:tblStyle w:val="24"/>
        <w:tblW w:w="903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64F7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76CE491F">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甲方（章）           </w:t>
            </w:r>
          </w:p>
          <w:p w14:paraId="7879C13C">
            <w:pPr>
              <w:snapToGrid w:val="0"/>
              <w:spacing w:line="360" w:lineRule="exact"/>
              <w:rPr>
                <w:rFonts w:ascii="Arial" w:hAnsi="Arial" w:eastAsia="宋体" w:cs="Arial"/>
                <w:color w:val="auto"/>
                <w:szCs w:val="21"/>
                <w:highlight w:val="none"/>
              </w:rPr>
            </w:pPr>
          </w:p>
          <w:p w14:paraId="6D66630D">
            <w:pPr>
              <w:snapToGrid w:val="0"/>
              <w:spacing w:line="36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年   月   日</w:t>
            </w:r>
          </w:p>
        </w:tc>
        <w:tc>
          <w:tcPr>
            <w:tcW w:w="4517" w:type="dxa"/>
            <w:vAlign w:val="center"/>
          </w:tcPr>
          <w:p w14:paraId="63937EA3">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乙方（章）              </w:t>
            </w:r>
          </w:p>
          <w:p w14:paraId="5FE0CD44">
            <w:pPr>
              <w:snapToGrid w:val="0"/>
              <w:spacing w:line="360" w:lineRule="exact"/>
              <w:rPr>
                <w:rFonts w:ascii="Arial" w:hAnsi="Arial" w:eastAsia="宋体" w:cs="Arial"/>
                <w:color w:val="auto"/>
                <w:szCs w:val="21"/>
                <w:highlight w:val="none"/>
              </w:rPr>
            </w:pPr>
          </w:p>
          <w:p w14:paraId="1DEC3DCD">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 xml:space="preserve">       年   月   日</w:t>
            </w:r>
          </w:p>
        </w:tc>
      </w:tr>
      <w:tr w14:paraId="0B25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416B34B4">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单位地址：桂林市七星区建干路12号</w:t>
            </w:r>
          </w:p>
        </w:tc>
        <w:tc>
          <w:tcPr>
            <w:tcW w:w="4517" w:type="dxa"/>
            <w:vAlign w:val="center"/>
          </w:tcPr>
          <w:p w14:paraId="4294CE1A">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单位地址：</w:t>
            </w:r>
          </w:p>
        </w:tc>
      </w:tr>
      <w:tr w14:paraId="48CE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19710ED1">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法定代表人：</w:t>
            </w:r>
          </w:p>
        </w:tc>
        <w:tc>
          <w:tcPr>
            <w:tcW w:w="4517" w:type="dxa"/>
            <w:vAlign w:val="center"/>
          </w:tcPr>
          <w:p w14:paraId="74B37AB6">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法定代表人：</w:t>
            </w:r>
          </w:p>
        </w:tc>
      </w:tr>
      <w:tr w14:paraId="35BB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14:paraId="750966FA">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委托代理人：</w:t>
            </w:r>
          </w:p>
        </w:tc>
        <w:tc>
          <w:tcPr>
            <w:tcW w:w="4517" w:type="dxa"/>
            <w:vAlign w:val="center"/>
          </w:tcPr>
          <w:p w14:paraId="5B45186F">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委托代理人：</w:t>
            </w:r>
          </w:p>
        </w:tc>
      </w:tr>
      <w:tr w14:paraId="31E1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5192A6DF">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电话：0773-5895090</w:t>
            </w:r>
          </w:p>
        </w:tc>
        <w:tc>
          <w:tcPr>
            <w:tcW w:w="4517" w:type="dxa"/>
            <w:vAlign w:val="center"/>
          </w:tcPr>
          <w:p w14:paraId="4A9CCAA9">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电话：</w:t>
            </w:r>
          </w:p>
        </w:tc>
      </w:tr>
      <w:tr w14:paraId="609D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262D2A30">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电子邮箱：zbk@glut.edu.cn</w:t>
            </w:r>
          </w:p>
        </w:tc>
        <w:tc>
          <w:tcPr>
            <w:tcW w:w="4517" w:type="dxa"/>
            <w:vAlign w:val="center"/>
          </w:tcPr>
          <w:p w14:paraId="387A2AC0">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电子邮箱：</w:t>
            </w:r>
          </w:p>
        </w:tc>
      </w:tr>
      <w:tr w14:paraId="0C14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64FAC99D">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开户银行：中国银行桂林分行</w:t>
            </w:r>
          </w:p>
        </w:tc>
        <w:tc>
          <w:tcPr>
            <w:tcW w:w="4517" w:type="dxa"/>
            <w:vAlign w:val="center"/>
          </w:tcPr>
          <w:p w14:paraId="6363075B">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开户银行：</w:t>
            </w:r>
          </w:p>
        </w:tc>
      </w:tr>
      <w:tr w14:paraId="2754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67463875">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账号：6132 5748 8744</w:t>
            </w:r>
          </w:p>
        </w:tc>
        <w:tc>
          <w:tcPr>
            <w:tcW w:w="4517" w:type="dxa"/>
            <w:vAlign w:val="center"/>
          </w:tcPr>
          <w:p w14:paraId="5310E437">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账号：</w:t>
            </w:r>
          </w:p>
        </w:tc>
      </w:tr>
      <w:tr w14:paraId="348A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4AFF5309">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邮政编码：5410044</w:t>
            </w:r>
          </w:p>
        </w:tc>
        <w:tc>
          <w:tcPr>
            <w:tcW w:w="4517" w:type="dxa"/>
            <w:vAlign w:val="center"/>
          </w:tcPr>
          <w:p w14:paraId="62BF3FB1">
            <w:pPr>
              <w:snapToGrid w:val="0"/>
              <w:spacing w:line="360" w:lineRule="exact"/>
              <w:rPr>
                <w:rFonts w:ascii="Arial" w:hAnsi="Arial" w:eastAsia="宋体" w:cs="Arial"/>
                <w:color w:val="auto"/>
                <w:szCs w:val="21"/>
                <w:highlight w:val="none"/>
              </w:rPr>
            </w:pPr>
            <w:r>
              <w:rPr>
                <w:rFonts w:ascii="Arial" w:hAnsi="Arial" w:eastAsia="宋体" w:cs="Arial"/>
                <w:color w:val="auto"/>
                <w:szCs w:val="21"/>
                <w:highlight w:val="none"/>
              </w:rPr>
              <w:t>邮政编码：</w:t>
            </w:r>
          </w:p>
        </w:tc>
      </w:tr>
    </w:tbl>
    <w:p w14:paraId="44D3E54E">
      <w:pPr>
        <w:snapToGrid w:val="0"/>
        <w:spacing w:line="360" w:lineRule="exact"/>
        <w:jc w:val="center"/>
        <w:rPr>
          <w:rFonts w:ascii="Arial" w:hAnsi="Arial" w:eastAsia="宋体" w:cs="Arial"/>
          <w:b/>
          <w:color w:val="auto"/>
          <w:sz w:val="28"/>
          <w:szCs w:val="28"/>
          <w:highlight w:val="none"/>
        </w:rPr>
      </w:pPr>
    </w:p>
    <w:p w14:paraId="01A010B2">
      <w:pPr>
        <w:snapToGrid w:val="0"/>
        <w:spacing w:line="360" w:lineRule="exact"/>
        <w:jc w:val="center"/>
        <w:rPr>
          <w:rFonts w:ascii="Arial" w:hAnsi="Arial" w:eastAsia="宋体" w:cs="Arial"/>
          <w:b/>
          <w:color w:val="auto"/>
          <w:sz w:val="28"/>
          <w:szCs w:val="28"/>
          <w:highlight w:val="none"/>
        </w:rPr>
      </w:pPr>
    </w:p>
    <w:p w14:paraId="03662577">
      <w:pPr>
        <w:snapToGrid w:val="0"/>
        <w:spacing w:line="360" w:lineRule="exact"/>
        <w:jc w:val="center"/>
        <w:rPr>
          <w:rFonts w:ascii="Arial" w:hAnsi="Arial" w:eastAsia="宋体" w:cs="Arial"/>
          <w:b/>
          <w:color w:val="auto"/>
          <w:sz w:val="28"/>
          <w:szCs w:val="28"/>
          <w:highlight w:val="none"/>
        </w:rPr>
      </w:pPr>
    </w:p>
    <w:p w14:paraId="1263D5B4">
      <w:pPr>
        <w:snapToGrid w:val="0"/>
        <w:spacing w:line="360" w:lineRule="exact"/>
        <w:jc w:val="center"/>
        <w:rPr>
          <w:rFonts w:ascii="Arial" w:hAnsi="Arial" w:eastAsia="宋体" w:cs="Arial"/>
          <w:b/>
          <w:color w:val="auto"/>
          <w:sz w:val="28"/>
          <w:szCs w:val="28"/>
          <w:highlight w:val="none"/>
        </w:rPr>
      </w:pPr>
    </w:p>
    <w:p w14:paraId="34EBE1BF">
      <w:pPr>
        <w:snapToGrid w:val="0"/>
        <w:spacing w:line="360" w:lineRule="exact"/>
        <w:jc w:val="center"/>
        <w:rPr>
          <w:rFonts w:ascii="Arial" w:hAnsi="Arial" w:eastAsia="宋体" w:cs="Arial"/>
          <w:b/>
          <w:color w:val="auto"/>
          <w:sz w:val="28"/>
          <w:szCs w:val="28"/>
          <w:highlight w:val="none"/>
        </w:rPr>
      </w:pPr>
    </w:p>
    <w:p w14:paraId="3E91C6BB">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0E34CDF7">
      <w:pPr>
        <w:snapToGrid w:val="0"/>
        <w:spacing w:line="360" w:lineRule="exact"/>
        <w:jc w:val="center"/>
        <w:rPr>
          <w:rFonts w:ascii="Arial" w:hAnsi="Arial" w:eastAsia="宋体" w:cs="Arial"/>
          <w:b/>
          <w:color w:val="auto"/>
          <w:sz w:val="28"/>
          <w:szCs w:val="28"/>
          <w:highlight w:val="none"/>
        </w:rPr>
      </w:pPr>
      <w:r>
        <w:rPr>
          <w:rFonts w:ascii="Arial" w:hAnsi="Arial" w:eastAsia="宋体" w:cs="Arial"/>
          <w:b/>
          <w:color w:val="auto"/>
          <w:sz w:val="28"/>
          <w:szCs w:val="28"/>
          <w:highlight w:val="none"/>
        </w:rPr>
        <w:t>合 同 附 件</w:t>
      </w:r>
    </w:p>
    <w:p w14:paraId="5C86C4A3">
      <w:pPr>
        <w:snapToGrid w:val="0"/>
        <w:spacing w:line="360" w:lineRule="exact"/>
        <w:ind w:firstLine="105" w:firstLineChars="50"/>
        <w:rPr>
          <w:rFonts w:ascii="Arial" w:hAnsi="Arial" w:eastAsia="宋体" w:cs="Arial"/>
          <w:color w:val="auto"/>
          <w:szCs w:val="21"/>
          <w:highlight w:val="none"/>
        </w:rPr>
      </w:pPr>
      <w:r>
        <w:rPr>
          <w:rFonts w:ascii="Arial" w:hAnsi="Arial" w:eastAsia="宋体" w:cs="Arial"/>
          <w:color w:val="auto"/>
          <w:szCs w:val="21"/>
          <w:highlight w:val="none"/>
        </w:rPr>
        <w:t>一般货物类</w:t>
      </w:r>
    </w:p>
    <w:tbl>
      <w:tblPr>
        <w:tblStyle w:val="24"/>
        <w:tblW w:w="0" w:type="auto"/>
        <w:tblInd w:w="213" w:type="dxa"/>
        <w:tblLayout w:type="fixed"/>
        <w:tblCellMar>
          <w:top w:w="0" w:type="dxa"/>
          <w:left w:w="108" w:type="dxa"/>
          <w:bottom w:w="0" w:type="dxa"/>
          <w:right w:w="108" w:type="dxa"/>
        </w:tblCellMar>
      </w:tblPr>
      <w:tblGrid>
        <w:gridCol w:w="8522"/>
      </w:tblGrid>
      <w:tr w14:paraId="4A5ED0FE">
        <w:tblPrEx>
          <w:tblCellMar>
            <w:top w:w="0" w:type="dxa"/>
            <w:left w:w="108" w:type="dxa"/>
            <w:bottom w:w="0" w:type="dxa"/>
            <w:right w:w="108" w:type="dxa"/>
          </w:tblCellMar>
        </w:tblPrEx>
        <w:trPr>
          <w:trHeight w:val="1226" w:hRule="atLeast"/>
        </w:trPr>
        <w:tc>
          <w:tcPr>
            <w:tcW w:w="8522" w:type="dxa"/>
            <w:tcBorders>
              <w:top w:val="single" w:color="auto" w:sz="4" w:space="0"/>
              <w:left w:val="single" w:color="auto" w:sz="4" w:space="0"/>
              <w:right w:val="single" w:color="auto" w:sz="4" w:space="0"/>
            </w:tcBorders>
          </w:tcPr>
          <w:p w14:paraId="5641DB9E">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1．供应商承诺具体事项：</w:t>
            </w:r>
          </w:p>
        </w:tc>
      </w:tr>
      <w:tr w14:paraId="4D916B38">
        <w:tblPrEx>
          <w:tblCellMar>
            <w:top w:w="0" w:type="dxa"/>
            <w:left w:w="108" w:type="dxa"/>
            <w:bottom w:w="0" w:type="dxa"/>
            <w:right w:w="108" w:type="dxa"/>
          </w:tblCellMar>
        </w:tblPrEx>
        <w:trPr>
          <w:trHeight w:val="1228" w:hRule="atLeast"/>
        </w:trPr>
        <w:tc>
          <w:tcPr>
            <w:tcW w:w="8522" w:type="dxa"/>
            <w:tcBorders>
              <w:top w:val="single" w:color="auto" w:sz="4" w:space="0"/>
              <w:left w:val="single" w:color="auto" w:sz="4" w:space="0"/>
              <w:right w:val="single" w:color="auto" w:sz="4" w:space="0"/>
            </w:tcBorders>
          </w:tcPr>
          <w:p w14:paraId="375BD6EE">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2．售后服务具体事项：</w:t>
            </w:r>
          </w:p>
        </w:tc>
      </w:tr>
      <w:tr w14:paraId="385E79FF">
        <w:tblPrEx>
          <w:tblCellMar>
            <w:top w:w="0" w:type="dxa"/>
            <w:left w:w="108" w:type="dxa"/>
            <w:bottom w:w="0" w:type="dxa"/>
            <w:right w:w="108" w:type="dxa"/>
          </w:tblCellMar>
        </w:tblPrEx>
        <w:trPr>
          <w:trHeight w:val="1088" w:hRule="atLeast"/>
        </w:trPr>
        <w:tc>
          <w:tcPr>
            <w:tcW w:w="8522" w:type="dxa"/>
            <w:tcBorders>
              <w:top w:val="single" w:color="auto" w:sz="4" w:space="0"/>
              <w:left w:val="single" w:color="auto" w:sz="4" w:space="0"/>
              <w:right w:val="single" w:color="auto" w:sz="4" w:space="0"/>
            </w:tcBorders>
          </w:tcPr>
          <w:p w14:paraId="3E3F4947">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3．保修期责任：</w:t>
            </w:r>
          </w:p>
        </w:tc>
      </w:tr>
      <w:tr w14:paraId="6C3B3947">
        <w:tblPrEx>
          <w:tblCellMar>
            <w:top w:w="0" w:type="dxa"/>
            <w:left w:w="108" w:type="dxa"/>
            <w:bottom w:w="0" w:type="dxa"/>
            <w:right w:w="108" w:type="dxa"/>
          </w:tblCellMar>
        </w:tblPrEx>
        <w:trPr>
          <w:trHeight w:val="1360" w:hRule="atLeast"/>
        </w:trPr>
        <w:tc>
          <w:tcPr>
            <w:tcW w:w="8522" w:type="dxa"/>
            <w:tcBorders>
              <w:top w:val="single" w:color="auto" w:sz="4" w:space="0"/>
              <w:left w:val="single" w:color="auto" w:sz="4" w:space="0"/>
              <w:bottom w:val="single" w:color="auto" w:sz="4" w:space="0"/>
              <w:right w:val="single" w:color="auto" w:sz="4" w:space="0"/>
            </w:tcBorders>
          </w:tcPr>
          <w:p w14:paraId="7F30BC29">
            <w:pPr>
              <w:snapToGrid w:val="0"/>
              <w:spacing w:line="360" w:lineRule="exact"/>
              <w:ind w:firstLine="480" w:firstLineChars="200"/>
              <w:rPr>
                <w:rFonts w:ascii="Arial" w:hAnsi="Arial" w:eastAsia="宋体" w:cs="Arial"/>
                <w:b/>
                <w:color w:val="auto"/>
                <w:sz w:val="24"/>
                <w:highlight w:val="none"/>
              </w:rPr>
            </w:pPr>
            <w:r>
              <w:rPr>
                <w:rFonts w:ascii="Arial" w:hAnsi="Arial" w:eastAsia="宋体" w:cs="Arial"/>
                <w:b/>
                <w:color w:val="auto"/>
                <w:sz w:val="24"/>
                <w:highlight w:val="none"/>
              </w:rPr>
              <w:t>4．其他具体事项：</w:t>
            </w:r>
          </w:p>
        </w:tc>
      </w:tr>
    </w:tbl>
    <w:p w14:paraId="479114DD">
      <w:pPr>
        <w:tabs>
          <w:tab w:val="left" w:pos="900"/>
        </w:tabs>
        <w:snapToGrid w:val="0"/>
        <w:spacing w:line="340" w:lineRule="exact"/>
        <w:rPr>
          <w:rFonts w:ascii="Arial" w:hAnsi="Arial" w:eastAsia="宋体" w:cs="Arial"/>
          <w:b/>
          <w:color w:val="auto"/>
          <w:szCs w:val="21"/>
          <w:highlight w:val="none"/>
        </w:rPr>
      </w:pPr>
      <w:r>
        <w:rPr>
          <w:rFonts w:ascii="Arial" w:hAnsi="Arial" w:eastAsia="宋体" w:cs="Arial"/>
          <w:color w:val="auto"/>
          <w:szCs w:val="21"/>
          <w:highlight w:val="none"/>
        </w:rPr>
        <w:t>注：售后服务事项填不下时可另加附页</w:t>
      </w:r>
      <w:r>
        <w:rPr>
          <w:rFonts w:ascii="Arial" w:hAnsi="Arial" w:eastAsia="宋体" w:cs="Arial"/>
          <w:bCs/>
          <w:color w:val="auto"/>
          <w:szCs w:val="21"/>
          <w:highlight w:val="none"/>
        </w:rPr>
        <w:br w:type="page"/>
      </w:r>
    </w:p>
    <w:p w14:paraId="230F88DE">
      <w:pPr>
        <w:pStyle w:val="2"/>
        <w:jc w:val="center"/>
        <w:rPr>
          <w:color w:val="auto"/>
          <w:highlight w:val="none"/>
        </w:rPr>
      </w:pPr>
      <w:bookmarkStart w:id="32" w:name="_Toc25244"/>
      <w:bookmarkStart w:id="33" w:name="_Toc15843"/>
      <w:r>
        <w:rPr>
          <w:color w:val="auto"/>
          <w:highlight w:val="none"/>
        </w:rPr>
        <w:t>第六章 响应文件（格式）</w:t>
      </w:r>
      <w:bookmarkEnd w:id="32"/>
      <w:bookmarkEnd w:id="33"/>
    </w:p>
    <w:p w14:paraId="43A90BBB">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一、响应文件袋（盒、箱）标记</w:t>
      </w:r>
    </w:p>
    <w:p w14:paraId="146D3EED">
      <w:pPr>
        <w:snapToGrid w:val="0"/>
        <w:spacing w:before="165" w:beforeLines="50" w:after="50"/>
        <w:jc w:val="center"/>
        <w:rPr>
          <w:rFonts w:ascii="Arial" w:hAnsi="Arial" w:eastAsia="宋体" w:cs="Arial"/>
          <w:bCs/>
          <w:color w:val="auto"/>
          <w:sz w:val="32"/>
          <w:szCs w:val="32"/>
          <w:highlight w:val="none"/>
        </w:rPr>
      </w:pPr>
    </w:p>
    <w:p w14:paraId="3EB3757C">
      <w:pPr>
        <w:snapToGrid w:val="0"/>
        <w:spacing w:before="165" w:beforeLines="50" w:after="50"/>
        <w:jc w:val="center"/>
        <w:rPr>
          <w:rFonts w:ascii="Arial" w:hAnsi="Arial" w:eastAsia="宋体" w:cs="Arial"/>
          <w:bCs/>
          <w:color w:val="auto"/>
          <w:sz w:val="32"/>
          <w:szCs w:val="32"/>
          <w:highlight w:val="none"/>
        </w:rPr>
      </w:pPr>
      <w:r>
        <w:rPr>
          <w:rFonts w:ascii="Arial" w:hAnsi="Arial" w:eastAsia="宋体" w:cs="Arial"/>
          <w:bCs/>
          <w:color w:val="auto"/>
          <w:sz w:val="32"/>
          <w:szCs w:val="32"/>
          <w:highlight w:val="none"/>
        </w:rPr>
        <w:t>响 应 文 件</w:t>
      </w:r>
    </w:p>
    <w:p w14:paraId="3D632AD2">
      <w:pPr>
        <w:snapToGrid w:val="0"/>
        <w:spacing w:before="165" w:beforeLines="50" w:after="50"/>
        <w:rPr>
          <w:rFonts w:ascii="Arial" w:hAnsi="Arial" w:eastAsia="宋体" w:cs="Arial"/>
          <w:bCs/>
          <w:color w:val="auto"/>
          <w:sz w:val="24"/>
          <w:szCs w:val="20"/>
          <w:highlight w:val="none"/>
        </w:rPr>
      </w:pPr>
    </w:p>
    <w:p w14:paraId="48CD975F">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项目名称：</w:t>
      </w:r>
    </w:p>
    <w:p w14:paraId="19573760">
      <w:pPr>
        <w:snapToGrid w:val="0"/>
        <w:spacing w:before="165" w:beforeLines="50" w:after="50"/>
        <w:ind w:firstLine="360" w:firstLineChars="150"/>
        <w:rPr>
          <w:rFonts w:ascii="Arial" w:hAnsi="Arial" w:eastAsia="宋体" w:cs="Arial"/>
          <w:bCs/>
          <w:color w:val="auto"/>
          <w:sz w:val="24"/>
          <w:szCs w:val="20"/>
          <w:highlight w:val="none"/>
        </w:rPr>
      </w:pPr>
    </w:p>
    <w:p w14:paraId="1A2777E8">
      <w:pPr>
        <w:snapToGrid w:val="0"/>
        <w:spacing w:before="165" w:beforeLines="50" w:after="50"/>
        <w:ind w:firstLine="360" w:firstLineChars="150"/>
        <w:rPr>
          <w:rFonts w:ascii="Arial" w:hAnsi="Arial" w:eastAsia="宋体" w:cs="Arial"/>
          <w:bCs/>
          <w:color w:val="auto"/>
          <w:sz w:val="24"/>
          <w:szCs w:val="20"/>
          <w:highlight w:val="none"/>
        </w:rPr>
      </w:pPr>
    </w:p>
    <w:p w14:paraId="03238186">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项目编号：</w:t>
      </w:r>
    </w:p>
    <w:p w14:paraId="16FB64E7">
      <w:pPr>
        <w:snapToGrid w:val="0"/>
        <w:spacing w:before="165" w:beforeLines="50" w:after="50"/>
        <w:rPr>
          <w:rFonts w:ascii="Arial" w:hAnsi="Arial" w:eastAsia="宋体" w:cs="Arial"/>
          <w:bCs/>
          <w:color w:val="auto"/>
          <w:sz w:val="24"/>
          <w:highlight w:val="none"/>
        </w:rPr>
      </w:pPr>
    </w:p>
    <w:p w14:paraId="58EBD70C">
      <w:pPr>
        <w:snapToGrid w:val="0"/>
        <w:spacing w:before="165" w:beforeLines="50" w:after="50"/>
        <w:ind w:firstLine="360" w:firstLineChars="150"/>
        <w:rPr>
          <w:rFonts w:ascii="Arial" w:hAnsi="Arial" w:eastAsia="宋体" w:cs="Arial"/>
          <w:bCs/>
          <w:color w:val="auto"/>
          <w:sz w:val="24"/>
          <w:highlight w:val="none"/>
        </w:rPr>
      </w:pPr>
    </w:p>
    <w:p w14:paraId="64C07F1A">
      <w:pPr>
        <w:snapToGrid w:val="0"/>
        <w:spacing w:before="165" w:beforeLines="50" w:after="50"/>
        <w:ind w:firstLine="360" w:firstLineChars="150"/>
        <w:rPr>
          <w:rFonts w:hint="eastAsia" w:ascii="Arial" w:hAnsi="Arial" w:eastAsia="宋体" w:cs="Arial"/>
          <w:bCs/>
          <w:color w:val="auto"/>
          <w:sz w:val="24"/>
          <w:highlight w:val="none"/>
          <w:lang w:eastAsia="zh-CN"/>
        </w:rPr>
      </w:pPr>
      <w:r>
        <w:rPr>
          <w:rFonts w:ascii="Arial" w:hAnsi="Arial" w:eastAsia="宋体" w:cs="Arial"/>
          <w:bCs/>
          <w:color w:val="auto"/>
          <w:sz w:val="24"/>
          <w:highlight w:val="none"/>
        </w:rPr>
        <w:t>采购代理机构：</w:t>
      </w:r>
      <w:r>
        <w:rPr>
          <w:rFonts w:hint="eastAsia" w:ascii="Arial" w:hAnsi="Arial" w:eastAsia="宋体" w:cs="Arial"/>
          <w:bCs/>
          <w:color w:val="auto"/>
          <w:sz w:val="24"/>
          <w:highlight w:val="none"/>
          <w:lang w:eastAsia="zh-CN"/>
        </w:rPr>
        <w:t>广西机电设备招标有限公司</w:t>
      </w:r>
    </w:p>
    <w:p w14:paraId="63D2B515">
      <w:pPr>
        <w:snapToGrid w:val="0"/>
        <w:spacing w:before="165" w:beforeLines="50" w:after="50"/>
        <w:ind w:firstLine="360" w:firstLineChars="150"/>
        <w:rPr>
          <w:rFonts w:ascii="Arial" w:hAnsi="Arial" w:eastAsia="宋体" w:cs="Arial"/>
          <w:bCs/>
          <w:color w:val="auto"/>
          <w:sz w:val="24"/>
          <w:highlight w:val="none"/>
        </w:rPr>
      </w:pPr>
    </w:p>
    <w:p w14:paraId="68294A44">
      <w:pPr>
        <w:snapToGrid w:val="0"/>
        <w:spacing w:before="165" w:beforeLines="50" w:after="50"/>
        <w:ind w:firstLine="360" w:firstLineChars="150"/>
        <w:rPr>
          <w:rFonts w:ascii="Arial" w:hAnsi="Arial" w:eastAsia="宋体" w:cs="Arial"/>
          <w:bCs/>
          <w:color w:val="auto"/>
          <w:sz w:val="24"/>
          <w:highlight w:val="none"/>
        </w:rPr>
      </w:pPr>
    </w:p>
    <w:p w14:paraId="13EC45F2">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供应商名称：</w:t>
      </w:r>
    </w:p>
    <w:p w14:paraId="4FF31F7D">
      <w:pPr>
        <w:snapToGrid w:val="0"/>
        <w:spacing w:before="165" w:beforeLines="50" w:after="50"/>
        <w:ind w:firstLine="360" w:firstLineChars="150"/>
        <w:rPr>
          <w:rFonts w:ascii="Arial" w:hAnsi="Arial" w:eastAsia="宋体" w:cs="Arial"/>
          <w:bCs/>
          <w:color w:val="auto"/>
          <w:sz w:val="24"/>
          <w:highlight w:val="none"/>
        </w:rPr>
      </w:pPr>
    </w:p>
    <w:p w14:paraId="46F9BEA3">
      <w:pPr>
        <w:snapToGrid w:val="0"/>
        <w:spacing w:before="165" w:beforeLines="50" w:after="50"/>
        <w:ind w:firstLine="360" w:firstLineChars="150"/>
        <w:rPr>
          <w:rFonts w:ascii="Arial" w:hAnsi="Arial" w:eastAsia="宋体" w:cs="Arial"/>
          <w:bCs/>
          <w:color w:val="auto"/>
          <w:sz w:val="24"/>
          <w:highlight w:val="none"/>
        </w:rPr>
      </w:pPr>
    </w:p>
    <w:p w14:paraId="0C9FD7DA">
      <w:pPr>
        <w:spacing w:line="440" w:lineRule="atLeas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0B70E8FE">
      <w:pPr>
        <w:spacing w:line="400" w:lineRule="exact"/>
        <w:rPr>
          <w:rFonts w:ascii="Arial" w:hAnsi="Arial" w:eastAsia="宋体" w:cs="Arial"/>
          <w:b/>
          <w:color w:val="auto"/>
          <w:sz w:val="32"/>
          <w:szCs w:val="32"/>
          <w:highlight w:val="none"/>
        </w:rPr>
      </w:pPr>
    </w:p>
    <w:p w14:paraId="2B647C51">
      <w:pPr>
        <w:snapToGrid w:val="0"/>
        <w:spacing w:before="165" w:beforeLines="50" w:after="50"/>
        <w:jc w:val="right"/>
        <w:rPr>
          <w:rFonts w:ascii="Arial" w:hAnsi="Arial" w:eastAsia="宋体" w:cs="Arial"/>
          <w:bCs/>
          <w:color w:val="auto"/>
          <w:sz w:val="32"/>
          <w:szCs w:val="32"/>
          <w:highlight w:val="none"/>
        </w:rPr>
      </w:pPr>
      <w:r>
        <w:rPr>
          <w:rFonts w:ascii="Arial" w:hAnsi="Arial" w:eastAsia="宋体" w:cs="Arial"/>
          <w:bCs/>
          <w:color w:val="auto"/>
          <w:sz w:val="32"/>
          <w:szCs w:val="32"/>
          <w:highlight w:val="none"/>
        </w:rPr>
        <w:t>正本/副本</w:t>
      </w:r>
    </w:p>
    <w:p w14:paraId="4680C9A0">
      <w:pPr>
        <w:snapToGrid w:val="0"/>
        <w:spacing w:before="165" w:beforeLines="50" w:after="50"/>
        <w:jc w:val="center"/>
        <w:rPr>
          <w:rFonts w:ascii="Arial" w:hAnsi="Arial" w:eastAsia="宋体" w:cs="Arial"/>
          <w:bCs/>
          <w:color w:val="auto"/>
          <w:sz w:val="32"/>
          <w:szCs w:val="32"/>
          <w:highlight w:val="none"/>
        </w:rPr>
      </w:pPr>
    </w:p>
    <w:p w14:paraId="2916477D">
      <w:pPr>
        <w:snapToGrid w:val="0"/>
        <w:spacing w:before="165" w:beforeLines="50" w:after="50"/>
        <w:jc w:val="center"/>
        <w:rPr>
          <w:rFonts w:ascii="Arial" w:hAnsi="Arial" w:eastAsia="宋体" w:cs="Arial"/>
          <w:bCs/>
          <w:color w:val="auto"/>
          <w:sz w:val="32"/>
          <w:szCs w:val="32"/>
          <w:highlight w:val="none"/>
        </w:rPr>
      </w:pPr>
      <w:r>
        <w:rPr>
          <w:rFonts w:ascii="Arial" w:hAnsi="Arial" w:eastAsia="宋体" w:cs="Arial"/>
          <w:bCs/>
          <w:color w:val="auto"/>
          <w:sz w:val="32"/>
          <w:szCs w:val="32"/>
          <w:highlight w:val="none"/>
        </w:rPr>
        <w:t>响 应 文 件</w:t>
      </w:r>
    </w:p>
    <w:p w14:paraId="1A68306E">
      <w:pPr>
        <w:snapToGrid w:val="0"/>
        <w:spacing w:before="165" w:beforeLines="50" w:after="50"/>
        <w:rPr>
          <w:rFonts w:ascii="Arial" w:hAnsi="Arial" w:eastAsia="宋体" w:cs="Arial"/>
          <w:bCs/>
          <w:color w:val="auto"/>
          <w:sz w:val="24"/>
          <w:szCs w:val="20"/>
          <w:highlight w:val="none"/>
        </w:rPr>
      </w:pPr>
    </w:p>
    <w:p w14:paraId="41E1112A">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项目名称：</w:t>
      </w:r>
    </w:p>
    <w:p w14:paraId="2B760ED6">
      <w:pPr>
        <w:snapToGrid w:val="0"/>
        <w:spacing w:before="165" w:beforeLines="50" w:after="50"/>
        <w:ind w:firstLine="360" w:firstLineChars="150"/>
        <w:rPr>
          <w:rFonts w:ascii="Arial" w:hAnsi="Arial" w:eastAsia="宋体" w:cs="Arial"/>
          <w:bCs/>
          <w:color w:val="auto"/>
          <w:sz w:val="24"/>
          <w:szCs w:val="20"/>
          <w:highlight w:val="none"/>
        </w:rPr>
      </w:pPr>
    </w:p>
    <w:p w14:paraId="1ACCEA7F">
      <w:pPr>
        <w:snapToGrid w:val="0"/>
        <w:spacing w:before="165" w:beforeLines="50" w:after="50"/>
        <w:ind w:firstLine="360" w:firstLineChars="150"/>
        <w:rPr>
          <w:rFonts w:ascii="Arial" w:hAnsi="Arial" w:eastAsia="宋体" w:cs="Arial"/>
          <w:bCs/>
          <w:color w:val="auto"/>
          <w:sz w:val="24"/>
          <w:szCs w:val="20"/>
          <w:highlight w:val="none"/>
        </w:rPr>
      </w:pPr>
    </w:p>
    <w:p w14:paraId="074E49E6">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项目编号：</w:t>
      </w:r>
    </w:p>
    <w:p w14:paraId="7CFBC499">
      <w:pPr>
        <w:snapToGrid w:val="0"/>
        <w:spacing w:before="165" w:beforeLines="50" w:after="50"/>
        <w:ind w:firstLine="360" w:firstLineChars="150"/>
        <w:rPr>
          <w:rFonts w:ascii="Arial" w:hAnsi="Arial" w:eastAsia="宋体" w:cs="Arial"/>
          <w:bCs/>
          <w:color w:val="auto"/>
          <w:sz w:val="24"/>
          <w:szCs w:val="20"/>
          <w:highlight w:val="none"/>
        </w:rPr>
      </w:pPr>
    </w:p>
    <w:p w14:paraId="16148523">
      <w:pPr>
        <w:spacing w:line="400" w:lineRule="exact"/>
        <w:rPr>
          <w:rFonts w:ascii="Arial" w:hAnsi="Arial" w:eastAsia="宋体" w:cs="Arial"/>
          <w:color w:val="auto"/>
          <w:szCs w:val="21"/>
          <w:highlight w:val="none"/>
        </w:rPr>
      </w:pPr>
    </w:p>
    <w:p w14:paraId="45967756">
      <w:pPr>
        <w:snapToGrid w:val="0"/>
        <w:spacing w:before="165" w:beforeLines="50" w:after="50"/>
        <w:ind w:firstLine="360" w:firstLineChars="150"/>
        <w:rPr>
          <w:rFonts w:hint="eastAsia" w:ascii="Arial" w:hAnsi="Arial" w:eastAsia="宋体" w:cs="Arial"/>
          <w:bCs/>
          <w:color w:val="auto"/>
          <w:sz w:val="24"/>
          <w:highlight w:val="none"/>
          <w:lang w:eastAsia="zh-CN"/>
        </w:rPr>
      </w:pPr>
      <w:r>
        <w:rPr>
          <w:rFonts w:ascii="Arial" w:hAnsi="Arial" w:eastAsia="宋体" w:cs="Arial"/>
          <w:bCs/>
          <w:color w:val="auto"/>
          <w:sz w:val="24"/>
          <w:highlight w:val="none"/>
        </w:rPr>
        <w:t>采购代理机构：</w:t>
      </w:r>
      <w:r>
        <w:rPr>
          <w:rFonts w:hint="eastAsia" w:ascii="Arial" w:hAnsi="Arial" w:eastAsia="宋体" w:cs="Arial"/>
          <w:bCs/>
          <w:color w:val="auto"/>
          <w:sz w:val="24"/>
          <w:highlight w:val="none"/>
          <w:lang w:eastAsia="zh-CN"/>
        </w:rPr>
        <w:t>广西机电设备招标有限公司</w:t>
      </w:r>
    </w:p>
    <w:p w14:paraId="44CCE604">
      <w:pPr>
        <w:snapToGrid w:val="0"/>
        <w:spacing w:before="165" w:beforeLines="50" w:after="50"/>
        <w:ind w:firstLine="360" w:firstLineChars="150"/>
        <w:rPr>
          <w:rFonts w:ascii="Arial" w:hAnsi="Arial" w:eastAsia="宋体" w:cs="Arial"/>
          <w:bCs/>
          <w:color w:val="auto"/>
          <w:sz w:val="24"/>
          <w:highlight w:val="none"/>
        </w:rPr>
      </w:pPr>
    </w:p>
    <w:p w14:paraId="799B4717">
      <w:pPr>
        <w:snapToGrid w:val="0"/>
        <w:spacing w:before="165" w:beforeLines="50" w:after="50"/>
        <w:ind w:firstLine="360" w:firstLineChars="150"/>
        <w:rPr>
          <w:rFonts w:ascii="Arial" w:hAnsi="Arial" w:eastAsia="宋体" w:cs="Arial"/>
          <w:bCs/>
          <w:color w:val="auto"/>
          <w:sz w:val="24"/>
          <w:highlight w:val="none"/>
        </w:rPr>
      </w:pPr>
    </w:p>
    <w:p w14:paraId="4461EACE">
      <w:pPr>
        <w:snapToGrid w:val="0"/>
        <w:spacing w:before="165" w:beforeLines="50" w:after="50"/>
        <w:ind w:firstLine="360" w:firstLineChars="150"/>
        <w:rPr>
          <w:rFonts w:ascii="Arial" w:hAnsi="Arial" w:eastAsia="宋体" w:cs="Arial"/>
          <w:bCs/>
          <w:color w:val="auto"/>
          <w:sz w:val="24"/>
          <w:highlight w:val="none"/>
        </w:rPr>
      </w:pPr>
      <w:r>
        <w:rPr>
          <w:rFonts w:ascii="Arial" w:hAnsi="Arial" w:eastAsia="宋体" w:cs="Arial"/>
          <w:bCs/>
          <w:color w:val="auto"/>
          <w:sz w:val="24"/>
          <w:highlight w:val="none"/>
        </w:rPr>
        <w:t>供应商名称：</w:t>
      </w:r>
    </w:p>
    <w:p w14:paraId="5BD849EE">
      <w:pPr>
        <w:spacing w:line="400" w:lineRule="exact"/>
        <w:rPr>
          <w:rFonts w:ascii="Arial" w:hAnsi="Arial" w:eastAsia="宋体" w:cs="Arial"/>
          <w:b/>
          <w:color w:val="auto"/>
          <w:sz w:val="32"/>
          <w:szCs w:val="32"/>
          <w:highlight w:val="none"/>
        </w:rPr>
      </w:pPr>
    </w:p>
    <w:p w14:paraId="7CBF29B9">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二、响应文件组成</w:t>
      </w:r>
    </w:p>
    <w:p w14:paraId="16445C4D">
      <w:pPr>
        <w:spacing w:line="400" w:lineRule="exact"/>
        <w:rPr>
          <w:rFonts w:ascii="Arial" w:hAnsi="Arial" w:eastAsia="宋体" w:cs="Arial"/>
          <w:b/>
          <w:bCs/>
          <w:color w:val="auto"/>
          <w:sz w:val="24"/>
          <w:highlight w:val="none"/>
        </w:rPr>
      </w:pPr>
    </w:p>
    <w:p w14:paraId="1F738BB2">
      <w:pPr>
        <w:spacing w:line="400" w:lineRule="exact"/>
        <w:rPr>
          <w:rFonts w:ascii="Arial" w:hAnsi="Arial" w:eastAsia="宋体" w:cs="Arial"/>
          <w:b/>
          <w:bCs/>
          <w:color w:val="auto"/>
          <w:sz w:val="24"/>
          <w:highlight w:val="none"/>
        </w:rPr>
      </w:pPr>
    </w:p>
    <w:p w14:paraId="4E726DF9">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（一）</w:t>
      </w:r>
      <w:r>
        <w:rPr>
          <w:rFonts w:ascii="Arial" w:hAnsi="Arial" w:eastAsia="宋体" w:cs="Arial"/>
          <w:b/>
          <w:color w:val="auto"/>
          <w:sz w:val="32"/>
          <w:szCs w:val="32"/>
          <w:highlight w:val="none"/>
        </w:rPr>
        <w:t>资格性响应证明材料</w:t>
      </w:r>
    </w:p>
    <w:p w14:paraId="7A3B9589">
      <w:pPr>
        <w:spacing w:line="400" w:lineRule="exact"/>
        <w:rPr>
          <w:rFonts w:ascii="Arial" w:hAnsi="Arial" w:eastAsia="宋体" w:cs="Arial"/>
          <w:b/>
          <w:bCs/>
          <w:color w:val="auto"/>
          <w:sz w:val="24"/>
          <w:highlight w:val="none"/>
        </w:rPr>
      </w:pPr>
    </w:p>
    <w:p w14:paraId="4BCC2BA9">
      <w:pPr>
        <w:spacing w:line="400" w:lineRule="exact"/>
        <w:rPr>
          <w:rFonts w:ascii="Arial" w:hAnsi="Arial" w:eastAsia="宋体" w:cs="Arial"/>
          <w:b/>
          <w:bCs/>
          <w:color w:val="auto"/>
          <w:sz w:val="24"/>
          <w:highlight w:val="none"/>
        </w:rPr>
      </w:pPr>
    </w:p>
    <w:p w14:paraId="28F530C0">
      <w:pPr>
        <w:spacing w:line="400" w:lineRule="exact"/>
        <w:rPr>
          <w:rFonts w:ascii="Arial" w:hAnsi="Arial" w:eastAsia="宋体" w:cs="Arial"/>
          <w:b/>
          <w:bCs/>
          <w:color w:val="auto"/>
          <w:sz w:val="24"/>
          <w:highlight w:val="none"/>
        </w:rPr>
      </w:pPr>
    </w:p>
    <w:p w14:paraId="2C8FD885">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（二）</w:t>
      </w:r>
      <w:r>
        <w:rPr>
          <w:rFonts w:ascii="Arial" w:hAnsi="Arial" w:eastAsia="宋体" w:cs="Arial"/>
          <w:b/>
          <w:color w:val="auto"/>
          <w:sz w:val="32"/>
          <w:szCs w:val="32"/>
          <w:highlight w:val="none"/>
        </w:rPr>
        <w:t>符合性响应证明材料</w:t>
      </w:r>
    </w:p>
    <w:p w14:paraId="206E2D8D">
      <w:pPr>
        <w:spacing w:line="400" w:lineRule="exact"/>
        <w:rPr>
          <w:rFonts w:ascii="Arial" w:hAnsi="Arial" w:eastAsia="宋体" w:cs="Arial"/>
          <w:b/>
          <w:bCs/>
          <w:color w:val="auto"/>
          <w:sz w:val="24"/>
          <w:highlight w:val="none"/>
        </w:rPr>
      </w:pPr>
    </w:p>
    <w:p w14:paraId="2A82433E">
      <w:pPr>
        <w:spacing w:line="400" w:lineRule="exact"/>
        <w:rPr>
          <w:rFonts w:ascii="Arial" w:hAnsi="Arial" w:eastAsia="宋体" w:cs="Arial"/>
          <w:b/>
          <w:bCs/>
          <w:color w:val="auto"/>
          <w:sz w:val="24"/>
          <w:highlight w:val="none"/>
        </w:rPr>
      </w:pPr>
    </w:p>
    <w:p w14:paraId="118A6BCD">
      <w:pPr>
        <w:spacing w:line="400" w:lineRule="exact"/>
        <w:rPr>
          <w:rFonts w:ascii="Arial" w:hAnsi="Arial" w:eastAsia="宋体" w:cs="Arial"/>
          <w:b/>
          <w:bCs/>
          <w:color w:val="auto"/>
          <w:sz w:val="24"/>
          <w:highlight w:val="none"/>
        </w:rPr>
      </w:pPr>
    </w:p>
    <w:p w14:paraId="1E33A265">
      <w:pPr>
        <w:spacing w:line="400" w:lineRule="exact"/>
        <w:rPr>
          <w:rFonts w:ascii="Arial" w:hAnsi="Arial" w:eastAsia="宋体" w:cs="Arial"/>
          <w:b/>
          <w:bCs/>
          <w:color w:val="auto"/>
          <w:sz w:val="24"/>
          <w:highlight w:val="none"/>
        </w:rPr>
      </w:pPr>
      <w:r>
        <w:rPr>
          <w:rFonts w:ascii="Arial" w:hAnsi="Arial" w:eastAsia="宋体" w:cs="Arial"/>
          <w:b/>
          <w:bCs/>
          <w:color w:val="auto"/>
          <w:sz w:val="24"/>
          <w:highlight w:val="none"/>
        </w:rPr>
        <w:t>（三）</w:t>
      </w:r>
      <w:r>
        <w:rPr>
          <w:rFonts w:ascii="Arial" w:hAnsi="Arial" w:eastAsia="宋体" w:cs="Arial"/>
          <w:b/>
          <w:color w:val="auto"/>
          <w:sz w:val="32"/>
          <w:szCs w:val="32"/>
          <w:highlight w:val="none"/>
        </w:rPr>
        <w:t>其它有效证明材料</w:t>
      </w:r>
    </w:p>
    <w:p w14:paraId="4DE3B03F">
      <w:pPr>
        <w:tabs>
          <w:tab w:val="left" w:pos="1305"/>
        </w:tabs>
        <w:spacing w:line="520" w:lineRule="exact"/>
        <w:jc w:val="center"/>
        <w:rPr>
          <w:rFonts w:ascii="Arial" w:hAnsi="Arial" w:eastAsia="宋体" w:cs="Arial"/>
          <w:color w:val="auto"/>
          <w:sz w:val="24"/>
          <w:highlight w:val="none"/>
        </w:rPr>
      </w:pPr>
      <w:r>
        <w:rPr>
          <w:rFonts w:ascii="Arial" w:hAnsi="Arial" w:eastAsia="宋体" w:cs="Arial"/>
          <w:b/>
          <w:color w:val="auto"/>
          <w:sz w:val="32"/>
          <w:szCs w:val="32"/>
          <w:highlight w:val="none"/>
        </w:rPr>
        <w:br w:type="page"/>
      </w:r>
      <w:r>
        <w:rPr>
          <w:rFonts w:ascii="Arial" w:hAnsi="Arial" w:eastAsia="宋体" w:cs="Arial"/>
          <w:b/>
          <w:color w:val="auto"/>
          <w:sz w:val="32"/>
          <w:szCs w:val="32"/>
          <w:highlight w:val="none"/>
        </w:rPr>
        <w:t>（一）资格性响应证明材料目录</w:t>
      </w:r>
    </w:p>
    <w:p w14:paraId="24FCBA16">
      <w:pPr>
        <w:tabs>
          <w:tab w:val="left" w:pos="1305"/>
        </w:tabs>
        <w:spacing w:line="520" w:lineRule="exact"/>
        <w:ind w:firstLine="600" w:firstLineChars="250"/>
        <w:rPr>
          <w:rFonts w:ascii="Arial" w:hAnsi="Arial" w:eastAsia="宋体" w:cs="Arial"/>
          <w:color w:val="auto"/>
          <w:sz w:val="24"/>
          <w:highlight w:val="none"/>
        </w:rPr>
      </w:pPr>
    </w:p>
    <w:p w14:paraId="7F2311C0">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1.响应函</w:t>
      </w:r>
      <w:r>
        <w:rPr>
          <w:rFonts w:ascii="Arial" w:hAnsi="Arial" w:eastAsia="宋体" w:cs="Arial"/>
          <w:b/>
          <w:color w:val="auto"/>
          <w:szCs w:val="21"/>
          <w:highlight w:val="none"/>
        </w:rPr>
        <w:t>（必须提供）</w:t>
      </w:r>
    </w:p>
    <w:p w14:paraId="16D33E05">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2.供应商相应的法定代表人（负责人）身份证正反两面复印件</w:t>
      </w:r>
      <w:r>
        <w:rPr>
          <w:rFonts w:ascii="Arial" w:hAnsi="Arial" w:eastAsia="宋体" w:cs="Arial"/>
          <w:b/>
          <w:color w:val="auto"/>
          <w:szCs w:val="21"/>
          <w:highlight w:val="none"/>
        </w:rPr>
        <w:t>（必须提供）</w:t>
      </w:r>
    </w:p>
    <w:p w14:paraId="53B41680">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3.供应商的授权委托书原件、委托代理人身份证正反面复印件</w:t>
      </w:r>
      <w:r>
        <w:rPr>
          <w:rFonts w:ascii="Arial" w:hAnsi="Arial" w:eastAsia="宋体" w:cs="Arial"/>
          <w:b/>
          <w:color w:val="auto"/>
          <w:szCs w:val="21"/>
          <w:highlight w:val="none"/>
        </w:rPr>
        <w:t>（委托代理时必须提供）</w:t>
      </w:r>
    </w:p>
    <w:p w14:paraId="72197903">
      <w:pPr>
        <w:tabs>
          <w:tab w:val="left" w:pos="1305"/>
        </w:tabs>
        <w:spacing w:line="520" w:lineRule="exact"/>
        <w:ind w:firstLine="550" w:firstLineChars="262"/>
        <w:rPr>
          <w:rFonts w:ascii="Arial" w:hAnsi="Arial" w:eastAsia="宋体" w:cs="Arial"/>
          <w:b/>
          <w:color w:val="auto"/>
          <w:szCs w:val="21"/>
          <w:highlight w:val="none"/>
        </w:rPr>
      </w:pPr>
      <w:r>
        <w:rPr>
          <w:rFonts w:ascii="Arial" w:hAnsi="Arial" w:eastAsia="宋体" w:cs="Arial"/>
          <w:color w:val="auto"/>
          <w:szCs w:val="21"/>
          <w:highlight w:val="none"/>
        </w:rPr>
        <w:t>4.供应商的法人或者其他组织营业执照等证明文件复印件</w:t>
      </w:r>
      <w:r>
        <w:rPr>
          <w:rFonts w:ascii="Arial" w:hAnsi="Arial" w:eastAsia="宋体" w:cs="Arial"/>
          <w:b/>
          <w:color w:val="auto"/>
          <w:szCs w:val="21"/>
          <w:highlight w:val="none"/>
        </w:rPr>
        <w:t>（必须提供）</w:t>
      </w:r>
    </w:p>
    <w:p w14:paraId="3C7D582D">
      <w:pPr>
        <w:tabs>
          <w:tab w:val="left" w:pos="1305"/>
        </w:tabs>
        <w:spacing w:line="390" w:lineRule="exact"/>
        <w:ind w:firstLine="420" w:firstLineChars="200"/>
        <w:rPr>
          <w:rFonts w:ascii="Arial" w:hAnsi="Arial" w:eastAsia="宋体" w:cs="Arial"/>
          <w:b/>
          <w:color w:val="auto"/>
          <w:szCs w:val="21"/>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D53C20C">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5.供应商</w:t>
      </w:r>
      <w:r>
        <w:rPr>
          <w:rFonts w:hint="eastAsia" w:ascii="Arial" w:hAnsi="Arial" w:eastAsia="宋体" w:cs="Arial"/>
          <w:color w:val="auto"/>
          <w:szCs w:val="21"/>
          <w:highlight w:val="none"/>
        </w:rPr>
        <w:t>2023年</w:t>
      </w:r>
      <w:r>
        <w:rPr>
          <w:rFonts w:ascii="Arial" w:hAnsi="Arial" w:eastAsia="宋体" w:cs="Arial"/>
          <w:color w:val="auto"/>
          <w:szCs w:val="21"/>
          <w:highlight w:val="none"/>
        </w:rPr>
        <w:t>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w:t>
      </w:r>
      <w:r>
        <w:rPr>
          <w:rFonts w:ascii="Arial" w:hAnsi="Arial" w:eastAsia="宋体" w:cs="Arial"/>
          <w:b/>
          <w:bCs/>
          <w:color w:val="auto"/>
          <w:szCs w:val="21"/>
          <w:highlight w:val="none"/>
        </w:rPr>
        <w:t>（必须提供）</w:t>
      </w:r>
    </w:p>
    <w:p w14:paraId="390E81B4">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w:t>
      </w:r>
      <w:r>
        <w:rPr>
          <w:rFonts w:ascii="Arial" w:hAnsi="Arial" w:eastAsia="宋体" w:cs="Arial"/>
          <w:b/>
          <w:bCs/>
          <w:color w:val="auto"/>
          <w:szCs w:val="21"/>
          <w:highlight w:val="none"/>
        </w:rPr>
        <w:t>（必须提供）</w:t>
      </w:r>
    </w:p>
    <w:p w14:paraId="60832412">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7.供应商至响应文件递交截止时间前6个月内，任意1个月依法缴纳社会保障资金的相关材料复印件</w:t>
      </w:r>
      <w:r>
        <w:rPr>
          <w:rFonts w:ascii="Arial" w:hAnsi="Arial" w:eastAsia="宋体" w:cs="Arial"/>
          <w:b/>
          <w:bCs/>
          <w:color w:val="auto"/>
          <w:szCs w:val="21"/>
          <w:highlight w:val="none"/>
        </w:rPr>
        <w:t>（必须提供）</w:t>
      </w:r>
    </w:p>
    <w:p w14:paraId="79261571">
      <w:pPr>
        <w:tabs>
          <w:tab w:val="left" w:pos="1305"/>
        </w:tabs>
        <w:spacing w:line="520" w:lineRule="exact"/>
        <w:ind w:firstLine="525" w:firstLineChars="250"/>
        <w:rPr>
          <w:rFonts w:ascii="Arial" w:hAnsi="Arial" w:eastAsia="宋体" w:cs="Arial"/>
          <w:b/>
          <w:bCs/>
          <w:color w:val="auto"/>
          <w:szCs w:val="21"/>
          <w:highlight w:val="none"/>
        </w:rPr>
      </w:pPr>
      <w:r>
        <w:rPr>
          <w:rFonts w:ascii="Arial" w:hAnsi="Arial" w:eastAsia="宋体" w:cs="Arial"/>
          <w:color w:val="auto"/>
          <w:szCs w:val="21"/>
          <w:highlight w:val="none"/>
        </w:rPr>
        <w:t>8.供应商参加采购活动前3年内在经营活动中没有重大违法记录及有关信用信息的书面声明</w:t>
      </w:r>
      <w:r>
        <w:rPr>
          <w:rFonts w:ascii="Arial" w:hAnsi="Arial" w:eastAsia="宋体" w:cs="Arial"/>
          <w:b/>
          <w:bCs/>
          <w:color w:val="auto"/>
          <w:szCs w:val="21"/>
          <w:highlight w:val="none"/>
        </w:rPr>
        <w:t>（必须提供）</w:t>
      </w:r>
    </w:p>
    <w:p w14:paraId="12BD13EB">
      <w:pPr>
        <w:tabs>
          <w:tab w:val="left" w:pos="1305"/>
        </w:tabs>
        <w:spacing w:line="520" w:lineRule="exact"/>
        <w:ind w:firstLine="525" w:firstLineChars="250"/>
        <w:rPr>
          <w:rFonts w:ascii="Arial" w:hAnsi="Arial" w:eastAsia="宋体" w:cs="Arial"/>
          <w:b/>
          <w:bCs/>
          <w:color w:val="auto"/>
          <w:szCs w:val="21"/>
          <w:highlight w:val="none"/>
        </w:rPr>
      </w:pPr>
      <w:r>
        <w:rPr>
          <w:rFonts w:ascii="Arial" w:hAnsi="Arial" w:eastAsia="宋体" w:cs="Arial"/>
          <w:color w:val="auto"/>
          <w:szCs w:val="21"/>
          <w:highlight w:val="none"/>
        </w:rPr>
        <w:t>9.供应商股东及出资信息表</w:t>
      </w:r>
      <w:r>
        <w:rPr>
          <w:rFonts w:ascii="Arial" w:hAnsi="Arial" w:eastAsia="宋体" w:cs="Arial"/>
          <w:b/>
          <w:bCs/>
          <w:color w:val="auto"/>
          <w:szCs w:val="21"/>
          <w:highlight w:val="none"/>
        </w:rPr>
        <w:t>（必须提供）</w:t>
      </w:r>
    </w:p>
    <w:p w14:paraId="555117E2">
      <w:pPr>
        <w:tabs>
          <w:tab w:val="left" w:pos="1305"/>
        </w:tabs>
        <w:spacing w:line="520" w:lineRule="exact"/>
        <w:ind w:firstLine="525" w:firstLineChars="250"/>
        <w:rPr>
          <w:rFonts w:ascii="Arial" w:hAnsi="Arial" w:eastAsia="宋体" w:cs="Arial"/>
          <w:color w:val="auto"/>
          <w:szCs w:val="21"/>
          <w:highlight w:val="none"/>
        </w:rPr>
      </w:pPr>
      <w:r>
        <w:rPr>
          <w:rFonts w:ascii="Arial" w:hAnsi="Arial" w:eastAsia="宋体" w:cs="Arial"/>
          <w:color w:val="auto"/>
          <w:szCs w:val="21"/>
          <w:highlight w:val="none"/>
        </w:rPr>
        <w:t>10.供应商参加本项目无围标串标行为的承诺函</w:t>
      </w:r>
      <w:r>
        <w:rPr>
          <w:rFonts w:ascii="Arial" w:hAnsi="Arial" w:eastAsia="宋体" w:cs="Arial"/>
          <w:b/>
          <w:bCs/>
          <w:color w:val="auto"/>
          <w:szCs w:val="21"/>
          <w:highlight w:val="none"/>
        </w:rPr>
        <w:t>（必须提供）</w:t>
      </w:r>
    </w:p>
    <w:p w14:paraId="7CE9CC7A">
      <w:pPr>
        <w:spacing w:line="440" w:lineRule="atLeast"/>
        <w:ind w:firstLine="630" w:firstLineChars="300"/>
        <w:rPr>
          <w:rFonts w:ascii="Arial" w:hAnsi="Arial" w:eastAsia="宋体" w:cs="Arial"/>
          <w:b/>
          <w:color w:val="auto"/>
          <w:sz w:val="28"/>
          <w:szCs w:val="28"/>
          <w:highlight w:val="none"/>
        </w:rPr>
      </w:pPr>
      <w:r>
        <w:rPr>
          <w:rFonts w:ascii="Arial" w:hAnsi="Arial" w:eastAsia="宋体" w:cs="Arial"/>
          <w:bCs/>
          <w:color w:val="auto"/>
          <w:szCs w:val="21"/>
          <w:highlight w:val="none"/>
        </w:rPr>
        <w:t>11.谈判保证缴纳证明材料复印件</w:t>
      </w:r>
      <w:r>
        <w:rPr>
          <w:rFonts w:ascii="Arial" w:hAnsi="Arial" w:eastAsia="宋体" w:cs="Arial"/>
          <w:b/>
          <w:color w:val="auto"/>
          <w:szCs w:val="21"/>
          <w:highlight w:val="none"/>
        </w:rPr>
        <w:t>（必须提供）</w:t>
      </w:r>
    </w:p>
    <w:p w14:paraId="5520FC84">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r>
        <w:rPr>
          <w:rFonts w:ascii="Arial" w:hAnsi="Arial" w:eastAsia="宋体" w:cs="Arial"/>
          <w:b/>
          <w:color w:val="auto"/>
          <w:sz w:val="28"/>
          <w:szCs w:val="28"/>
          <w:highlight w:val="none"/>
        </w:rPr>
        <w:t>1. 响应函（必须提供）</w:t>
      </w:r>
    </w:p>
    <w:p w14:paraId="7B354107">
      <w:pPr>
        <w:spacing w:line="440" w:lineRule="atLeast"/>
        <w:rPr>
          <w:rFonts w:ascii="Arial" w:hAnsi="Arial" w:eastAsia="宋体" w:cs="Arial"/>
          <w:b/>
          <w:color w:val="auto"/>
          <w:sz w:val="24"/>
          <w:highlight w:val="none"/>
        </w:rPr>
      </w:pPr>
      <w:r>
        <w:rPr>
          <w:rFonts w:ascii="Arial" w:hAnsi="Arial" w:eastAsia="宋体" w:cs="Arial"/>
          <w:b/>
          <w:color w:val="auto"/>
          <w:sz w:val="24"/>
          <w:highlight w:val="none"/>
        </w:rPr>
        <w:t>附件：</w:t>
      </w:r>
    </w:p>
    <w:p w14:paraId="01118D76">
      <w:pPr>
        <w:pStyle w:val="14"/>
        <w:ind w:firstLine="800" w:firstLineChars="250"/>
        <w:jc w:val="center"/>
        <w:rPr>
          <w:rFonts w:ascii="Arial" w:hAnsi="Arial" w:eastAsia="宋体" w:cs="Arial"/>
          <w:b/>
          <w:color w:val="auto"/>
          <w:sz w:val="32"/>
          <w:highlight w:val="none"/>
        </w:rPr>
      </w:pPr>
      <w:r>
        <w:rPr>
          <w:rFonts w:ascii="Arial" w:hAnsi="Arial" w:eastAsia="宋体" w:cs="Arial"/>
          <w:b/>
          <w:color w:val="auto"/>
          <w:sz w:val="32"/>
          <w:highlight w:val="none"/>
        </w:rPr>
        <w:t>响 应 函 （格 式）</w:t>
      </w:r>
    </w:p>
    <w:p w14:paraId="07B6B34D">
      <w:pPr>
        <w:spacing w:line="400" w:lineRule="exact"/>
        <w:rPr>
          <w:rFonts w:ascii="Arial" w:hAnsi="Arial" w:eastAsia="宋体" w:cs="Arial"/>
          <w:color w:val="auto"/>
          <w:highlight w:val="none"/>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lang w:eastAsia="zh-CN"/>
        </w:rPr>
        <w:t>广西机电设备招标有限公司</w:t>
      </w:r>
      <w:r>
        <w:rPr>
          <w:rFonts w:ascii="Arial" w:hAnsi="Arial" w:eastAsia="宋体" w:cs="Arial"/>
          <w:color w:val="auto"/>
          <w:szCs w:val="21"/>
          <w:highlight w:val="none"/>
          <w:u w:val="single"/>
        </w:rPr>
        <w:t xml:space="preserve"> </w:t>
      </w:r>
    </w:p>
    <w:p w14:paraId="66B163FE">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根据贵方</w:t>
      </w:r>
      <w:r>
        <w:rPr>
          <w:rFonts w:ascii="Arial" w:hAnsi="Arial" w:eastAsia="宋体" w:cs="Arial"/>
          <w:color w:val="auto"/>
          <w:highlight w:val="none"/>
          <w:u w:val="single"/>
        </w:rPr>
        <w:t xml:space="preserve">         </w:t>
      </w:r>
      <w:r>
        <w:rPr>
          <w:rFonts w:ascii="Arial" w:hAnsi="Arial" w:eastAsia="宋体" w:cs="Arial"/>
          <w:color w:val="auto"/>
          <w:highlight w:val="none"/>
        </w:rPr>
        <w:t xml:space="preserve">项目谈判文件，项目编号 </w:t>
      </w:r>
      <w:r>
        <w:rPr>
          <w:rFonts w:ascii="Arial" w:hAnsi="Arial" w:eastAsia="宋体" w:cs="Arial"/>
          <w:color w:val="auto"/>
          <w:highlight w:val="none"/>
          <w:u w:val="single"/>
        </w:rPr>
        <w:t xml:space="preserve">               </w:t>
      </w:r>
      <w:r>
        <w:rPr>
          <w:rFonts w:ascii="Arial" w:hAnsi="Arial" w:eastAsia="宋体" w:cs="Arial"/>
          <w:color w:val="auto"/>
          <w:szCs w:val="21"/>
          <w:highlight w:val="none"/>
        </w:rPr>
        <w:t>，签字代表</w:t>
      </w:r>
      <w:r>
        <w:rPr>
          <w:rFonts w:ascii="Arial" w:hAnsi="Arial" w:eastAsia="宋体" w:cs="Arial"/>
          <w:color w:val="auto"/>
          <w:highlight w:val="none"/>
          <w:u w:val="single"/>
        </w:rPr>
        <w:t xml:space="preserve">         </w:t>
      </w:r>
      <w:r>
        <w:rPr>
          <w:rFonts w:ascii="Arial" w:hAnsi="Arial" w:eastAsia="宋体" w:cs="Arial"/>
          <w:color w:val="auto"/>
          <w:highlight w:val="none"/>
        </w:rPr>
        <w:t xml:space="preserve">（姓名）经正式授权并代表供应商 </w:t>
      </w:r>
      <w:r>
        <w:rPr>
          <w:rFonts w:ascii="Arial" w:hAnsi="Arial" w:eastAsia="宋体" w:cs="Arial"/>
          <w:color w:val="auto"/>
          <w:highlight w:val="none"/>
          <w:u w:val="single"/>
        </w:rPr>
        <w:t xml:space="preserve">                                   （</w:t>
      </w:r>
      <w:r>
        <w:rPr>
          <w:rFonts w:ascii="Arial" w:hAnsi="Arial" w:eastAsia="宋体" w:cs="Arial"/>
          <w:color w:val="auto"/>
          <w:highlight w:val="none"/>
        </w:rPr>
        <w:t>供应商单位名称），提交响应文件正本一份，副本二份。</w:t>
      </w:r>
    </w:p>
    <w:p w14:paraId="78F6A1E8">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据此函，签字代表宣布同意如下：</w:t>
      </w:r>
    </w:p>
    <w:p w14:paraId="7B117E6B">
      <w:pPr>
        <w:pStyle w:val="14"/>
        <w:spacing w:line="360" w:lineRule="exact"/>
        <w:ind w:firstLine="420"/>
        <w:rPr>
          <w:rFonts w:ascii="Arial" w:hAnsi="Arial" w:eastAsia="宋体" w:cs="Arial"/>
          <w:b/>
          <w:bCs/>
          <w:color w:val="auto"/>
          <w:highlight w:val="none"/>
        </w:rPr>
      </w:pPr>
      <w:r>
        <w:rPr>
          <w:rFonts w:ascii="Arial" w:hAnsi="Arial" w:eastAsia="宋体" w:cs="Arial"/>
          <w:color w:val="auto"/>
          <w:highlight w:val="none"/>
        </w:rPr>
        <w:t>1.按谈判文件项目采购需求作出如下报价：谈判</w:t>
      </w:r>
      <w:r>
        <w:rPr>
          <w:rFonts w:hint="eastAsia" w:ascii="Arial" w:hAnsi="Arial" w:eastAsia="宋体" w:cs="Arial"/>
          <w:color w:val="auto"/>
          <w:highlight w:val="none"/>
        </w:rPr>
        <w:t>总</w:t>
      </w:r>
      <w:r>
        <w:rPr>
          <w:rFonts w:ascii="Arial" w:hAnsi="Arial" w:eastAsia="宋体" w:cs="Arial"/>
          <w:color w:val="auto"/>
          <w:highlight w:val="none"/>
        </w:rPr>
        <w:t>报价（大写）</w:t>
      </w:r>
      <w:r>
        <w:rPr>
          <w:rFonts w:ascii="Arial" w:hAnsi="Arial" w:eastAsia="宋体" w:cs="Arial"/>
          <w:color w:val="auto"/>
          <w:highlight w:val="none"/>
          <w:u w:val="single"/>
        </w:rPr>
        <w:t xml:space="preserve">       </w:t>
      </w:r>
      <w:r>
        <w:rPr>
          <w:rFonts w:ascii="Arial" w:hAnsi="Arial" w:eastAsia="宋体" w:cs="Arial"/>
          <w:color w:val="auto"/>
          <w:highlight w:val="none"/>
        </w:rPr>
        <w:t>元人民币(￥</w:t>
      </w:r>
      <w:r>
        <w:rPr>
          <w:rFonts w:ascii="Arial" w:hAnsi="Arial" w:eastAsia="宋体" w:cs="Arial"/>
          <w:color w:val="auto"/>
          <w:highlight w:val="none"/>
          <w:u w:val="single"/>
        </w:rPr>
        <w:t xml:space="preserve">    </w:t>
      </w:r>
      <w:r>
        <w:rPr>
          <w:rFonts w:ascii="Arial" w:hAnsi="Arial" w:eastAsia="宋体" w:cs="Arial"/>
          <w:color w:val="auto"/>
          <w:highlight w:val="none"/>
        </w:rPr>
        <w:t>)。</w:t>
      </w:r>
    </w:p>
    <w:p w14:paraId="2E904315">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2.我方承诺已具备谈判文件规定的供应商资格条件。</w:t>
      </w:r>
    </w:p>
    <w:p w14:paraId="4F666F35">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3.我方已详细审核谈判文件，包括修改文件（如有的话）和有关附件，将自行承担因对全部谈判文件理解不正确或误解而产生的相应后果。</w:t>
      </w:r>
    </w:p>
    <w:p w14:paraId="67770028">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4.响应文件有效期为</w:t>
      </w:r>
      <w:r>
        <w:rPr>
          <w:rFonts w:ascii="Arial" w:hAnsi="Arial" w:eastAsia="宋体" w:cs="Arial"/>
          <w:color w:val="auto"/>
          <w:szCs w:val="21"/>
          <w:highlight w:val="none"/>
        </w:rPr>
        <w:t>响应文件递交截止时间之日起90天。</w:t>
      </w:r>
    </w:p>
    <w:p w14:paraId="127299D8">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5.如我方成交：</w:t>
      </w:r>
    </w:p>
    <w:p w14:paraId="34F78768">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（1）我方承诺在收到成交通知书后，在成交通知书规定的期限内与采购人签订合同。</w:t>
      </w:r>
    </w:p>
    <w:p w14:paraId="584004F8">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（2）我方承诺按照谈判文件规定递交履约担保。</w:t>
      </w:r>
    </w:p>
    <w:p w14:paraId="0E800B00">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（3）我方承诺本响应文件至本项目合同履行完毕止均保持有效，按谈判文件及相关法律、法规的规定履行合同责任和义务。</w:t>
      </w:r>
    </w:p>
    <w:p w14:paraId="19A96380">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与本项目有关的正式通讯地址为：</w:t>
      </w:r>
    </w:p>
    <w:p w14:paraId="74F21B4F">
      <w:pPr>
        <w:pStyle w:val="14"/>
        <w:spacing w:line="400" w:lineRule="exact"/>
        <w:ind w:firstLine="420"/>
        <w:rPr>
          <w:rFonts w:ascii="Arial" w:hAnsi="Arial" w:eastAsia="宋体" w:cs="Arial"/>
          <w:color w:val="auto"/>
          <w:highlight w:val="none"/>
        </w:rPr>
      </w:pPr>
    </w:p>
    <w:p w14:paraId="6F4FDA7B">
      <w:pPr>
        <w:pStyle w:val="14"/>
        <w:spacing w:line="360" w:lineRule="exact"/>
        <w:ind w:firstLine="420"/>
        <w:rPr>
          <w:rFonts w:ascii="Arial" w:hAnsi="Arial" w:eastAsia="宋体" w:cs="Arial"/>
          <w:color w:val="auto"/>
          <w:highlight w:val="none"/>
        </w:rPr>
      </w:pPr>
      <w:r>
        <w:rPr>
          <w:rFonts w:ascii="Arial" w:hAnsi="Arial" w:eastAsia="宋体" w:cs="Arial"/>
          <w:color w:val="auto"/>
          <w:highlight w:val="none"/>
        </w:rPr>
        <w:t>地址：</w:t>
      </w:r>
      <w:r>
        <w:rPr>
          <w:rFonts w:ascii="Arial" w:hAnsi="Arial" w:eastAsia="宋体" w:cs="Arial"/>
          <w:color w:val="auto"/>
          <w:highlight w:val="none"/>
          <w:u w:val="single"/>
        </w:rPr>
        <w:t xml:space="preserve">                                   </w:t>
      </w:r>
      <w:r>
        <w:rPr>
          <w:rFonts w:ascii="Arial" w:hAnsi="Arial" w:eastAsia="宋体" w:cs="Arial"/>
          <w:color w:val="auto"/>
          <w:highlight w:val="none"/>
        </w:rPr>
        <w:t xml:space="preserve"> 邮编：</w:t>
      </w:r>
      <w:r>
        <w:rPr>
          <w:rFonts w:ascii="Arial" w:hAnsi="Arial" w:eastAsia="宋体" w:cs="Arial"/>
          <w:color w:val="auto"/>
          <w:highlight w:val="none"/>
          <w:u w:val="single"/>
        </w:rPr>
        <w:t xml:space="preserve">          </w:t>
      </w:r>
      <w:r>
        <w:rPr>
          <w:rFonts w:ascii="Arial" w:hAnsi="Arial" w:eastAsia="宋体" w:cs="Arial"/>
          <w:color w:val="auto"/>
          <w:highlight w:val="none"/>
        </w:rPr>
        <w:t xml:space="preserve">  邮箱：</w:t>
      </w:r>
      <w:r>
        <w:rPr>
          <w:rFonts w:ascii="Arial" w:hAnsi="Arial" w:eastAsia="宋体" w:cs="Arial"/>
          <w:color w:val="auto"/>
          <w:highlight w:val="none"/>
          <w:u w:val="single"/>
        </w:rPr>
        <w:t xml:space="preserve">             </w:t>
      </w:r>
      <w:r>
        <w:rPr>
          <w:rFonts w:ascii="Arial" w:hAnsi="Arial" w:eastAsia="宋体" w:cs="Arial"/>
          <w:color w:val="auto"/>
          <w:highlight w:val="none"/>
        </w:rPr>
        <w:t xml:space="preserve"> </w:t>
      </w:r>
    </w:p>
    <w:p w14:paraId="60C099AD">
      <w:pPr>
        <w:pStyle w:val="14"/>
        <w:spacing w:line="360" w:lineRule="exact"/>
        <w:ind w:firstLine="420"/>
        <w:rPr>
          <w:rFonts w:ascii="Arial" w:hAnsi="Arial" w:eastAsia="宋体" w:cs="Arial"/>
          <w:color w:val="auto"/>
          <w:highlight w:val="none"/>
          <w:u w:val="single"/>
        </w:rPr>
      </w:pPr>
      <w:r>
        <w:rPr>
          <w:rFonts w:ascii="Arial" w:hAnsi="Arial" w:eastAsia="宋体" w:cs="Arial"/>
          <w:color w:val="auto"/>
          <w:highlight w:val="none"/>
        </w:rPr>
        <w:t>办公电话：</w:t>
      </w:r>
      <w:r>
        <w:rPr>
          <w:rFonts w:ascii="Arial" w:hAnsi="Arial" w:eastAsia="宋体" w:cs="Arial"/>
          <w:color w:val="auto"/>
          <w:highlight w:val="none"/>
          <w:u w:val="single"/>
        </w:rPr>
        <w:t xml:space="preserve">                </w:t>
      </w:r>
      <w:r>
        <w:rPr>
          <w:rFonts w:ascii="Arial" w:hAnsi="Arial" w:eastAsia="宋体" w:cs="Arial"/>
          <w:color w:val="auto"/>
          <w:highlight w:val="none"/>
        </w:rPr>
        <w:t xml:space="preserve">   传真：</w:t>
      </w:r>
      <w:r>
        <w:rPr>
          <w:rFonts w:ascii="Arial" w:hAnsi="Arial" w:eastAsia="宋体" w:cs="Arial"/>
          <w:color w:val="auto"/>
          <w:highlight w:val="none"/>
          <w:u w:val="single"/>
        </w:rPr>
        <w:t xml:space="preserve">            </w:t>
      </w:r>
    </w:p>
    <w:p w14:paraId="3B6B8256">
      <w:pPr>
        <w:pStyle w:val="14"/>
        <w:spacing w:line="360" w:lineRule="exact"/>
        <w:ind w:firstLine="420"/>
        <w:rPr>
          <w:rFonts w:ascii="Arial" w:hAnsi="Arial" w:eastAsia="宋体" w:cs="Arial"/>
          <w:color w:val="auto"/>
          <w:highlight w:val="none"/>
          <w:u w:val="single"/>
        </w:rPr>
      </w:pPr>
      <w:r>
        <w:rPr>
          <w:rFonts w:ascii="Arial" w:hAnsi="Arial" w:eastAsia="宋体" w:cs="Arial"/>
          <w:color w:val="auto"/>
          <w:highlight w:val="none"/>
        </w:rPr>
        <w:t>委托代理人联系电话：</w:t>
      </w:r>
      <w:r>
        <w:rPr>
          <w:rFonts w:ascii="Arial" w:hAnsi="Arial" w:eastAsia="宋体" w:cs="Arial"/>
          <w:color w:val="auto"/>
          <w:highlight w:val="none"/>
          <w:u w:val="single"/>
        </w:rPr>
        <w:t xml:space="preserve">                </w:t>
      </w:r>
    </w:p>
    <w:p w14:paraId="78BE81D4">
      <w:pPr>
        <w:pStyle w:val="14"/>
        <w:spacing w:line="320" w:lineRule="exact"/>
        <w:ind w:firstLine="420"/>
        <w:rPr>
          <w:rFonts w:ascii="Arial" w:hAnsi="Arial" w:eastAsia="宋体" w:cs="Arial"/>
          <w:color w:val="auto"/>
          <w:highlight w:val="none"/>
        </w:rPr>
      </w:pPr>
      <w:r>
        <w:rPr>
          <w:rFonts w:ascii="Arial" w:hAnsi="Arial" w:eastAsia="宋体" w:cs="Arial"/>
          <w:color w:val="auto"/>
          <w:highlight w:val="none"/>
        </w:rPr>
        <w:t>开户名称：</w:t>
      </w:r>
      <w:r>
        <w:rPr>
          <w:rFonts w:ascii="Arial" w:hAnsi="Arial" w:eastAsia="宋体" w:cs="Arial"/>
          <w:color w:val="auto"/>
          <w:highlight w:val="none"/>
          <w:u w:val="single"/>
        </w:rPr>
        <w:t xml:space="preserve">                                        </w:t>
      </w:r>
    </w:p>
    <w:p w14:paraId="32C8A394">
      <w:pPr>
        <w:pStyle w:val="14"/>
        <w:spacing w:line="320" w:lineRule="exact"/>
        <w:ind w:firstLine="420"/>
        <w:rPr>
          <w:rFonts w:ascii="Arial" w:hAnsi="Arial" w:eastAsia="宋体" w:cs="Arial"/>
          <w:color w:val="auto"/>
          <w:highlight w:val="none"/>
        </w:rPr>
      </w:pPr>
      <w:r>
        <w:rPr>
          <w:rFonts w:ascii="Arial" w:hAnsi="Arial" w:eastAsia="宋体" w:cs="Arial"/>
          <w:color w:val="auto"/>
          <w:highlight w:val="none"/>
        </w:rPr>
        <w:t>开户银行：</w:t>
      </w:r>
      <w:r>
        <w:rPr>
          <w:rFonts w:ascii="Arial" w:hAnsi="Arial" w:eastAsia="宋体" w:cs="Arial"/>
          <w:color w:val="auto"/>
          <w:highlight w:val="none"/>
          <w:u w:val="single"/>
        </w:rPr>
        <w:t xml:space="preserve">                               　       </w:t>
      </w:r>
    </w:p>
    <w:p w14:paraId="7BA5FB7A">
      <w:pPr>
        <w:pStyle w:val="14"/>
        <w:spacing w:line="320" w:lineRule="exact"/>
        <w:ind w:firstLine="420"/>
        <w:rPr>
          <w:rFonts w:ascii="Arial" w:hAnsi="Arial" w:eastAsia="宋体" w:cs="Arial"/>
          <w:color w:val="auto"/>
          <w:highlight w:val="none"/>
        </w:rPr>
      </w:pPr>
      <w:r>
        <w:rPr>
          <w:rFonts w:ascii="Arial" w:hAnsi="Arial" w:eastAsia="宋体" w:cs="Arial"/>
          <w:color w:val="auto"/>
          <w:highlight w:val="none"/>
        </w:rPr>
        <w:t>账号：</w:t>
      </w:r>
      <w:r>
        <w:rPr>
          <w:rFonts w:ascii="Arial" w:hAnsi="Arial" w:eastAsia="宋体" w:cs="Arial"/>
          <w:color w:val="auto"/>
          <w:highlight w:val="none"/>
          <w:u w:val="single"/>
        </w:rPr>
        <w:t xml:space="preserve">                                   　　　   </w:t>
      </w:r>
    </w:p>
    <w:p w14:paraId="2C8C273F">
      <w:pPr>
        <w:pStyle w:val="14"/>
        <w:spacing w:line="320" w:lineRule="exact"/>
        <w:ind w:firstLine="420"/>
        <w:rPr>
          <w:rFonts w:ascii="Arial" w:hAnsi="Arial" w:eastAsia="宋体" w:cs="Arial"/>
          <w:color w:val="auto"/>
          <w:highlight w:val="non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13AC1CEE">
      <w:pPr>
        <w:pStyle w:val="14"/>
        <w:spacing w:line="320" w:lineRule="exact"/>
        <w:ind w:firstLine="42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0EFE880A">
      <w:pPr>
        <w:pStyle w:val="14"/>
        <w:spacing w:line="320" w:lineRule="exact"/>
        <w:ind w:firstLine="420"/>
        <w:rPr>
          <w:rFonts w:ascii="Arial" w:hAnsi="Arial" w:eastAsia="宋体" w:cs="Arial"/>
          <w:color w:val="auto"/>
          <w:highlight w:val="none"/>
          <w:u w:val="single"/>
        </w:rPr>
      </w:pPr>
      <w:r>
        <w:rPr>
          <w:rFonts w:ascii="Arial" w:hAnsi="Arial" w:eastAsia="宋体" w:cs="Arial"/>
          <w:bCs/>
          <w:color w:val="auto"/>
          <w:highlight w:val="none"/>
        </w:rPr>
        <w:t>响应</w:t>
      </w:r>
      <w:r>
        <w:rPr>
          <w:rFonts w:ascii="Arial" w:hAnsi="Arial" w:eastAsia="宋体" w:cs="Arial"/>
          <w:color w:val="auto"/>
          <w:highlight w:val="none"/>
        </w:rPr>
        <w:t>日期：</w:t>
      </w:r>
      <w:r>
        <w:rPr>
          <w:rFonts w:ascii="Arial" w:hAnsi="Arial" w:eastAsia="宋体" w:cs="Arial"/>
          <w:color w:val="auto"/>
          <w:highlight w:val="none"/>
          <w:u w:val="single"/>
        </w:rPr>
        <w:t xml:space="preserve">                               </w:t>
      </w:r>
    </w:p>
    <w:p w14:paraId="5042356A">
      <w:pPr>
        <w:pStyle w:val="14"/>
        <w:spacing w:line="320" w:lineRule="exact"/>
        <w:ind w:firstLine="420"/>
        <w:rPr>
          <w:rFonts w:ascii="Arial" w:hAnsi="Arial" w:eastAsia="宋体" w:cs="Arial"/>
          <w:bCs/>
          <w:color w:val="auto"/>
          <w:highlight w:val="none"/>
        </w:rPr>
      </w:pPr>
    </w:p>
    <w:p w14:paraId="3BBBD53E">
      <w:pPr>
        <w:pStyle w:val="14"/>
        <w:spacing w:line="320" w:lineRule="exact"/>
        <w:ind w:left="840" w:leftChars="200" w:hanging="420" w:hangingChars="200"/>
        <w:rPr>
          <w:rFonts w:ascii="Arial" w:hAnsi="Arial" w:eastAsia="宋体" w:cs="Arial"/>
          <w:bCs/>
          <w:color w:val="auto"/>
          <w:highlight w:val="none"/>
        </w:rPr>
      </w:pPr>
      <w:r>
        <w:rPr>
          <w:rFonts w:ascii="Arial" w:hAnsi="Arial" w:eastAsia="宋体" w:cs="Arial"/>
          <w:bCs/>
          <w:color w:val="auto"/>
          <w:highlight w:val="none"/>
        </w:rPr>
        <w:t>注：1.未按照本响应函（格式）要求填报的响应函将被视为非实质性响应竞争性谈判文件要求，从而导致该响应被拒绝。</w:t>
      </w:r>
    </w:p>
    <w:p w14:paraId="4D3BEF6D">
      <w:pPr>
        <w:pStyle w:val="14"/>
        <w:spacing w:line="320" w:lineRule="exact"/>
        <w:ind w:left="840" w:leftChars="400"/>
        <w:rPr>
          <w:rFonts w:ascii="Arial" w:hAnsi="Arial" w:eastAsia="宋体" w:cs="Arial"/>
          <w:bCs/>
          <w:color w:val="auto"/>
          <w:highlight w:val="none"/>
        </w:rPr>
      </w:pPr>
      <w:r>
        <w:rPr>
          <w:rFonts w:ascii="Arial" w:hAnsi="Arial" w:eastAsia="宋体" w:cs="Arial"/>
          <w:bCs/>
          <w:color w:val="auto"/>
          <w:szCs w:val="21"/>
          <w:highlight w:val="none"/>
        </w:rPr>
        <w:t>2.供应商必须按</w:t>
      </w:r>
      <w:r>
        <w:rPr>
          <w:rFonts w:ascii="Arial" w:hAnsi="Arial" w:eastAsia="宋体" w:cs="Arial"/>
          <w:bCs/>
          <w:color w:val="auto"/>
          <w:highlight w:val="none"/>
        </w:rPr>
        <w:t>本响应函（格式）</w:t>
      </w:r>
      <w:r>
        <w:rPr>
          <w:rFonts w:ascii="Arial" w:hAnsi="Arial" w:eastAsia="宋体" w:cs="Arial"/>
          <w:bCs/>
          <w:color w:val="auto"/>
          <w:szCs w:val="21"/>
          <w:highlight w:val="none"/>
        </w:rPr>
        <w:t>要求注明清楚联系方式（包括地址、邮编、邮箱、电话等），从而确保成交结果等相关信息能及时通知到位。</w:t>
      </w:r>
    </w:p>
    <w:p w14:paraId="0773ED97">
      <w:pPr>
        <w:pStyle w:val="14"/>
        <w:spacing w:line="320" w:lineRule="exact"/>
        <w:ind w:left="840" w:leftChars="400"/>
        <w:rPr>
          <w:rFonts w:ascii="Arial" w:hAnsi="Arial" w:eastAsia="宋体" w:cs="Arial"/>
          <w:bCs/>
          <w:color w:val="auto"/>
          <w:szCs w:val="21"/>
          <w:highlight w:val="none"/>
        </w:rPr>
      </w:pPr>
      <w:r>
        <w:rPr>
          <w:rFonts w:ascii="Arial" w:hAnsi="Arial" w:eastAsia="宋体" w:cs="Arial"/>
          <w:bCs/>
          <w:color w:val="auto"/>
          <w:highlight w:val="none"/>
        </w:rPr>
        <w:t>3.响应函</w:t>
      </w:r>
      <w:r>
        <w:rPr>
          <w:rFonts w:ascii="Arial" w:hAnsi="Arial" w:eastAsia="宋体" w:cs="Arial"/>
          <w:bCs/>
          <w:color w:val="auto"/>
          <w:szCs w:val="21"/>
          <w:highlight w:val="none"/>
        </w:rPr>
        <w:t>须</w:t>
      </w:r>
      <w:r>
        <w:rPr>
          <w:rFonts w:ascii="Arial" w:hAnsi="Arial" w:eastAsia="宋体" w:cs="Arial"/>
          <w:bCs/>
          <w:color w:val="auto"/>
          <w:highlight w:val="none"/>
        </w:rPr>
        <w:t>由</w:t>
      </w:r>
      <w:r>
        <w:rPr>
          <w:rFonts w:ascii="Arial" w:hAnsi="Arial" w:eastAsia="宋体" w:cs="Arial"/>
          <w:bCs/>
          <w:color w:val="auto"/>
          <w:szCs w:val="21"/>
          <w:highlight w:val="none"/>
        </w:rPr>
        <w:t>法定代表人（负责人）或委托代理人签字并加盖供应商公章。</w:t>
      </w:r>
    </w:p>
    <w:p w14:paraId="63D78469">
      <w:pPr>
        <w:pStyle w:val="14"/>
        <w:spacing w:line="320" w:lineRule="exact"/>
        <w:ind w:left="840" w:leftChars="400"/>
        <w:rPr>
          <w:rFonts w:ascii="Arial" w:hAnsi="Arial" w:eastAsia="宋体" w:cs="Arial"/>
          <w:bCs/>
          <w:color w:val="auto"/>
          <w:szCs w:val="21"/>
          <w:highlight w:val="none"/>
        </w:rPr>
      </w:pPr>
    </w:p>
    <w:p w14:paraId="463A76F6">
      <w:pPr>
        <w:pStyle w:val="14"/>
        <w:spacing w:line="400" w:lineRule="exact"/>
        <w:ind w:firstLine="420" w:firstLineChars="200"/>
        <w:rPr>
          <w:rFonts w:ascii="Arial" w:hAnsi="Arial" w:eastAsia="宋体" w:cs="Arial"/>
          <w:bCs/>
          <w:color w:val="auto"/>
          <w:highlight w:val="none"/>
        </w:rPr>
      </w:pPr>
    </w:p>
    <w:p w14:paraId="770AF6A7">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7597C44E">
      <w:pPr>
        <w:spacing w:line="440" w:lineRule="atLeast"/>
        <w:rPr>
          <w:rFonts w:ascii="Arial" w:hAnsi="Arial" w:eastAsia="宋体" w:cs="Arial"/>
          <w:b/>
          <w:color w:val="auto"/>
          <w:sz w:val="28"/>
          <w:szCs w:val="28"/>
          <w:highlight w:val="none"/>
        </w:rPr>
      </w:pPr>
      <w:r>
        <w:rPr>
          <w:rFonts w:ascii="Arial" w:hAnsi="Arial" w:eastAsia="宋体" w:cs="Arial"/>
          <w:b/>
          <w:color w:val="auto"/>
          <w:sz w:val="28"/>
          <w:szCs w:val="28"/>
          <w:highlight w:val="none"/>
        </w:rPr>
        <w:t>2.供应商相应的法定代表人（负责人)身份证正反两面复印件（必须提供）</w:t>
      </w:r>
    </w:p>
    <w:p w14:paraId="088EF42F">
      <w:pPr>
        <w:pStyle w:val="14"/>
        <w:spacing w:line="340" w:lineRule="exact"/>
        <w:rPr>
          <w:rFonts w:ascii="Arial" w:hAnsi="Arial" w:eastAsia="宋体" w:cs="Arial"/>
          <w:b/>
          <w:color w:val="auto"/>
          <w:sz w:val="28"/>
          <w:szCs w:val="28"/>
          <w:highlight w:val="none"/>
        </w:rPr>
      </w:pPr>
    </w:p>
    <w:p w14:paraId="32F56A37">
      <w:pPr>
        <w:pStyle w:val="14"/>
        <w:spacing w:line="340" w:lineRule="exact"/>
        <w:rPr>
          <w:rFonts w:ascii="Arial" w:hAnsi="Arial" w:eastAsia="宋体" w:cs="Arial"/>
          <w:b/>
          <w:color w:val="auto"/>
          <w:sz w:val="28"/>
          <w:szCs w:val="28"/>
          <w:highlight w:val="none"/>
        </w:rPr>
      </w:pPr>
    </w:p>
    <w:p w14:paraId="5AF4AC5E">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3.供应商的授权委托书原件、委托代理人身份证正反面复印件（委托代理时必须提供）</w:t>
      </w:r>
    </w:p>
    <w:p w14:paraId="6E9EB65E">
      <w:pPr>
        <w:pStyle w:val="14"/>
        <w:rPr>
          <w:rFonts w:ascii="Arial" w:hAnsi="Arial" w:eastAsia="宋体" w:cs="Arial"/>
          <w:b/>
          <w:color w:val="auto"/>
          <w:sz w:val="32"/>
          <w:highlight w:val="none"/>
        </w:rPr>
      </w:pPr>
      <w:r>
        <w:rPr>
          <w:rFonts w:ascii="Arial" w:hAnsi="Arial" w:eastAsia="宋体" w:cs="Arial"/>
          <w:b/>
          <w:color w:val="auto"/>
          <w:sz w:val="32"/>
          <w:highlight w:val="none"/>
        </w:rPr>
        <w:t xml:space="preserve">附件：            </w:t>
      </w:r>
    </w:p>
    <w:p w14:paraId="1D31A449">
      <w:pPr>
        <w:pStyle w:val="14"/>
        <w:ind w:firstLine="627" w:firstLineChars="196"/>
        <w:jc w:val="center"/>
        <w:rPr>
          <w:rFonts w:ascii="Arial" w:hAnsi="Arial" w:eastAsia="宋体" w:cs="Arial"/>
          <w:b/>
          <w:color w:val="auto"/>
          <w:sz w:val="32"/>
          <w:highlight w:val="none"/>
        </w:rPr>
      </w:pPr>
      <w:r>
        <w:rPr>
          <w:rFonts w:ascii="Arial" w:hAnsi="Arial" w:eastAsia="宋体" w:cs="Arial"/>
          <w:b/>
          <w:color w:val="auto"/>
          <w:sz w:val="32"/>
          <w:highlight w:val="none"/>
        </w:rPr>
        <w:t>授权委托书</w:t>
      </w:r>
    </w:p>
    <w:p w14:paraId="500E40AB">
      <w:pPr>
        <w:pStyle w:val="14"/>
        <w:rPr>
          <w:rFonts w:ascii="Arial" w:hAnsi="Arial" w:eastAsia="宋体" w:cs="Arial"/>
          <w:color w:val="auto"/>
          <w:highlight w:val="none"/>
        </w:rPr>
      </w:pPr>
    </w:p>
    <w:p w14:paraId="3D26A80E">
      <w:pPr>
        <w:spacing w:line="400" w:lineRule="exact"/>
        <w:rPr>
          <w:rFonts w:hint="eastAsia" w:ascii="Arial" w:hAnsi="Arial" w:eastAsia="宋体" w:cs="Arial"/>
          <w:color w:val="auto"/>
          <w:highlight w:val="none"/>
          <w:lang w:eastAsia="zh-CN"/>
        </w:rPr>
      </w:pPr>
      <w:r>
        <w:rPr>
          <w:rFonts w:ascii="Arial" w:hAnsi="Arial" w:eastAsia="宋体" w:cs="Arial"/>
          <w:color w:val="auto"/>
          <w:szCs w:val="21"/>
          <w:highlight w:val="none"/>
        </w:rPr>
        <w:t>致：</w:t>
      </w:r>
      <w:r>
        <w:rPr>
          <w:rFonts w:hint="eastAsia" w:ascii="Arial" w:hAnsi="Arial" w:eastAsia="宋体" w:cs="Arial"/>
          <w:color w:val="auto"/>
          <w:szCs w:val="21"/>
          <w:highlight w:val="none"/>
          <w:u w:val="single"/>
          <w:lang w:eastAsia="zh-CN"/>
        </w:rPr>
        <w:t>广西机电设备招标有限公司</w:t>
      </w:r>
    </w:p>
    <w:p w14:paraId="12692F0A">
      <w:pPr>
        <w:spacing w:line="400" w:lineRule="exact"/>
        <w:rPr>
          <w:rFonts w:ascii="Arial" w:hAnsi="Arial" w:eastAsia="宋体" w:cs="Arial"/>
          <w:color w:val="auto"/>
          <w:szCs w:val="21"/>
          <w:highlight w:val="none"/>
        </w:rPr>
      </w:pPr>
    </w:p>
    <w:p w14:paraId="2E5B1F9B">
      <w:pPr>
        <w:pStyle w:val="14"/>
        <w:spacing w:line="400" w:lineRule="exact"/>
        <w:ind w:firstLine="420" w:firstLineChars="200"/>
        <w:rPr>
          <w:rFonts w:ascii="Arial" w:hAnsi="Arial" w:eastAsia="宋体" w:cs="Arial"/>
          <w:color w:val="auto"/>
          <w:highlight w:val="none"/>
        </w:rPr>
      </w:pPr>
      <w:r>
        <w:rPr>
          <w:rFonts w:ascii="Arial" w:hAnsi="Arial" w:eastAsia="宋体" w:cs="Arial"/>
          <w:color w:val="auto"/>
          <w:kern w:val="0"/>
          <w:highlight w:val="none"/>
        </w:rPr>
        <w:t>我</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（姓名）系</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（供应商名称）的法定代表人，现授权委托本单位在职职工</w:t>
      </w:r>
      <w:r>
        <w:rPr>
          <w:rFonts w:ascii="Arial" w:hAnsi="Arial" w:eastAsia="宋体" w:cs="Arial"/>
          <w:color w:val="auto"/>
          <w:kern w:val="0"/>
          <w:highlight w:val="none"/>
          <w:u w:val="single"/>
        </w:rPr>
        <w:t xml:space="preserve">            </w:t>
      </w:r>
      <w:r>
        <w:rPr>
          <w:rFonts w:ascii="Arial" w:hAnsi="Arial" w:eastAsia="宋体" w:cs="Arial"/>
          <w:color w:val="auto"/>
          <w:kern w:val="0"/>
          <w:highlight w:val="none"/>
        </w:rPr>
        <w:t>（姓 名）以我公司名义参加</w:t>
      </w:r>
      <w:r>
        <w:rPr>
          <w:rFonts w:ascii="Arial" w:hAnsi="Arial" w:eastAsia="宋体" w:cs="Arial"/>
          <w:color w:val="auto"/>
          <w:kern w:val="0"/>
          <w:highlight w:val="none"/>
          <w:u w:val="single"/>
        </w:rPr>
        <w:t xml:space="preserve">      </w:t>
      </w:r>
      <w:r>
        <w:rPr>
          <w:rFonts w:ascii="Arial" w:hAnsi="Arial" w:eastAsia="宋体" w:cs="Arial"/>
          <w:color w:val="auto"/>
          <w:highlight w:val="none"/>
          <w:u w:val="single"/>
        </w:rPr>
        <w:t xml:space="preserve">（项目名称、项目编号）        </w:t>
      </w:r>
      <w:r>
        <w:rPr>
          <w:rFonts w:ascii="Arial" w:hAnsi="Arial" w:eastAsia="宋体" w:cs="Arial"/>
          <w:color w:val="auto"/>
          <w:highlight w:val="none"/>
        </w:rPr>
        <w:t>项目的谈判活动，并代表我方全权办理针对上述项目的谈判、签约等具体事务和签署相关文件。</w:t>
      </w:r>
    </w:p>
    <w:p w14:paraId="5F263315">
      <w:pPr>
        <w:pStyle w:val="14"/>
        <w:spacing w:line="400" w:lineRule="exact"/>
        <w:ind w:firstLine="420" w:firstLineChars="200"/>
        <w:rPr>
          <w:rFonts w:ascii="Arial" w:hAnsi="Arial" w:eastAsia="宋体" w:cs="Arial"/>
          <w:color w:val="auto"/>
          <w:highlight w:val="none"/>
        </w:rPr>
      </w:pPr>
      <w:r>
        <w:rPr>
          <w:rFonts w:ascii="Arial" w:hAnsi="Arial" w:eastAsia="宋体" w:cs="Arial"/>
          <w:color w:val="auto"/>
          <w:highlight w:val="none"/>
        </w:rPr>
        <w:t>我方对被授权人的签字事项负全部责任。</w:t>
      </w:r>
    </w:p>
    <w:p w14:paraId="377770A4">
      <w:pPr>
        <w:pStyle w:val="14"/>
        <w:spacing w:line="400" w:lineRule="exact"/>
        <w:ind w:firstLine="420" w:firstLineChars="200"/>
        <w:rPr>
          <w:rFonts w:ascii="Arial" w:hAnsi="Arial" w:eastAsia="宋体" w:cs="Arial"/>
          <w:color w:val="auto"/>
          <w:highlight w:val="none"/>
          <w:u w:val="single"/>
        </w:rPr>
      </w:pPr>
      <w:r>
        <w:rPr>
          <w:rFonts w:ascii="Arial" w:hAnsi="Arial" w:eastAsia="宋体" w:cs="Arial"/>
          <w:color w:val="auto"/>
          <w:highlight w:val="none"/>
        </w:rPr>
        <w:t>授权委托代理期限：从</w:t>
      </w:r>
      <w:r>
        <w:rPr>
          <w:rFonts w:ascii="Arial" w:hAnsi="Arial" w:eastAsia="宋体" w:cs="Arial"/>
          <w:color w:val="auto"/>
          <w:highlight w:val="none"/>
          <w:u w:val="single"/>
        </w:rPr>
        <w:t xml:space="preserve">       </w:t>
      </w:r>
      <w:r>
        <w:rPr>
          <w:rFonts w:ascii="Arial" w:hAnsi="Arial" w:eastAsia="宋体" w:cs="Arial"/>
          <w:color w:val="auto"/>
          <w:highlight w:val="none"/>
        </w:rPr>
        <w:t>年</w:t>
      </w:r>
      <w:r>
        <w:rPr>
          <w:rFonts w:ascii="Arial" w:hAnsi="Arial" w:eastAsia="宋体" w:cs="Arial"/>
          <w:color w:val="auto"/>
          <w:highlight w:val="none"/>
          <w:u w:val="single"/>
        </w:rPr>
        <w:t xml:space="preserve">     </w:t>
      </w:r>
      <w:r>
        <w:rPr>
          <w:rFonts w:ascii="Arial" w:hAnsi="Arial" w:eastAsia="宋体" w:cs="Arial"/>
          <w:color w:val="auto"/>
          <w:highlight w:val="none"/>
        </w:rPr>
        <w:t xml:space="preserve">月 </w:t>
      </w:r>
      <w:r>
        <w:rPr>
          <w:rFonts w:ascii="Arial" w:hAnsi="Arial" w:eastAsia="宋体" w:cs="Arial"/>
          <w:color w:val="auto"/>
          <w:highlight w:val="none"/>
          <w:u w:val="single"/>
        </w:rPr>
        <w:t xml:space="preserve">    </w:t>
      </w:r>
      <w:r>
        <w:rPr>
          <w:rFonts w:ascii="Arial" w:hAnsi="Arial" w:eastAsia="宋体" w:cs="Arial"/>
          <w:color w:val="auto"/>
          <w:highlight w:val="none"/>
        </w:rPr>
        <w:t xml:space="preserve"> 日起至</w:t>
      </w:r>
      <w:r>
        <w:rPr>
          <w:rFonts w:ascii="Arial" w:hAnsi="Arial" w:eastAsia="宋体" w:cs="Arial"/>
          <w:color w:val="auto"/>
          <w:highlight w:val="none"/>
          <w:u w:val="single"/>
        </w:rPr>
        <w:t xml:space="preserve">         </w:t>
      </w:r>
      <w:r>
        <w:rPr>
          <w:rFonts w:ascii="Arial" w:hAnsi="Arial" w:eastAsia="宋体" w:cs="Arial"/>
          <w:color w:val="auto"/>
          <w:highlight w:val="none"/>
        </w:rPr>
        <w:t>年</w:t>
      </w:r>
      <w:r>
        <w:rPr>
          <w:rFonts w:ascii="Arial" w:hAnsi="Arial" w:eastAsia="宋体" w:cs="Arial"/>
          <w:color w:val="auto"/>
          <w:highlight w:val="none"/>
          <w:u w:val="single"/>
        </w:rPr>
        <w:t xml:space="preserve">     </w:t>
      </w:r>
      <w:r>
        <w:rPr>
          <w:rFonts w:ascii="Arial" w:hAnsi="Arial" w:eastAsia="宋体" w:cs="Arial"/>
          <w:color w:val="auto"/>
          <w:highlight w:val="none"/>
        </w:rPr>
        <w:t xml:space="preserve">月 </w:t>
      </w:r>
      <w:r>
        <w:rPr>
          <w:rFonts w:ascii="Arial" w:hAnsi="Arial" w:eastAsia="宋体" w:cs="Arial"/>
          <w:color w:val="auto"/>
          <w:highlight w:val="none"/>
          <w:u w:val="single"/>
        </w:rPr>
        <w:t xml:space="preserve">     </w:t>
      </w:r>
      <w:r>
        <w:rPr>
          <w:rFonts w:ascii="Arial" w:hAnsi="Arial" w:eastAsia="宋体" w:cs="Arial"/>
          <w:color w:val="auto"/>
          <w:highlight w:val="none"/>
        </w:rPr>
        <w:t>日止。</w:t>
      </w:r>
    </w:p>
    <w:p w14:paraId="750E5F40">
      <w:pPr>
        <w:pStyle w:val="14"/>
        <w:spacing w:line="400" w:lineRule="exact"/>
        <w:rPr>
          <w:rFonts w:ascii="Arial" w:hAnsi="Arial" w:eastAsia="宋体" w:cs="Arial"/>
          <w:color w:val="auto"/>
          <w:highlight w:val="none"/>
          <w:u w:val="single"/>
        </w:rPr>
      </w:pPr>
      <w:r>
        <w:rPr>
          <w:rFonts w:ascii="Arial" w:hAnsi="Arial" w:eastAsia="宋体" w:cs="Arial"/>
          <w:color w:val="auto"/>
          <w:highlight w:val="none"/>
        </w:rPr>
        <w:t xml:space="preserve">                                                                                             </w:t>
      </w:r>
    </w:p>
    <w:p w14:paraId="4A82D4BC">
      <w:pPr>
        <w:spacing w:line="400" w:lineRule="exact"/>
        <w:ind w:firstLine="420" w:firstLineChars="200"/>
        <w:rPr>
          <w:rFonts w:ascii="Arial" w:hAnsi="Arial" w:eastAsia="宋体" w:cs="Arial"/>
          <w:color w:val="auto"/>
          <w:kern w:val="0"/>
          <w:highlight w:val="none"/>
        </w:rPr>
      </w:pPr>
      <w:r>
        <w:rPr>
          <w:rFonts w:ascii="Arial" w:hAnsi="Arial" w:eastAsia="宋体" w:cs="Arial"/>
          <w:color w:val="auto"/>
          <w:kern w:val="0"/>
          <w:highlight w:val="none"/>
        </w:rPr>
        <w:t xml:space="preserve">代理人无转委托权,特此委托。 </w:t>
      </w:r>
    </w:p>
    <w:p w14:paraId="6848C818">
      <w:pPr>
        <w:snapToGrid w:val="0"/>
        <w:spacing w:line="400" w:lineRule="exact"/>
        <w:ind w:firstLine="525"/>
        <w:rPr>
          <w:rFonts w:ascii="Arial" w:hAnsi="Arial" w:eastAsia="宋体" w:cs="Arial"/>
          <w:color w:val="auto"/>
          <w:szCs w:val="21"/>
          <w:highlight w:val="none"/>
        </w:rPr>
      </w:pPr>
    </w:p>
    <w:p w14:paraId="6719ADF4">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我已在下面签字，以资证明。</w:t>
      </w:r>
    </w:p>
    <w:p w14:paraId="10AE1066">
      <w:pPr>
        <w:snapToGrid w:val="0"/>
        <w:spacing w:line="400" w:lineRule="exact"/>
        <w:ind w:firstLine="420"/>
        <w:rPr>
          <w:rFonts w:ascii="Arial" w:hAnsi="Arial" w:eastAsia="宋体" w:cs="Arial"/>
          <w:color w:val="auto"/>
          <w:szCs w:val="21"/>
          <w:highlight w:val="none"/>
        </w:rPr>
      </w:pPr>
    </w:p>
    <w:p w14:paraId="619D20BD">
      <w:pPr>
        <w:snapToGrid w:val="0"/>
        <w:spacing w:line="400" w:lineRule="exact"/>
        <w:ind w:firstLine="420"/>
        <w:rPr>
          <w:rFonts w:ascii="Arial" w:hAnsi="Arial" w:eastAsia="宋体" w:cs="Arial"/>
          <w:color w:val="auto"/>
          <w:szCs w:val="21"/>
          <w:highlight w:val="none"/>
        </w:rPr>
      </w:pPr>
    </w:p>
    <w:p w14:paraId="553D4BE0">
      <w:pPr>
        <w:snapToGrid w:val="0"/>
        <w:spacing w:line="400" w:lineRule="exact"/>
        <w:ind w:firstLine="420"/>
        <w:rPr>
          <w:rFonts w:ascii="Arial" w:hAnsi="Arial" w:eastAsia="宋体" w:cs="Arial"/>
          <w:color w:val="auto"/>
          <w:szCs w:val="21"/>
          <w:highlight w:val="none"/>
          <w:u w:val="single"/>
        </w:rPr>
      </w:pPr>
      <w:r>
        <w:rPr>
          <w:rFonts w:ascii="Arial" w:hAnsi="Arial" w:eastAsia="宋体" w:cs="Arial"/>
          <w:color w:val="auto"/>
          <w:szCs w:val="21"/>
          <w:highlight w:val="none"/>
        </w:rPr>
        <w:t>供应商（公章）：</w:t>
      </w:r>
      <w:r>
        <w:rPr>
          <w:rFonts w:ascii="Arial" w:hAnsi="Arial" w:eastAsia="宋体" w:cs="Arial"/>
          <w:b/>
          <w:color w:val="auto"/>
          <w:szCs w:val="21"/>
          <w:highlight w:val="none"/>
          <w:u w:val="single"/>
        </w:rPr>
        <w:t xml:space="preserve">                                      </w:t>
      </w:r>
    </w:p>
    <w:p w14:paraId="6A68AC42">
      <w:pPr>
        <w:snapToGrid w:val="0"/>
        <w:spacing w:line="400" w:lineRule="exact"/>
        <w:ind w:firstLine="420"/>
        <w:rPr>
          <w:rFonts w:ascii="Arial" w:hAnsi="Arial" w:eastAsia="宋体" w:cs="Arial"/>
          <w:color w:val="auto"/>
          <w:szCs w:val="21"/>
          <w:highlight w:val="none"/>
        </w:rPr>
      </w:pPr>
    </w:p>
    <w:p w14:paraId="3486B560">
      <w:pPr>
        <w:snapToGrid w:val="0"/>
        <w:spacing w:line="400" w:lineRule="exact"/>
        <w:ind w:firstLine="420"/>
        <w:rPr>
          <w:rFonts w:ascii="Arial" w:hAnsi="Arial" w:eastAsia="宋体" w:cs="Arial"/>
          <w:color w:val="auto"/>
          <w:szCs w:val="21"/>
          <w:highlight w:val="none"/>
        </w:rPr>
      </w:pPr>
      <w:r>
        <w:rPr>
          <w:rFonts w:ascii="Arial" w:hAnsi="Arial" w:eastAsia="宋体" w:cs="Arial"/>
          <w:color w:val="auto"/>
          <w:szCs w:val="21"/>
          <w:highlight w:val="none"/>
        </w:rPr>
        <w:t>法定代表人签字：</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 xml:space="preserve">        　　 </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年</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月</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日</w:t>
      </w:r>
    </w:p>
    <w:p w14:paraId="7B740E4F">
      <w:pPr>
        <w:snapToGrid w:val="0"/>
        <w:spacing w:line="400" w:lineRule="exact"/>
        <w:ind w:firstLine="420"/>
        <w:rPr>
          <w:rFonts w:ascii="Arial" w:hAnsi="Arial" w:eastAsia="宋体" w:cs="Arial"/>
          <w:color w:val="auto"/>
          <w:szCs w:val="21"/>
          <w:highlight w:val="none"/>
        </w:rPr>
      </w:pPr>
    </w:p>
    <w:p w14:paraId="33A4A04D">
      <w:pPr>
        <w:snapToGrid w:val="0"/>
        <w:spacing w:line="400" w:lineRule="exact"/>
        <w:rPr>
          <w:rFonts w:ascii="Arial" w:hAnsi="Arial" w:eastAsia="宋体" w:cs="Arial"/>
          <w:b/>
          <w:color w:val="auto"/>
          <w:szCs w:val="21"/>
          <w:highlight w:val="none"/>
        </w:rPr>
      </w:pPr>
      <w:r>
        <w:rPr>
          <w:rFonts w:ascii="Arial" w:hAnsi="Arial" w:eastAsia="宋体" w:cs="Arial"/>
          <w:b/>
          <w:color w:val="auto"/>
          <w:szCs w:val="21"/>
          <w:highlight w:val="none"/>
        </w:rPr>
        <w:t>附：委托代理人有效的身份证正反两面复印件。</w:t>
      </w:r>
    </w:p>
    <w:p w14:paraId="6188F7E5">
      <w:pPr>
        <w:snapToGrid w:val="0"/>
        <w:spacing w:line="400" w:lineRule="exact"/>
        <w:rPr>
          <w:rFonts w:ascii="Arial" w:hAnsi="Arial" w:eastAsia="宋体" w:cs="Arial"/>
          <w:color w:val="auto"/>
          <w:sz w:val="28"/>
          <w:szCs w:val="28"/>
          <w:highlight w:val="none"/>
        </w:rPr>
      </w:pPr>
    </w:p>
    <w:p w14:paraId="10FDD481">
      <w:pPr>
        <w:pStyle w:val="14"/>
        <w:spacing w:line="400" w:lineRule="exact"/>
        <w:rPr>
          <w:rFonts w:ascii="Arial" w:hAnsi="Arial" w:eastAsia="宋体" w:cs="Arial"/>
          <w:b/>
          <w:color w:val="auto"/>
          <w:sz w:val="24"/>
          <w:szCs w:val="24"/>
          <w:highlight w:val="none"/>
        </w:rPr>
      </w:pPr>
    </w:p>
    <w:p w14:paraId="65AC15AD">
      <w:pPr>
        <w:pStyle w:val="14"/>
        <w:spacing w:line="400" w:lineRule="exact"/>
        <w:rPr>
          <w:rFonts w:ascii="Arial" w:hAnsi="Arial" w:eastAsia="宋体" w:cs="Arial"/>
          <w:b/>
          <w:color w:val="auto"/>
          <w:sz w:val="24"/>
          <w:szCs w:val="24"/>
          <w:highlight w:val="none"/>
        </w:rPr>
      </w:pPr>
    </w:p>
    <w:p w14:paraId="64FEC604">
      <w:pPr>
        <w:pStyle w:val="14"/>
        <w:spacing w:line="400" w:lineRule="exact"/>
        <w:rPr>
          <w:rFonts w:ascii="Arial" w:hAnsi="Arial" w:eastAsia="宋体" w:cs="Arial"/>
          <w:b/>
          <w:color w:val="auto"/>
          <w:sz w:val="24"/>
          <w:szCs w:val="24"/>
          <w:highlight w:val="none"/>
        </w:rPr>
      </w:pPr>
    </w:p>
    <w:p w14:paraId="5A160F98">
      <w:pPr>
        <w:pStyle w:val="14"/>
        <w:spacing w:line="400" w:lineRule="exact"/>
        <w:rPr>
          <w:rFonts w:ascii="Arial" w:hAnsi="Arial" w:eastAsia="宋体" w:cs="Arial"/>
          <w:b/>
          <w:color w:val="auto"/>
          <w:sz w:val="24"/>
          <w:szCs w:val="24"/>
          <w:highlight w:val="none"/>
        </w:rPr>
      </w:pPr>
    </w:p>
    <w:p w14:paraId="42F0C227">
      <w:pPr>
        <w:pStyle w:val="14"/>
        <w:spacing w:line="400" w:lineRule="exact"/>
        <w:rPr>
          <w:rFonts w:ascii="Arial" w:hAnsi="Arial" w:eastAsia="宋体" w:cs="Arial"/>
          <w:b/>
          <w:color w:val="auto"/>
          <w:sz w:val="24"/>
          <w:szCs w:val="24"/>
          <w:highlight w:val="none"/>
        </w:rPr>
      </w:pPr>
    </w:p>
    <w:p w14:paraId="1F77627F">
      <w:pPr>
        <w:pStyle w:val="14"/>
        <w:spacing w:line="400" w:lineRule="exact"/>
        <w:rPr>
          <w:rFonts w:ascii="Arial" w:hAnsi="Arial" w:eastAsia="宋体" w:cs="Arial"/>
          <w:b/>
          <w:color w:val="auto"/>
          <w:sz w:val="24"/>
          <w:szCs w:val="24"/>
          <w:highlight w:val="none"/>
        </w:rPr>
      </w:pPr>
    </w:p>
    <w:p w14:paraId="4DC53C88">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4CCA6064">
      <w:pPr>
        <w:pStyle w:val="14"/>
        <w:spacing w:line="340" w:lineRule="exact"/>
        <w:rPr>
          <w:rFonts w:ascii="Arial" w:hAnsi="Arial" w:eastAsia="宋体" w:cs="Arial"/>
          <w:b/>
          <w:color w:val="auto"/>
          <w:szCs w:val="21"/>
          <w:highlight w:val="none"/>
        </w:rPr>
      </w:pPr>
      <w:r>
        <w:rPr>
          <w:rFonts w:ascii="Arial" w:hAnsi="Arial" w:eastAsia="宋体" w:cs="Arial"/>
          <w:b/>
          <w:color w:val="auto"/>
          <w:sz w:val="28"/>
          <w:szCs w:val="28"/>
          <w:highlight w:val="none"/>
        </w:rPr>
        <w:t>4. 供应商的法人或者其他组织营业执照等证明文件复印件（必须提供）</w:t>
      </w:r>
    </w:p>
    <w:p w14:paraId="304D6966">
      <w:pPr>
        <w:tabs>
          <w:tab w:val="left" w:pos="1305"/>
        </w:tabs>
        <w:spacing w:line="390" w:lineRule="exact"/>
        <w:ind w:firstLine="420" w:firstLineChars="200"/>
        <w:rPr>
          <w:rFonts w:ascii="Arial" w:hAnsi="Arial" w:eastAsia="宋体" w:cs="Arial"/>
          <w:b/>
          <w:color w:val="auto"/>
          <w:sz w:val="32"/>
          <w:highlight w:val="none"/>
        </w:rPr>
      </w:pPr>
      <w:r>
        <w:rPr>
          <w:rFonts w:ascii="Arial" w:hAnsi="Arial" w:eastAsia="宋体"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D331B76">
      <w:pPr>
        <w:pStyle w:val="14"/>
        <w:rPr>
          <w:rFonts w:ascii="Arial" w:hAnsi="Arial" w:eastAsia="宋体" w:cs="Arial"/>
          <w:b/>
          <w:color w:val="auto"/>
          <w:sz w:val="32"/>
          <w:highlight w:val="none"/>
        </w:rPr>
      </w:pPr>
    </w:p>
    <w:p w14:paraId="1E26BEB2">
      <w:pPr>
        <w:pStyle w:val="14"/>
        <w:rPr>
          <w:rFonts w:ascii="Arial" w:hAnsi="Arial" w:eastAsia="宋体" w:cs="Arial"/>
          <w:b/>
          <w:color w:val="auto"/>
          <w:sz w:val="32"/>
          <w:highlight w:val="none"/>
        </w:rPr>
      </w:pPr>
    </w:p>
    <w:p w14:paraId="63D14BF0">
      <w:pPr>
        <w:pStyle w:val="14"/>
        <w:rPr>
          <w:rFonts w:ascii="Arial" w:hAnsi="Arial" w:eastAsia="宋体" w:cs="Arial"/>
          <w:b/>
          <w:color w:val="auto"/>
          <w:sz w:val="32"/>
          <w:highlight w:val="none"/>
        </w:rPr>
      </w:pPr>
    </w:p>
    <w:p w14:paraId="5625DB6C">
      <w:pPr>
        <w:pStyle w:val="14"/>
        <w:rPr>
          <w:rFonts w:ascii="Arial" w:hAnsi="Arial" w:eastAsia="宋体" w:cs="Arial"/>
          <w:b/>
          <w:color w:val="auto"/>
          <w:sz w:val="32"/>
          <w:highlight w:val="none"/>
        </w:rPr>
      </w:pPr>
    </w:p>
    <w:p w14:paraId="0B86BC0C">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5.供应商</w:t>
      </w:r>
      <w:r>
        <w:rPr>
          <w:rFonts w:hint="eastAsia" w:ascii="Arial" w:hAnsi="Arial" w:eastAsia="宋体" w:cs="Arial"/>
          <w:b/>
          <w:color w:val="auto"/>
          <w:sz w:val="28"/>
          <w:szCs w:val="28"/>
          <w:highlight w:val="none"/>
        </w:rPr>
        <w:t>2023年</w:t>
      </w:r>
      <w:r>
        <w:rPr>
          <w:rFonts w:ascii="Arial" w:hAnsi="Arial" w:eastAsia="宋体" w:cs="Arial"/>
          <w:b/>
          <w:color w:val="auto"/>
          <w:sz w:val="28"/>
          <w:szCs w:val="28"/>
          <w:highlight w:val="none"/>
        </w:rPr>
        <w:t xml:space="preserve">的审计报告或财务报表（至少包含资产负债表、利润表、现金流量表）（2024年新成立的公司提供公司成立日之后次月起到响应文件递交截止前一个月的财务报表）或供应商提交响应文件截止之日前三个月内其基本开户银行出具的银行资信证明（仅提供银行出具的存款证明不能作为其银行资信证明）（格式自拟，若为新成立的供应商单位请按实际月份提供）（必须提供） </w:t>
      </w:r>
    </w:p>
    <w:p w14:paraId="03131A9B">
      <w:pPr>
        <w:pStyle w:val="14"/>
        <w:spacing w:line="340" w:lineRule="exact"/>
        <w:rPr>
          <w:rFonts w:ascii="Arial" w:hAnsi="Arial" w:eastAsia="宋体" w:cs="Arial"/>
          <w:b/>
          <w:color w:val="auto"/>
          <w:sz w:val="28"/>
          <w:szCs w:val="28"/>
          <w:highlight w:val="none"/>
        </w:rPr>
      </w:pPr>
    </w:p>
    <w:p w14:paraId="63F60B47">
      <w:pPr>
        <w:pStyle w:val="14"/>
        <w:spacing w:line="340" w:lineRule="exact"/>
        <w:rPr>
          <w:rFonts w:ascii="Arial" w:hAnsi="Arial" w:eastAsia="宋体" w:cs="Arial"/>
          <w:b/>
          <w:color w:val="auto"/>
          <w:sz w:val="28"/>
          <w:szCs w:val="28"/>
          <w:highlight w:val="none"/>
        </w:rPr>
      </w:pPr>
    </w:p>
    <w:p w14:paraId="78A75C8F">
      <w:pPr>
        <w:pStyle w:val="14"/>
        <w:spacing w:line="340" w:lineRule="exact"/>
        <w:rPr>
          <w:rFonts w:ascii="Arial" w:hAnsi="Arial" w:eastAsia="宋体" w:cs="Arial"/>
          <w:color w:val="auto"/>
          <w:szCs w:val="21"/>
          <w:highlight w:val="none"/>
        </w:rPr>
      </w:pPr>
    </w:p>
    <w:p w14:paraId="2EFA472C">
      <w:pPr>
        <w:pStyle w:val="14"/>
        <w:spacing w:line="340" w:lineRule="exact"/>
        <w:rPr>
          <w:rFonts w:ascii="Arial" w:hAnsi="Arial" w:eastAsia="宋体" w:cs="Arial"/>
          <w:color w:val="auto"/>
          <w:szCs w:val="21"/>
          <w:highlight w:val="none"/>
        </w:rPr>
      </w:pPr>
    </w:p>
    <w:p w14:paraId="35F80C58">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6.供应商至响应文件递交截止时间前6个月内，任意1个月的依法缴纳税费或依法免缴税费（包括无纳税记录或零报税）的证明（新成立的企业按实际提供），证明材料可以是：银行已缴纳税费凭证复印件或第三方有效的相关业务托缴凭证或其他有效证明，或供应商所在地税务部门出具的有效证明（复印件）（格式自拟，若为新成立的企业，请根据实际情况提供）（必须提供）</w:t>
      </w:r>
    </w:p>
    <w:p w14:paraId="2CBA9148">
      <w:pPr>
        <w:pStyle w:val="14"/>
        <w:rPr>
          <w:rFonts w:ascii="Arial" w:hAnsi="Arial" w:eastAsia="宋体" w:cs="Arial"/>
          <w:b/>
          <w:color w:val="auto"/>
          <w:sz w:val="32"/>
          <w:highlight w:val="none"/>
        </w:rPr>
      </w:pPr>
    </w:p>
    <w:p w14:paraId="0C916DD4">
      <w:pPr>
        <w:pStyle w:val="14"/>
        <w:rPr>
          <w:rFonts w:ascii="Arial" w:hAnsi="Arial" w:eastAsia="宋体" w:cs="Arial"/>
          <w:b/>
          <w:color w:val="auto"/>
          <w:sz w:val="32"/>
          <w:highlight w:val="none"/>
        </w:rPr>
      </w:pPr>
    </w:p>
    <w:p w14:paraId="32C2E511">
      <w:pPr>
        <w:pStyle w:val="14"/>
        <w:spacing w:line="340" w:lineRule="exact"/>
        <w:rPr>
          <w:rFonts w:ascii="Arial" w:hAnsi="Arial" w:eastAsia="宋体" w:cs="Arial"/>
          <w:b/>
          <w:color w:val="auto"/>
          <w:sz w:val="28"/>
          <w:szCs w:val="28"/>
          <w:highlight w:val="none"/>
        </w:rPr>
      </w:pPr>
    </w:p>
    <w:p w14:paraId="76883739">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7.供应商至响应文件递交截止时间前6个月内，任意1个月依法缴纳社会保障资金的相关材料复印件（必须提供）</w:t>
      </w:r>
    </w:p>
    <w:p w14:paraId="0A8F9765">
      <w:pPr>
        <w:pStyle w:val="14"/>
        <w:spacing w:line="340" w:lineRule="exact"/>
        <w:rPr>
          <w:rFonts w:ascii="Arial" w:hAnsi="Arial" w:eastAsia="宋体" w:cs="Arial"/>
          <w:b/>
          <w:color w:val="auto"/>
          <w:sz w:val="28"/>
          <w:szCs w:val="28"/>
          <w:highlight w:val="none"/>
        </w:rPr>
      </w:pPr>
    </w:p>
    <w:p w14:paraId="4A6952FF">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62BD147F">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8.供应商参加采购活动前3年内在经营活动中没有重大违法记录</w:t>
      </w:r>
      <w:r>
        <w:rPr>
          <w:rFonts w:ascii="Arial" w:hAnsi="Arial" w:eastAsia="宋体" w:cs="Arial"/>
          <w:b/>
          <w:color w:val="auto"/>
          <w:sz w:val="32"/>
          <w:szCs w:val="32"/>
          <w:highlight w:val="none"/>
        </w:rPr>
        <w:t>及</w:t>
      </w:r>
      <w:r>
        <w:rPr>
          <w:rFonts w:ascii="Arial" w:hAnsi="Arial" w:eastAsia="宋体" w:cs="Arial"/>
          <w:b/>
          <w:color w:val="auto"/>
          <w:sz w:val="28"/>
          <w:szCs w:val="28"/>
          <w:highlight w:val="none"/>
        </w:rPr>
        <w:t>有关信用信息的书面声明（必须提供）</w:t>
      </w:r>
    </w:p>
    <w:p w14:paraId="2A437269">
      <w:pPr>
        <w:pStyle w:val="14"/>
        <w:spacing w:line="400" w:lineRule="exact"/>
        <w:ind w:left="420" w:leftChars="200" w:firstLine="156" w:firstLineChars="49"/>
        <w:rPr>
          <w:rFonts w:ascii="Arial" w:hAnsi="Arial" w:eastAsia="宋体" w:cs="Arial"/>
          <w:b/>
          <w:color w:val="auto"/>
          <w:sz w:val="32"/>
          <w:szCs w:val="32"/>
          <w:highlight w:val="none"/>
        </w:rPr>
      </w:pPr>
      <w:r>
        <w:rPr>
          <w:rFonts w:ascii="Arial" w:hAnsi="Arial" w:eastAsia="宋体" w:cs="Arial"/>
          <w:b/>
          <w:color w:val="auto"/>
          <w:sz w:val="32"/>
          <w:szCs w:val="32"/>
          <w:highlight w:val="none"/>
        </w:rPr>
        <w:t xml:space="preserve">                       </w:t>
      </w:r>
    </w:p>
    <w:p w14:paraId="235562DA">
      <w:pPr>
        <w:pStyle w:val="14"/>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附件：</w:t>
      </w:r>
    </w:p>
    <w:p w14:paraId="4845F288">
      <w:pPr>
        <w:pStyle w:val="14"/>
        <w:spacing w:line="400" w:lineRule="exact"/>
        <w:rPr>
          <w:rFonts w:ascii="Arial" w:hAnsi="Arial" w:eastAsia="宋体" w:cs="Arial"/>
          <w:b/>
          <w:color w:val="auto"/>
          <w:sz w:val="32"/>
          <w:szCs w:val="32"/>
          <w:highlight w:val="none"/>
        </w:rPr>
      </w:pPr>
    </w:p>
    <w:p w14:paraId="188685E4">
      <w:pPr>
        <w:pStyle w:val="14"/>
        <w:spacing w:line="400" w:lineRule="exact"/>
        <w:rPr>
          <w:rFonts w:ascii="Arial" w:hAnsi="Arial" w:eastAsia="宋体" w:cs="Arial"/>
          <w:b/>
          <w:color w:val="auto"/>
          <w:sz w:val="32"/>
          <w:szCs w:val="32"/>
          <w:highlight w:val="none"/>
        </w:rPr>
      </w:pPr>
    </w:p>
    <w:p w14:paraId="4EBF438E">
      <w:pPr>
        <w:pStyle w:val="14"/>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声   明（格式）</w:t>
      </w:r>
    </w:p>
    <w:p w14:paraId="2CFAAA4A">
      <w:pPr>
        <w:snapToGrid w:val="0"/>
        <w:spacing w:line="400" w:lineRule="exact"/>
        <w:rPr>
          <w:rFonts w:hint="eastAsia" w:ascii="Arial" w:hAnsi="Arial" w:eastAsia="宋体" w:cs="Arial"/>
          <w:color w:val="auto"/>
          <w:highlight w:val="none"/>
          <w:lang w:eastAsia="zh-CN"/>
        </w:rPr>
      </w:pPr>
      <w:r>
        <w:rPr>
          <w:rFonts w:ascii="Arial" w:hAnsi="Arial" w:eastAsia="宋体" w:cs="Arial"/>
          <w:b/>
          <w:color w:val="auto"/>
          <w:szCs w:val="21"/>
          <w:highlight w:val="none"/>
        </w:rPr>
        <w:t>致</w:t>
      </w:r>
      <w:r>
        <w:rPr>
          <w:rFonts w:ascii="Arial" w:hAnsi="Arial" w:eastAsia="宋体" w:cs="Arial"/>
          <w:color w:val="auto"/>
          <w:szCs w:val="21"/>
          <w:highlight w:val="none"/>
        </w:rPr>
        <w:t>：</w:t>
      </w:r>
      <w:r>
        <w:rPr>
          <w:rFonts w:hint="eastAsia" w:ascii="Arial" w:hAnsi="Arial" w:eastAsia="宋体" w:cs="Arial"/>
          <w:color w:val="auto"/>
          <w:highlight w:val="none"/>
          <w:u w:val="single"/>
          <w:lang w:eastAsia="zh-CN"/>
        </w:rPr>
        <w:t>广西机电设备招标有限公司</w:t>
      </w:r>
    </w:p>
    <w:p w14:paraId="7980D99B">
      <w:pPr>
        <w:snapToGrid w:val="0"/>
        <w:spacing w:line="400" w:lineRule="exact"/>
        <w:rPr>
          <w:rFonts w:ascii="Arial" w:hAnsi="Arial" w:eastAsia="宋体" w:cs="Arial"/>
          <w:color w:val="auto"/>
          <w:szCs w:val="21"/>
          <w:highlight w:val="none"/>
          <w:u w:val="single"/>
        </w:rPr>
      </w:pPr>
    </w:p>
    <w:p w14:paraId="702A59CD">
      <w:pPr>
        <w:pStyle w:val="14"/>
        <w:spacing w:line="400" w:lineRule="exact"/>
        <w:ind w:firstLine="420" w:firstLineChars="200"/>
        <w:rPr>
          <w:rFonts w:ascii="Arial" w:hAnsi="Arial" w:eastAsia="宋体" w:cs="Arial"/>
          <w:color w:val="auto"/>
          <w:highlight w:val="none"/>
        </w:rPr>
      </w:pPr>
      <w:r>
        <w:rPr>
          <w:rFonts w:ascii="Arial" w:hAnsi="Arial" w:eastAsia="宋体" w:cs="Arial"/>
          <w:color w:val="auto"/>
          <w:highlight w:val="none"/>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9A99755">
      <w:pPr>
        <w:snapToGrid w:val="0"/>
        <w:spacing w:line="400" w:lineRule="exact"/>
        <w:ind w:firstLine="420"/>
        <w:rPr>
          <w:rFonts w:ascii="Arial" w:hAnsi="Arial" w:eastAsia="宋体" w:cs="Arial"/>
          <w:color w:val="auto"/>
          <w:szCs w:val="21"/>
          <w:highlight w:val="none"/>
        </w:rPr>
      </w:pPr>
    </w:p>
    <w:p w14:paraId="3A7033A7">
      <w:pPr>
        <w:snapToGrid w:val="0"/>
        <w:spacing w:line="400" w:lineRule="exact"/>
        <w:ind w:firstLine="420"/>
        <w:rPr>
          <w:rFonts w:ascii="Arial" w:hAnsi="Arial" w:eastAsia="宋体" w:cs="Arial"/>
          <w:color w:val="auto"/>
          <w:szCs w:val="21"/>
          <w:highlight w:val="none"/>
        </w:rPr>
      </w:pPr>
    </w:p>
    <w:p w14:paraId="026701CC">
      <w:pPr>
        <w:snapToGrid w:val="0"/>
        <w:spacing w:line="400" w:lineRule="exact"/>
        <w:ind w:firstLine="4935" w:firstLineChars="2350"/>
        <w:rPr>
          <w:rFonts w:ascii="Arial" w:hAnsi="Arial" w:eastAsia="宋体" w:cs="Arial"/>
          <w:color w:val="auto"/>
          <w:szCs w:val="21"/>
          <w:highlight w:val="none"/>
        </w:rPr>
      </w:pPr>
    </w:p>
    <w:p w14:paraId="0430F2DA">
      <w:pPr>
        <w:snapToGrid w:val="0"/>
        <w:spacing w:line="400" w:lineRule="exact"/>
        <w:ind w:firstLine="4935" w:firstLineChars="2350"/>
        <w:rPr>
          <w:rFonts w:ascii="Arial" w:hAnsi="Arial" w:eastAsia="宋体" w:cs="Arial"/>
          <w:color w:val="auto"/>
          <w:szCs w:val="21"/>
          <w:highlight w:val="none"/>
        </w:rPr>
      </w:pPr>
    </w:p>
    <w:p w14:paraId="4D95D8AF">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1BB70F8C">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14199C1C">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7EC53094">
      <w:pPr>
        <w:rPr>
          <w:rFonts w:ascii="Arial" w:hAnsi="Arial" w:eastAsia="宋体" w:cs="Arial"/>
          <w:b/>
          <w:bCs/>
          <w:color w:val="auto"/>
          <w:highlight w:val="none"/>
        </w:rPr>
      </w:pPr>
      <w:r>
        <w:rPr>
          <w:rFonts w:ascii="Arial" w:hAnsi="Arial" w:eastAsia="宋体" w:cs="Arial"/>
          <w:b/>
          <w:bCs/>
          <w:color w:val="auto"/>
          <w:highlight w:val="none"/>
        </w:rPr>
        <w:br w:type="page"/>
      </w:r>
    </w:p>
    <w:p w14:paraId="79765F38">
      <w:pPr>
        <w:pStyle w:val="14"/>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9.供应商股东及出资信息表（必须提供）</w:t>
      </w:r>
    </w:p>
    <w:p w14:paraId="5B08D3D5">
      <w:pPr>
        <w:snapToGrid w:val="0"/>
        <w:spacing w:before="165" w:beforeLines="50" w:after="50" w:line="440" w:lineRule="exact"/>
        <w:jc w:val="center"/>
        <w:rPr>
          <w:rFonts w:ascii="Arial" w:hAnsi="Arial" w:eastAsia="宋体" w:cs="Arial"/>
          <w:b/>
          <w:bCs/>
          <w:color w:val="auto"/>
          <w:sz w:val="22"/>
          <w:szCs w:val="28"/>
          <w:highlight w:val="none"/>
        </w:rPr>
      </w:pPr>
      <w:r>
        <w:rPr>
          <w:rFonts w:ascii="Arial" w:hAnsi="Arial" w:eastAsia="宋体" w:cs="Arial"/>
          <w:b/>
          <w:bCs/>
          <w:color w:val="auto"/>
          <w:sz w:val="22"/>
          <w:szCs w:val="28"/>
          <w:highlight w:val="none"/>
        </w:rPr>
        <w:t>供应商直接控股股东信息表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076"/>
        <w:gridCol w:w="1199"/>
        <w:gridCol w:w="3271"/>
        <w:gridCol w:w="1884"/>
      </w:tblGrid>
      <w:tr w14:paraId="3A8B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7" w:type="dxa"/>
          </w:tcPr>
          <w:p w14:paraId="3B51D775">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序号</w:t>
            </w:r>
          </w:p>
        </w:tc>
        <w:tc>
          <w:tcPr>
            <w:tcW w:w="2076" w:type="dxa"/>
          </w:tcPr>
          <w:p w14:paraId="1368B0EB">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直接控股股东名称</w:t>
            </w:r>
          </w:p>
        </w:tc>
        <w:tc>
          <w:tcPr>
            <w:tcW w:w="1199" w:type="dxa"/>
          </w:tcPr>
          <w:p w14:paraId="19451C85">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出资比例</w:t>
            </w:r>
          </w:p>
        </w:tc>
        <w:tc>
          <w:tcPr>
            <w:tcW w:w="3271" w:type="dxa"/>
          </w:tcPr>
          <w:p w14:paraId="192C17B1">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身份证号码或统一社会信用代码</w:t>
            </w:r>
          </w:p>
        </w:tc>
        <w:tc>
          <w:tcPr>
            <w:tcW w:w="1884" w:type="dxa"/>
          </w:tcPr>
          <w:p w14:paraId="65EAA649">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备注</w:t>
            </w:r>
          </w:p>
        </w:tc>
      </w:tr>
      <w:tr w14:paraId="1CCA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012379AE">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1</w:t>
            </w:r>
          </w:p>
        </w:tc>
        <w:tc>
          <w:tcPr>
            <w:tcW w:w="2076" w:type="dxa"/>
          </w:tcPr>
          <w:p w14:paraId="30AA6FF5">
            <w:pPr>
              <w:snapToGrid w:val="0"/>
              <w:spacing w:before="165" w:beforeLines="50" w:after="50" w:line="440" w:lineRule="exact"/>
              <w:rPr>
                <w:rFonts w:ascii="Arial" w:hAnsi="Arial" w:eastAsia="宋体" w:cs="Arial"/>
                <w:color w:val="auto"/>
                <w:highlight w:val="none"/>
              </w:rPr>
            </w:pPr>
          </w:p>
        </w:tc>
        <w:tc>
          <w:tcPr>
            <w:tcW w:w="1199" w:type="dxa"/>
          </w:tcPr>
          <w:p w14:paraId="204BCD41">
            <w:pPr>
              <w:snapToGrid w:val="0"/>
              <w:spacing w:before="165" w:beforeLines="50" w:after="50" w:line="440" w:lineRule="exact"/>
              <w:rPr>
                <w:rFonts w:ascii="Arial" w:hAnsi="Arial" w:eastAsia="宋体" w:cs="Arial"/>
                <w:color w:val="auto"/>
                <w:highlight w:val="none"/>
              </w:rPr>
            </w:pPr>
          </w:p>
        </w:tc>
        <w:tc>
          <w:tcPr>
            <w:tcW w:w="3271" w:type="dxa"/>
          </w:tcPr>
          <w:p w14:paraId="5B426226">
            <w:pPr>
              <w:snapToGrid w:val="0"/>
              <w:spacing w:before="165" w:beforeLines="50" w:after="50" w:line="440" w:lineRule="exact"/>
              <w:rPr>
                <w:rFonts w:ascii="Arial" w:hAnsi="Arial" w:eastAsia="宋体" w:cs="Arial"/>
                <w:color w:val="auto"/>
                <w:highlight w:val="none"/>
              </w:rPr>
            </w:pPr>
          </w:p>
        </w:tc>
        <w:tc>
          <w:tcPr>
            <w:tcW w:w="1884" w:type="dxa"/>
          </w:tcPr>
          <w:p w14:paraId="12B733B9">
            <w:pPr>
              <w:snapToGrid w:val="0"/>
              <w:spacing w:before="165" w:beforeLines="50" w:after="50" w:line="440" w:lineRule="exact"/>
              <w:rPr>
                <w:rFonts w:ascii="Arial" w:hAnsi="Arial" w:eastAsia="宋体" w:cs="Arial"/>
                <w:color w:val="auto"/>
                <w:highlight w:val="none"/>
              </w:rPr>
            </w:pPr>
          </w:p>
        </w:tc>
      </w:tr>
      <w:tr w14:paraId="3357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5B518AB1">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2</w:t>
            </w:r>
          </w:p>
        </w:tc>
        <w:tc>
          <w:tcPr>
            <w:tcW w:w="2076" w:type="dxa"/>
          </w:tcPr>
          <w:p w14:paraId="31B34084">
            <w:pPr>
              <w:snapToGrid w:val="0"/>
              <w:spacing w:before="165" w:beforeLines="50" w:after="50" w:line="440" w:lineRule="exact"/>
              <w:rPr>
                <w:rFonts w:ascii="Arial" w:hAnsi="Arial" w:eastAsia="宋体" w:cs="Arial"/>
                <w:color w:val="auto"/>
                <w:highlight w:val="none"/>
              </w:rPr>
            </w:pPr>
          </w:p>
        </w:tc>
        <w:tc>
          <w:tcPr>
            <w:tcW w:w="1199" w:type="dxa"/>
          </w:tcPr>
          <w:p w14:paraId="34AACA06">
            <w:pPr>
              <w:snapToGrid w:val="0"/>
              <w:spacing w:before="165" w:beforeLines="50" w:after="50" w:line="440" w:lineRule="exact"/>
              <w:rPr>
                <w:rFonts w:ascii="Arial" w:hAnsi="Arial" w:eastAsia="宋体" w:cs="Arial"/>
                <w:color w:val="auto"/>
                <w:highlight w:val="none"/>
              </w:rPr>
            </w:pPr>
          </w:p>
        </w:tc>
        <w:tc>
          <w:tcPr>
            <w:tcW w:w="3271" w:type="dxa"/>
          </w:tcPr>
          <w:p w14:paraId="78EA07EC">
            <w:pPr>
              <w:snapToGrid w:val="0"/>
              <w:spacing w:before="165" w:beforeLines="50" w:after="50" w:line="440" w:lineRule="exact"/>
              <w:rPr>
                <w:rFonts w:ascii="Arial" w:hAnsi="Arial" w:eastAsia="宋体" w:cs="Arial"/>
                <w:color w:val="auto"/>
                <w:highlight w:val="none"/>
              </w:rPr>
            </w:pPr>
          </w:p>
        </w:tc>
        <w:tc>
          <w:tcPr>
            <w:tcW w:w="1884" w:type="dxa"/>
          </w:tcPr>
          <w:p w14:paraId="414B413A">
            <w:pPr>
              <w:snapToGrid w:val="0"/>
              <w:spacing w:before="165" w:beforeLines="50" w:after="50" w:line="440" w:lineRule="exact"/>
              <w:rPr>
                <w:rFonts w:ascii="Arial" w:hAnsi="Arial" w:eastAsia="宋体" w:cs="Arial"/>
                <w:color w:val="auto"/>
                <w:highlight w:val="none"/>
              </w:rPr>
            </w:pPr>
          </w:p>
        </w:tc>
      </w:tr>
      <w:tr w14:paraId="7AB8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22E42DBB">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3</w:t>
            </w:r>
          </w:p>
        </w:tc>
        <w:tc>
          <w:tcPr>
            <w:tcW w:w="2076" w:type="dxa"/>
          </w:tcPr>
          <w:p w14:paraId="36BF7266">
            <w:pPr>
              <w:snapToGrid w:val="0"/>
              <w:spacing w:before="165" w:beforeLines="50" w:after="50" w:line="440" w:lineRule="exact"/>
              <w:rPr>
                <w:rFonts w:ascii="Arial" w:hAnsi="Arial" w:eastAsia="宋体" w:cs="Arial"/>
                <w:color w:val="auto"/>
                <w:highlight w:val="none"/>
              </w:rPr>
            </w:pPr>
          </w:p>
        </w:tc>
        <w:tc>
          <w:tcPr>
            <w:tcW w:w="1199" w:type="dxa"/>
          </w:tcPr>
          <w:p w14:paraId="26182032">
            <w:pPr>
              <w:snapToGrid w:val="0"/>
              <w:spacing w:before="165" w:beforeLines="50" w:after="50" w:line="440" w:lineRule="exact"/>
              <w:rPr>
                <w:rFonts w:ascii="Arial" w:hAnsi="Arial" w:eastAsia="宋体" w:cs="Arial"/>
                <w:color w:val="auto"/>
                <w:highlight w:val="none"/>
              </w:rPr>
            </w:pPr>
          </w:p>
        </w:tc>
        <w:tc>
          <w:tcPr>
            <w:tcW w:w="3271" w:type="dxa"/>
          </w:tcPr>
          <w:p w14:paraId="33805F43">
            <w:pPr>
              <w:snapToGrid w:val="0"/>
              <w:spacing w:before="165" w:beforeLines="50" w:after="50" w:line="440" w:lineRule="exact"/>
              <w:rPr>
                <w:rFonts w:ascii="Arial" w:hAnsi="Arial" w:eastAsia="宋体" w:cs="Arial"/>
                <w:color w:val="auto"/>
                <w:highlight w:val="none"/>
              </w:rPr>
            </w:pPr>
          </w:p>
        </w:tc>
        <w:tc>
          <w:tcPr>
            <w:tcW w:w="1884" w:type="dxa"/>
          </w:tcPr>
          <w:p w14:paraId="3305499E">
            <w:pPr>
              <w:snapToGrid w:val="0"/>
              <w:spacing w:before="165" w:beforeLines="50" w:after="50" w:line="440" w:lineRule="exact"/>
              <w:rPr>
                <w:rFonts w:ascii="Arial" w:hAnsi="Arial" w:eastAsia="宋体" w:cs="Arial"/>
                <w:color w:val="auto"/>
                <w:highlight w:val="none"/>
              </w:rPr>
            </w:pPr>
          </w:p>
        </w:tc>
      </w:tr>
      <w:tr w14:paraId="528F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14:paraId="4D3764CE">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076" w:type="dxa"/>
          </w:tcPr>
          <w:p w14:paraId="097A7C1F">
            <w:pPr>
              <w:snapToGrid w:val="0"/>
              <w:spacing w:before="165" w:beforeLines="50" w:after="50" w:line="440" w:lineRule="exact"/>
              <w:rPr>
                <w:rFonts w:ascii="Arial" w:hAnsi="Arial" w:eastAsia="宋体" w:cs="Arial"/>
                <w:color w:val="auto"/>
                <w:highlight w:val="none"/>
              </w:rPr>
            </w:pPr>
          </w:p>
        </w:tc>
        <w:tc>
          <w:tcPr>
            <w:tcW w:w="1199" w:type="dxa"/>
          </w:tcPr>
          <w:p w14:paraId="4E8EA315">
            <w:pPr>
              <w:snapToGrid w:val="0"/>
              <w:spacing w:before="165" w:beforeLines="50" w:after="50" w:line="440" w:lineRule="exact"/>
              <w:rPr>
                <w:rFonts w:ascii="Arial" w:hAnsi="Arial" w:eastAsia="宋体" w:cs="Arial"/>
                <w:color w:val="auto"/>
                <w:highlight w:val="none"/>
              </w:rPr>
            </w:pPr>
          </w:p>
        </w:tc>
        <w:tc>
          <w:tcPr>
            <w:tcW w:w="3271" w:type="dxa"/>
          </w:tcPr>
          <w:p w14:paraId="3C18AD8C">
            <w:pPr>
              <w:snapToGrid w:val="0"/>
              <w:spacing w:before="165" w:beforeLines="50" w:after="50" w:line="440" w:lineRule="exact"/>
              <w:rPr>
                <w:rFonts w:ascii="Arial" w:hAnsi="Arial" w:eastAsia="宋体" w:cs="Arial"/>
                <w:color w:val="auto"/>
                <w:highlight w:val="none"/>
              </w:rPr>
            </w:pPr>
          </w:p>
        </w:tc>
        <w:tc>
          <w:tcPr>
            <w:tcW w:w="1884" w:type="dxa"/>
          </w:tcPr>
          <w:p w14:paraId="5F70970D">
            <w:pPr>
              <w:snapToGrid w:val="0"/>
              <w:spacing w:before="165" w:beforeLines="50" w:after="50" w:line="440" w:lineRule="exact"/>
              <w:rPr>
                <w:rFonts w:ascii="Arial" w:hAnsi="Arial" w:eastAsia="宋体" w:cs="Arial"/>
                <w:color w:val="auto"/>
                <w:highlight w:val="none"/>
              </w:rPr>
            </w:pPr>
          </w:p>
        </w:tc>
      </w:tr>
    </w:tbl>
    <w:p w14:paraId="6786D95A">
      <w:pPr>
        <w:widowControl/>
        <w:jc w:val="left"/>
        <w:rPr>
          <w:rFonts w:ascii="Arial" w:hAnsi="Arial" w:eastAsia="宋体" w:cs="Arial"/>
          <w:color w:val="auto"/>
          <w:highlight w:val="none"/>
        </w:rPr>
      </w:pPr>
      <w:r>
        <w:rPr>
          <w:rFonts w:ascii="Arial" w:hAnsi="Arial" w:eastAsia="宋体" w:cs="Arial"/>
          <w:color w:val="auto"/>
          <w:kern w:val="0"/>
          <w:szCs w:val="21"/>
          <w:highlight w:val="none"/>
        </w:rPr>
        <w:t>注：</w:t>
      </w:r>
    </w:p>
    <w:p w14:paraId="16351FE9">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1.直接控股股东：是指其出资额占有限责任公司资本总额百分之五十以上或者其持有的股份占股份有限 </w:t>
      </w:r>
    </w:p>
    <w:p w14:paraId="2DA83539">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公司股份总额百分之五十以上的股东；出资额或者持有股份的比例虽然不足百分之五十，但依其出资额 </w:t>
      </w:r>
    </w:p>
    <w:p w14:paraId="35CE5C5B">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或者持有的股份所享有的表决权已足以对股东会、股东大会的决议产生重大影响的股东。 </w:t>
      </w:r>
    </w:p>
    <w:p w14:paraId="06015547">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2.本表所指的控股关系仅限于直接控股关系，不包括间接的控股关系。公司实际控制人与公司之间的关 </w:t>
      </w:r>
    </w:p>
    <w:p w14:paraId="597487A2">
      <w:pPr>
        <w:widowControl/>
        <w:jc w:val="left"/>
        <w:rPr>
          <w:rFonts w:ascii="Arial" w:hAnsi="Arial" w:eastAsia="宋体" w:cs="Arial"/>
          <w:color w:val="auto"/>
          <w:highlight w:val="none"/>
        </w:rPr>
      </w:pPr>
      <w:r>
        <w:rPr>
          <w:rFonts w:ascii="Arial" w:hAnsi="Arial" w:eastAsia="宋体" w:cs="Arial"/>
          <w:color w:val="auto"/>
          <w:kern w:val="0"/>
          <w:szCs w:val="21"/>
          <w:highlight w:val="none"/>
        </w:rPr>
        <w:t xml:space="preserve">系不属于本表所指的直接控股关系。 </w:t>
      </w:r>
    </w:p>
    <w:p w14:paraId="4FAA0A7D">
      <w:pPr>
        <w:snapToGrid w:val="0"/>
        <w:spacing w:line="400" w:lineRule="exact"/>
        <w:ind w:firstLine="1890" w:firstLineChars="900"/>
        <w:rPr>
          <w:rFonts w:ascii="Arial" w:hAnsi="Arial" w:eastAsia="宋体" w:cs="Arial"/>
          <w:color w:val="auto"/>
          <w:highlight w:val="none"/>
        </w:rPr>
      </w:pPr>
      <w:r>
        <w:rPr>
          <w:rFonts w:ascii="Arial" w:hAnsi="Arial" w:eastAsia="宋体" w:cs="Arial"/>
          <w:color w:val="auto"/>
          <w:szCs w:val="21"/>
          <w:highlight w:val="none"/>
        </w:rPr>
        <w:t>供应商（公章）：</w:t>
      </w:r>
      <w:r>
        <w:rPr>
          <w:rFonts w:ascii="Arial" w:hAnsi="Arial" w:eastAsia="宋体" w:cs="Arial"/>
          <w:color w:val="auto"/>
          <w:szCs w:val="21"/>
          <w:highlight w:val="none"/>
          <w:u w:val="single"/>
        </w:rPr>
        <w:t xml:space="preserve">                                         </w:t>
      </w:r>
    </w:p>
    <w:p w14:paraId="144CAAF7">
      <w:pPr>
        <w:pStyle w:val="14"/>
        <w:ind w:firstLine="1890" w:firstLineChars="900"/>
        <w:rPr>
          <w:rFonts w:ascii="Arial" w:hAnsi="Arial" w:eastAsia="宋体" w:cs="Arial"/>
          <w:color w:val="auto"/>
          <w:highlight w:val="none"/>
        </w:rPr>
      </w:pPr>
      <w:r>
        <w:rPr>
          <w:rFonts w:ascii="Arial" w:hAnsi="Arial" w:eastAsia="宋体" w:cs="Arial"/>
          <w:color w:val="auto"/>
          <w:highlight w:val="none"/>
        </w:rPr>
        <w:t>法定代表人、负责人或相应的委托代理人签字（或盖章）：</w:t>
      </w:r>
      <w:r>
        <w:rPr>
          <w:rFonts w:ascii="Arial" w:hAnsi="Arial" w:eastAsia="宋体" w:cs="Arial"/>
          <w:color w:val="auto"/>
          <w:szCs w:val="21"/>
          <w:highlight w:val="none"/>
          <w:u w:val="single"/>
        </w:rPr>
        <w:t xml:space="preserve">                    </w:t>
      </w:r>
    </w:p>
    <w:p w14:paraId="6860B879">
      <w:pPr>
        <w:pStyle w:val="14"/>
        <w:ind w:firstLine="1890" w:firstLineChars="9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r>
        <w:rPr>
          <w:rFonts w:ascii="Arial" w:hAnsi="Arial" w:eastAsia="宋体" w:cs="Arial"/>
          <w:color w:val="auto"/>
          <w:kern w:val="0"/>
          <w:szCs w:val="21"/>
          <w:highlight w:val="none"/>
        </w:rPr>
        <w:t xml:space="preserve"> </w:t>
      </w:r>
    </w:p>
    <w:p w14:paraId="371CB73C">
      <w:pPr>
        <w:snapToGrid w:val="0"/>
        <w:spacing w:before="165" w:beforeLines="50" w:after="50" w:line="440" w:lineRule="exact"/>
        <w:jc w:val="center"/>
        <w:rPr>
          <w:rFonts w:ascii="Arial" w:hAnsi="Arial" w:eastAsia="宋体" w:cs="Arial"/>
          <w:b/>
          <w:bCs/>
          <w:color w:val="auto"/>
          <w:sz w:val="22"/>
          <w:szCs w:val="28"/>
          <w:highlight w:val="none"/>
        </w:rPr>
      </w:pPr>
      <w:r>
        <w:rPr>
          <w:rFonts w:ascii="Arial" w:hAnsi="Arial" w:eastAsia="宋体" w:cs="Arial"/>
          <w:b/>
          <w:bCs/>
          <w:color w:val="auto"/>
          <w:sz w:val="22"/>
          <w:szCs w:val="28"/>
          <w:highlight w:val="none"/>
        </w:rPr>
        <w:t>供应商直接管理关系信息表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324"/>
        <w:gridCol w:w="3661"/>
        <w:gridCol w:w="2109"/>
      </w:tblGrid>
      <w:tr w14:paraId="477E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2B2990A6">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序号</w:t>
            </w:r>
          </w:p>
        </w:tc>
        <w:tc>
          <w:tcPr>
            <w:tcW w:w="2324" w:type="dxa"/>
          </w:tcPr>
          <w:p w14:paraId="4D4AE879">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直接管理关系单位名称</w:t>
            </w:r>
          </w:p>
        </w:tc>
        <w:tc>
          <w:tcPr>
            <w:tcW w:w="3661" w:type="dxa"/>
          </w:tcPr>
          <w:p w14:paraId="1E9580BE">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统一社会信用代码</w:t>
            </w:r>
          </w:p>
        </w:tc>
        <w:tc>
          <w:tcPr>
            <w:tcW w:w="2109" w:type="dxa"/>
          </w:tcPr>
          <w:p w14:paraId="2824C4A8">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备注</w:t>
            </w:r>
          </w:p>
        </w:tc>
      </w:tr>
      <w:tr w14:paraId="6D69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5106EE4D">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1</w:t>
            </w:r>
          </w:p>
        </w:tc>
        <w:tc>
          <w:tcPr>
            <w:tcW w:w="2324" w:type="dxa"/>
          </w:tcPr>
          <w:p w14:paraId="52915C83">
            <w:pPr>
              <w:snapToGrid w:val="0"/>
              <w:spacing w:before="165" w:beforeLines="50" w:after="50" w:line="440" w:lineRule="exact"/>
              <w:rPr>
                <w:rFonts w:ascii="Arial" w:hAnsi="Arial" w:eastAsia="宋体" w:cs="Arial"/>
                <w:color w:val="auto"/>
                <w:highlight w:val="none"/>
              </w:rPr>
            </w:pPr>
          </w:p>
        </w:tc>
        <w:tc>
          <w:tcPr>
            <w:tcW w:w="3661" w:type="dxa"/>
          </w:tcPr>
          <w:p w14:paraId="062DC586">
            <w:pPr>
              <w:snapToGrid w:val="0"/>
              <w:spacing w:before="165" w:beforeLines="50" w:after="50" w:line="440" w:lineRule="exact"/>
              <w:rPr>
                <w:rFonts w:ascii="Arial" w:hAnsi="Arial" w:eastAsia="宋体" w:cs="Arial"/>
                <w:color w:val="auto"/>
                <w:highlight w:val="none"/>
              </w:rPr>
            </w:pPr>
          </w:p>
        </w:tc>
        <w:tc>
          <w:tcPr>
            <w:tcW w:w="2109" w:type="dxa"/>
          </w:tcPr>
          <w:p w14:paraId="49BEB40E">
            <w:pPr>
              <w:snapToGrid w:val="0"/>
              <w:spacing w:before="165" w:beforeLines="50" w:after="50" w:line="440" w:lineRule="exact"/>
              <w:rPr>
                <w:rFonts w:ascii="Arial" w:hAnsi="Arial" w:eastAsia="宋体" w:cs="Arial"/>
                <w:color w:val="auto"/>
                <w:highlight w:val="none"/>
              </w:rPr>
            </w:pPr>
          </w:p>
        </w:tc>
      </w:tr>
      <w:tr w14:paraId="574E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0DE32812">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2</w:t>
            </w:r>
          </w:p>
        </w:tc>
        <w:tc>
          <w:tcPr>
            <w:tcW w:w="2324" w:type="dxa"/>
          </w:tcPr>
          <w:p w14:paraId="3A3A141C">
            <w:pPr>
              <w:snapToGrid w:val="0"/>
              <w:spacing w:before="165" w:beforeLines="50" w:after="50" w:line="440" w:lineRule="exact"/>
              <w:rPr>
                <w:rFonts w:ascii="Arial" w:hAnsi="Arial" w:eastAsia="宋体" w:cs="Arial"/>
                <w:color w:val="auto"/>
                <w:highlight w:val="none"/>
              </w:rPr>
            </w:pPr>
          </w:p>
        </w:tc>
        <w:tc>
          <w:tcPr>
            <w:tcW w:w="3661" w:type="dxa"/>
          </w:tcPr>
          <w:p w14:paraId="5046AEF4">
            <w:pPr>
              <w:snapToGrid w:val="0"/>
              <w:spacing w:before="165" w:beforeLines="50" w:after="50" w:line="440" w:lineRule="exact"/>
              <w:rPr>
                <w:rFonts w:ascii="Arial" w:hAnsi="Arial" w:eastAsia="宋体" w:cs="Arial"/>
                <w:color w:val="auto"/>
                <w:highlight w:val="none"/>
              </w:rPr>
            </w:pPr>
          </w:p>
        </w:tc>
        <w:tc>
          <w:tcPr>
            <w:tcW w:w="2109" w:type="dxa"/>
          </w:tcPr>
          <w:p w14:paraId="29BDEDA7">
            <w:pPr>
              <w:snapToGrid w:val="0"/>
              <w:spacing w:before="165" w:beforeLines="50" w:after="50" w:line="440" w:lineRule="exact"/>
              <w:rPr>
                <w:rFonts w:ascii="Arial" w:hAnsi="Arial" w:eastAsia="宋体" w:cs="Arial"/>
                <w:color w:val="auto"/>
                <w:highlight w:val="none"/>
              </w:rPr>
            </w:pPr>
          </w:p>
        </w:tc>
      </w:tr>
      <w:tr w14:paraId="0435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4C17C8E4">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3</w:t>
            </w:r>
          </w:p>
        </w:tc>
        <w:tc>
          <w:tcPr>
            <w:tcW w:w="2324" w:type="dxa"/>
          </w:tcPr>
          <w:p w14:paraId="16F3D725">
            <w:pPr>
              <w:snapToGrid w:val="0"/>
              <w:spacing w:before="165" w:beforeLines="50" w:after="50" w:line="440" w:lineRule="exact"/>
              <w:rPr>
                <w:rFonts w:ascii="Arial" w:hAnsi="Arial" w:eastAsia="宋体" w:cs="Arial"/>
                <w:color w:val="auto"/>
                <w:highlight w:val="none"/>
              </w:rPr>
            </w:pPr>
          </w:p>
        </w:tc>
        <w:tc>
          <w:tcPr>
            <w:tcW w:w="3661" w:type="dxa"/>
          </w:tcPr>
          <w:p w14:paraId="62164BDB">
            <w:pPr>
              <w:snapToGrid w:val="0"/>
              <w:spacing w:before="165" w:beforeLines="50" w:after="50" w:line="440" w:lineRule="exact"/>
              <w:rPr>
                <w:rFonts w:ascii="Arial" w:hAnsi="Arial" w:eastAsia="宋体" w:cs="Arial"/>
                <w:color w:val="auto"/>
                <w:highlight w:val="none"/>
              </w:rPr>
            </w:pPr>
          </w:p>
        </w:tc>
        <w:tc>
          <w:tcPr>
            <w:tcW w:w="2109" w:type="dxa"/>
          </w:tcPr>
          <w:p w14:paraId="414CE0BF">
            <w:pPr>
              <w:snapToGrid w:val="0"/>
              <w:spacing w:before="165" w:beforeLines="50" w:after="50" w:line="440" w:lineRule="exact"/>
              <w:rPr>
                <w:rFonts w:ascii="Arial" w:hAnsi="Arial" w:eastAsia="宋体" w:cs="Arial"/>
                <w:color w:val="auto"/>
                <w:highlight w:val="none"/>
              </w:rPr>
            </w:pPr>
          </w:p>
        </w:tc>
      </w:tr>
      <w:tr w14:paraId="1088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14:paraId="1A43FC16">
            <w:pPr>
              <w:snapToGrid w:val="0"/>
              <w:spacing w:before="165" w:beforeLines="50" w:after="50" w:line="440" w:lineRule="exact"/>
              <w:jc w:val="center"/>
              <w:rPr>
                <w:rFonts w:ascii="Arial" w:hAnsi="Arial" w:eastAsia="宋体" w:cs="Arial"/>
                <w:color w:val="auto"/>
                <w:highlight w:val="none"/>
              </w:rPr>
            </w:pPr>
            <w:r>
              <w:rPr>
                <w:rFonts w:ascii="Arial" w:hAnsi="Arial" w:eastAsia="宋体" w:cs="Arial"/>
                <w:color w:val="auto"/>
                <w:highlight w:val="none"/>
              </w:rPr>
              <w:t>......</w:t>
            </w:r>
          </w:p>
        </w:tc>
        <w:tc>
          <w:tcPr>
            <w:tcW w:w="2324" w:type="dxa"/>
          </w:tcPr>
          <w:p w14:paraId="4262B52C">
            <w:pPr>
              <w:snapToGrid w:val="0"/>
              <w:spacing w:before="165" w:beforeLines="50" w:after="50" w:line="440" w:lineRule="exact"/>
              <w:rPr>
                <w:rFonts w:ascii="Arial" w:hAnsi="Arial" w:eastAsia="宋体" w:cs="Arial"/>
                <w:color w:val="auto"/>
                <w:highlight w:val="none"/>
              </w:rPr>
            </w:pPr>
          </w:p>
        </w:tc>
        <w:tc>
          <w:tcPr>
            <w:tcW w:w="3661" w:type="dxa"/>
          </w:tcPr>
          <w:p w14:paraId="45894D65">
            <w:pPr>
              <w:snapToGrid w:val="0"/>
              <w:spacing w:before="165" w:beforeLines="50" w:after="50" w:line="440" w:lineRule="exact"/>
              <w:rPr>
                <w:rFonts w:ascii="Arial" w:hAnsi="Arial" w:eastAsia="宋体" w:cs="Arial"/>
                <w:color w:val="auto"/>
                <w:highlight w:val="none"/>
              </w:rPr>
            </w:pPr>
          </w:p>
        </w:tc>
        <w:tc>
          <w:tcPr>
            <w:tcW w:w="2109" w:type="dxa"/>
          </w:tcPr>
          <w:p w14:paraId="183DFF47">
            <w:pPr>
              <w:snapToGrid w:val="0"/>
              <w:spacing w:before="165" w:beforeLines="50" w:after="50" w:line="440" w:lineRule="exact"/>
              <w:rPr>
                <w:rFonts w:ascii="Arial" w:hAnsi="Arial" w:eastAsia="宋体" w:cs="Arial"/>
                <w:color w:val="auto"/>
                <w:highlight w:val="none"/>
              </w:rPr>
            </w:pPr>
          </w:p>
        </w:tc>
      </w:tr>
    </w:tbl>
    <w:p w14:paraId="6D8B3DDD">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注：1.管理关系：是指不具有出资持股关系的其他单位之间存在的管理与被管理关系，如一些上下级关系的事业单位和团体组织。</w:t>
      </w:r>
    </w:p>
    <w:p w14:paraId="4453F4A2">
      <w:pPr>
        <w:widowControl/>
        <w:jc w:val="left"/>
        <w:rPr>
          <w:rFonts w:ascii="Arial" w:hAnsi="Arial" w:eastAsia="宋体" w:cs="Arial"/>
          <w:color w:val="auto"/>
          <w:kern w:val="0"/>
          <w:szCs w:val="21"/>
          <w:highlight w:val="none"/>
        </w:rPr>
      </w:pPr>
      <w:r>
        <w:rPr>
          <w:rFonts w:ascii="Arial" w:hAnsi="Arial" w:eastAsia="宋体" w:cs="Arial"/>
          <w:color w:val="auto"/>
          <w:kern w:val="0"/>
          <w:szCs w:val="21"/>
          <w:highlight w:val="none"/>
        </w:rPr>
        <w:t>2.本表所指的管理关系仅限于直接管理关系，不包括间接的管理关系。</w:t>
      </w:r>
    </w:p>
    <w:p w14:paraId="5E9CAD45">
      <w:pPr>
        <w:snapToGrid w:val="0"/>
        <w:spacing w:line="400" w:lineRule="exact"/>
        <w:ind w:firstLine="1890" w:firstLineChars="900"/>
        <w:rPr>
          <w:rFonts w:ascii="Arial" w:hAnsi="Arial" w:eastAsia="宋体" w:cs="Arial"/>
          <w:color w:val="auto"/>
          <w:highlight w:val="none"/>
        </w:rPr>
      </w:pPr>
      <w:r>
        <w:rPr>
          <w:rFonts w:ascii="Arial" w:hAnsi="Arial" w:eastAsia="宋体" w:cs="Arial"/>
          <w:color w:val="auto"/>
          <w:szCs w:val="21"/>
          <w:highlight w:val="none"/>
        </w:rPr>
        <w:t>供应商（公章）：</w:t>
      </w:r>
      <w:r>
        <w:rPr>
          <w:rFonts w:ascii="Arial" w:hAnsi="Arial" w:eastAsia="宋体" w:cs="Arial"/>
          <w:color w:val="auto"/>
          <w:szCs w:val="21"/>
          <w:highlight w:val="none"/>
          <w:u w:val="single"/>
        </w:rPr>
        <w:t xml:space="preserve">                                        </w:t>
      </w:r>
    </w:p>
    <w:p w14:paraId="3961ED7C">
      <w:pPr>
        <w:pStyle w:val="14"/>
        <w:ind w:firstLine="1890" w:firstLineChars="900"/>
        <w:rPr>
          <w:rFonts w:ascii="Arial" w:hAnsi="Arial" w:eastAsia="宋体" w:cs="Arial"/>
          <w:color w:val="auto"/>
          <w:highlight w:val="none"/>
        </w:rPr>
      </w:pPr>
      <w:r>
        <w:rPr>
          <w:rFonts w:ascii="Arial" w:hAnsi="Arial" w:eastAsia="宋体" w:cs="Arial"/>
          <w:color w:val="auto"/>
          <w:highlight w:val="none"/>
        </w:rPr>
        <w:t>法定代表人、负责人或相应的委托代理人签字（或盖章）：</w:t>
      </w:r>
      <w:r>
        <w:rPr>
          <w:rFonts w:ascii="Arial" w:hAnsi="Arial" w:eastAsia="宋体" w:cs="Arial"/>
          <w:color w:val="auto"/>
          <w:szCs w:val="21"/>
          <w:highlight w:val="none"/>
          <w:u w:val="single"/>
        </w:rPr>
        <w:t xml:space="preserve">                     </w:t>
      </w:r>
    </w:p>
    <w:p w14:paraId="62428701">
      <w:pPr>
        <w:pStyle w:val="14"/>
        <w:ind w:firstLine="1890" w:firstLineChars="900"/>
        <w:rPr>
          <w:rFonts w:ascii="Arial" w:hAnsi="Arial" w:eastAsia="宋体" w:cs="Arial"/>
          <w:bCs/>
          <w:color w:val="auto"/>
          <w:szCs w:val="21"/>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13788B54">
      <w:pPr>
        <w:widowControl/>
        <w:jc w:val="left"/>
        <w:rPr>
          <w:rFonts w:ascii="Arial" w:hAnsi="Arial" w:eastAsia="宋体" w:cs="Arial"/>
          <w:color w:val="auto"/>
          <w:highlight w:val="none"/>
        </w:rPr>
      </w:pPr>
      <w:r>
        <w:rPr>
          <w:rFonts w:ascii="Arial" w:hAnsi="Arial" w:eastAsia="宋体" w:cs="Arial"/>
          <w:b/>
          <w:color w:val="auto"/>
          <w:kern w:val="0"/>
          <w:szCs w:val="21"/>
          <w:highlight w:val="none"/>
        </w:rPr>
        <w:t xml:space="preserve">注：“供应商直接控股、管理关系信息表”必须由法定代表人(负责人)或委托代理人签字并加盖供应商公章。 </w:t>
      </w:r>
    </w:p>
    <w:p w14:paraId="1E020796">
      <w:pPr>
        <w:pStyle w:val="14"/>
        <w:spacing w:line="440" w:lineRule="exact"/>
        <w:ind w:firstLine="420"/>
        <w:rPr>
          <w:rFonts w:ascii="Arial" w:hAnsi="Arial" w:eastAsia="宋体" w:cs="Arial"/>
          <w:b/>
          <w:bCs/>
          <w:color w:val="auto"/>
          <w:highlight w:val="none"/>
        </w:rPr>
        <w:sectPr>
          <w:footerReference r:id="rId8" w:type="first"/>
          <w:footerReference r:id="rId7" w:type="default"/>
          <w:pgSz w:w="11906" w:h="16838"/>
          <w:pgMar w:top="1134" w:right="1312" w:bottom="1134" w:left="1134" w:header="720" w:footer="720" w:gutter="0"/>
          <w:cols w:space="720" w:num="1"/>
          <w:titlePg/>
          <w:docGrid w:type="linesAndChars" w:linePitch="331" w:charSpace="0"/>
        </w:sectPr>
      </w:pPr>
    </w:p>
    <w:p w14:paraId="5EC0BFB9">
      <w:pPr>
        <w:spacing w:line="300" w:lineRule="auto"/>
        <w:rPr>
          <w:rFonts w:ascii="Arial" w:hAnsi="Arial" w:eastAsia="宋体" w:cs="Arial"/>
          <w:b/>
          <w:bCs/>
          <w:color w:val="auto"/>
          <w:sz w:val="28"/>
          <w:szCs w:val="28"/>
          <w:highlight w:val="none"/>
        </w:rPr>
      </w:pPr>
      <w:r>
        <w:rPr>
          <w:rFonts w:ascii="Arial" w:hAnsi="Arial" w:eastAsia="宋体" w:cs="Arial"/>
          <w:b/>
          <w:color w:val="auto"/>
          <w:sz w:val="28"/>
          <w:szCs w:val="28"/>
          <w:highlight w:val="none"/>
        </w:rPr>
        <w:t>10.供应商参加本项目无围标串标行为的承诺函（必须提供）</w:t>
      </w:r>
    </w:p>
    <w:p w14:paraId="728B351A">
      <w:pPr>
        <w:pStyle w:val="14"/>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t>附件：</w:t>
      </w:r>
    </w:p>
    <w:p w14:paraId="06D3CF72">
      <w:pPr>
        <w:pStyle w:val="14"/>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供应商参加本项目无围标串标行为的承诺函（格式）</w:t>
      </w:r>
    </w:p>
    <w:p w14:paraId="7FFC1823">
      <w:pPr>
        <w:snapToGrid w:val="0"/>
        <w:spacing w:before="165" w:beforeLines="50" w:after="50"/>
        <w:jc w:val="left"/>
        <w:rPr>
          <w:rFonts w:ascii="Arial" w:hAnsi="Arial" w:eastAsia="宋体" w:cs="Arial"/>
          <w:b/>
          <w:color w:val="auto"/>
          <w:szCs w:val="21"/>
          <w:highlight w:val="none"/>
        </w:rPr>
      </w:pPr>
      <w:r>
        <w:rPr>
          <w:rFonts w:ascii="Arial" w:hAnsi="Arial" w:eastAsia="宋体" w:cs="Arial"/>
          <w:b/>
          <w:color w:val="auto"/>
          <w:szCs w:val="21"/>
          <w:highlight w:val="none"/>
        </w:rPr>
        <w:t>一、我公司承诺无下列相互串通参与谈判的情形：</w:t>
      </w:r>
    </w:p>
    <w:p w14:paraId="3A53B102">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（1）不同供应商的响应文件由同一单位或者个人编制；</w:t>
      </w:r>
    </w:p>
    <w:p w14:paraId="2EF3EB6B">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（2）不同供应商委托同一单位或者个人办理谈判事宜；</w:t>
      </w:r>
    </w:p>
    <w:p w14:paraId="473532AA">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（3）不同的供应商的响应文件载明的项目管理员为同一个人；</w:t>
      </w:r>
    </w:p>
    <w:p w14:paraId="784873CF">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 xml:space="preserve">（4）不同供应商的响应文件异常一致或最后报价呈规律性差异； </w:t>
      </w:r>
    </w:p>
    <w:p w14:paraId="7858515E">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（5）不同供应商的响应文件相互混装；</w:t>
      </w:r>
    </w:p>
    <w:p w14:paraId="58157D37">
      <w:pPr>
        <w:snapToGrid w:val="0"/>
        <w:spacing w:before="165" w:beforeLines="50" w:after="50"/>
        <w:ind w:firstLine="411" w:firstLineChars="196"/>
        <w:jc w:val="left"/>
        <w:rPr>
          <w:rFonts w:ascii="Arial" w:hAnsi="Arial" w:eastAsia="宋体" w:cs="Arial"/>
          <w:color w:val="auto"/>
          <w:szCs w:val="21"/>
          <w:highlight w:val="none"/>
        </w:rPr>
      </w:pPr>
      <w:r>
        <w:rPr>
          <w:rFonts w:ascii="Arial" w:hAnsi="Arial" w:eastAsia="宋体" w:cs="Arial"/>
          <w:color w:val="auto"/>
          <w:szCs w:val="21"/>
          <w:highlight w:val="none"/>
        </w:rPr>
        <w:t>（6）谈判文件未做实质性变动，最后报价高于首次报价。</w:t>
      </w:r>
    </w:p>
    <w:p w14:paraId="6D3902B8">
      <w:pPr>
        <w:snapToGrid w:val="0"/>
        <w:spacing w:before="165" w:beforeLines="50" w:after="50"/>
        <w:jc w:val="left"/>
        <w:rPr>
          <w:rFonts w:ascii="Arial" w:hAnsi="Arial" w:eastAsia="宋体" w:cs="Arial"/>
          <w:color w:val="auto"/>
          <w:szCs w:val="21"/>
          <w:highlight w:val="none"/>
        </w:rPr>
      </w:pPr>
      <w:r>
        <w:rPr>
          <w:rFonts w:ascii="Arial" w:hAnsi="Arial" w:eastAsia="宋体" w:cs="Arial"/>
          <w:b/>
          <w:color w:val="auto"/>
          <w:szCs w:val="21"/>
          <w:highlight w:val="none"/>
        </w:rPr>
        <w:t>二、我公司承诺无下列恶意串通的情形：</w:t>
      </w:r>
    </w:p>
    <w:p w14:paraId="09A440F1">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1.供应商直接或者间接从采购人或者采购代理机构处获得其他供应商的相关信息并修改其响应文件；</w:t>
      </w:r>
    </w:p>
    <w:p w14:paraId="228ECAF3">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2.供应商按照采购人或者采购代理机构的授意撤换、修改响应文件；</w:t>
      </w:r>
    </w:p>
    <w:p w14:paraId="6261FFE6">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3.供应商之间协商报价、技术方案等响应文件的实质性内容；</w:t>
      </w:r>
    </w:p>
    <w:p w14:paraId="24A208AB">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4.属于同一集团、协会、商会等组织成员的供应商按照该组织要求协同参加政府采购活动；</w:t>
      </w:r>
    </w:p>
    <w:p w14:paraId="46765D80">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5. 供应商之间事先约定一致抬高或者压低谈判报价,或者在采购项目中事先约定轮流以高价位或者低价位成交,或者事先约定由某一特定供应商成交,然后再参加谈判；</w:t>
      </w:r>
    </w:p>
    <w:p w14:paraId="45B68AC7">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6. 供应商之间商定部分供应商放弃参加政府采购活动或者放弃成交；</w:t>
      </w:r>
    </w:p>
    <w:p w14:paraId="1182F125">
      <w:pPr>
        <w:tabs>
          <w:tab w:val="left" w:pos="1305"/>
        </w:tabs>
        <w:spacing w:line="420" w:lineRule="exact"/>
        <w:ind w:firstLine="630" w:firstLineChars="300"/>
        <w:rPr>
          <w:rFonts w:ascii="Arial" w:hAnsi="Arial" w:eastAsia="宋体" w:cs="Arial"/>
          <w:color w:val="auto"/>
          <w:szCs w:val="21"/>
          <w:highlight w:val="none"/>
        </w:rPr>
      </w:pPr>
      <w:r>
        <w:rPr>
          <w:rFonts w:ascii="Arial" w:hAnsi="Arial" w:eastAsia="宋体" w:cs="Arial"/>
          <w:color w:val="auto"/>
          <w:szCs w:val="21"/>
          <w:highlight w:val="none"/>
        </w:rPr>
        <w:t>7. 供应商与采购人或者采购代理机构之间、供应商相互之间，为谋求特定供应商成交或者排斥其他供应商的其他串通行为。</w:t>
      </w:r>
    </w:p>
    <w:p w14:paraId="5D65C57C">
      <w:pPr>
        <w:snapToGrid w:val="0"/>
        <w:spacing w:before="165" w:beforeLines="50" w:after="50"/>
        <w:ind w:firstLine="470" w:firstLineChars="196"/>
        <w:jc w:val="left"/>
        <w:rPr>
          <w:rFonts w:ascii="Arial" w:hAnsi="Arial" w:eastAsia="宋体" w:cs="Arial"/>
          <w:color w:val="auto"/>
          <w:sz w:val="24"/>
          <w:highlight w:val="none"/>
        </w:rPr>
      </w:pPr>
    </w:p>
    <w:p w14:paraId="5DC3681A">
      <w:pPr>
        <w:snapToGrid w:val="0"/>
        <w:spacing w:before="165" w:beforeLines="50" w:after="50"/>
        <w:ind w:firstLine="470" w:firstLineChars="196"/>
        <w:jc w:val="left"/>
        <w:rPr>
          <w:rFonts w:ascii="Arial" w:hAnsi="Arial" w:eastAsia="宋体" w:cs="Arial"/>
          <w:b/>
          <w:color w:val="auto"/>
          <w:sz w:val="24"/>
          <w:highlight w:val="none"/>
        </w:rPr>
      </w:pPr>
      <w:r>
        <w:rPr>
          <w:rFonts w:ascii="Arial" w:hAnsi="Arial" w:eastAsia="宋体" w:cs="Arial"/>
          <w:b/>
          <w:color w:val="auto"/>
          <w:sz w:val="24"/>
          <w:highlight w:val="none"/>
        </w:rPr>
        <w:t>以上情形一经核查属实，我方愿意承担一切后果，并不再寻求任何旨在减轻或免除法律责任的辩解。</w:t>
      </w:r>
    </w:p>
    <w:p w14:paraId="1C0349B9">
      <w:pPr>
        <w:pStyle w:val="14"/>
        <w:snapToGrid w:val="0"/>
        <w:spacing w:before="295" w:after="295" w:line="320" w:lineRule="exact"/>
        <w:ind w:firstLine="6840" w:firstLineChars="2850"/>
        <w:rPr>
          <w:rFonts w:ascii="Arial" w:hAnsi="Arial" w:eastAsia="宋体" w:cs="Arial"/>
          <w:color w:val="auto"/>
          <w:sz w:val="24"/>
          <w:szCs w:val="24"/>
          <w:highlight w:val="none"/>
        </w:rPr>
      </w:pPr>
    </w:p>
    <w:p w14:paraId="465F1E13">
      <w:pPr>
        <w:pStyle w:val="14"/>
        <w:snapToGrid w:val="0"/>
        <w:spacing w:before="295" w:after="295" w:line="320" w:lineRule="exact"/>
        <w:ind w:firstLine="6840" w:firstLineChars="2850"/>
        <w:rPr>
          <w:rFonts w:ascii="Arial" w:hAnsi="Arial" w:eastAsia="宋体" w:cs="Arial"/>
          <w:color w:val="auto"/>
          <w:sz w:val="24"/>
          <w:szCs w:val="24"/>
          <w:highlight w:val="none"/>
        </w:rPr>
      </w:pPr>
      <w:bookmarkStart w:id="34" w:name="_Toc5372"/>
      <w:bookmarkStart w:id="35" w:name="_Toc6210"/>
      <w:r>
        <w:rPr>
          <w:rFonts w:ascii="Arial" w:hAnsi="Arial" w:eastAsia="宋体" w:cs="Arial"/>
          <w:color w:val="auto"/>
          <w:sz w:val="24"/>
          <w:szCs w:val="24"/>
          <w:highlight w:val="none"/>
        </w:rPr>
        <w:t>（公章）</w:t>
      </w:r>
      <w:bookmarkEnd w:id="34"/>
      <w:bookmarkEnd w:id="35"/>
    </w:p>
    <w:p w14:paraId="1CE0167A">
      <w:pPr>
        <w:pStyle w:val="14"/>
        <w:spacing w:line="440" w:lineRule="exact"/>
        <w:ind w:firstLine="420"/>
        <w:jc w:val="center"/>
        <w:rPr>
          <w:rFonts w:ascii="Arial" w:hAnsi="Arial" w:eastAsia="宋体" w:cs="Arial"/>
          <w:b/>
          <w:bCs/>
          <w:color w:val="auto"/>
          <w:highlight w:val="none"/>
        </w:rPr>
      </w:pPr>
      <w:r>
        <w:rPr>
          <w:rFonts w:ascii="Arial" w:hAnsi="Arial" w:eastAsia="宋体" w:cs="Arial"/>
          <w:color w:val="auto"/>
          <w:sz w:val="24"/>
          <w:highlight w:val="none"/>
        </w:rPr>
        <w:t xml:space="preserve">                                                </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年</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月</w:t>
      </w:r>
      <w:r>
        <w:rPr>
          <w:rFonts w:ascii="Arial" w:hAnsi="Arial" w:eastAsia="宋体" w:cs="Arial"/>
          <w:color w:val="auto"/>
          <w:sz w:val="24"/>
          <w:highlight w:val="none"/>
          <w:u w:val="single"/>
        </w:rPr>
        <w:t xml:space="preserve">     </w:t>
      </w:r>
      <w:r>
        <w:rPr>
          <w:rFonts w:ascii="Arial" w:hAnsi="Arial" w:eastAsia="宋体" w:cs="Arial"/>
          <w:color w:val="auto"/>
          <w:sz w:val="24"/>
          <w:highlight w:val="none"/>
        </w:rPr>
        <w:t>日</w:t>
      </w:r>
    </w:p>
    <w:p w14:paraId="6B7BB50F">
      <w:pPr>
        <w:spacing w:line="400" w:lineRule="exact"/>
        <w:rPr>
          <w:rFonts w:ascii="Arial" w:hAnsi="Arial" w:eastAsia="宋体" w:cs="Arial"/>
          <w:b/>
          <w:color w:val="auto"/>
          <w:sz w:val="32"/>
          <w:szCs w:val="32"/>
          <w:highlight w:val="none"/>
        </w:rPr>
      </w:pPr>
    </w:p>
    <w:p w14:paraId="08CBBF24">
      <w:pPr>
        <w:spacing w:line="300" w:lineRule="auto"/>
        <w:rPr>
          <w:rFonts w:ascii="Arial" w:hAnsi="Arial" w:eastAsia="宋体" w:cs="Arial"/>
          <w:b/>
          <w:bCs/>
          <w:color w:val="auto"/>
          <w:sz w:val="28"/>
          <w:szCs w:val="28"/>
          <w:highlight w:val="none"/>
        </w:rPr>
      </w:pPr>
      <w:r>
        <w:rPr>
          <w:rFonts w:ascii="Arial" w:hAnsi="Arial" w:eastAsia="宋体" w:cs="Arial"/>
          <w:b/>
          <w:color w:val="auto"/>
          <w:sz w:val="28"/>
          <w:szCs w:val="28"/>
          <w:highlight w:val="none"/>
        </w:rPr>
        <w:t>11.谈判保证缴纳证明材料复印件（必须提供）</w:t>
      </w:r>
    </w:p>
    <w:p w14:paraId="18444C57">
      <w:pPr>
        <w:spacing w:line="400" w:lineRule="exact"/>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279F6FB5">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（二）符合性响应证明材料目录</w:t>
      </w:r>
    </w:p>
    <w:p w14:paraId="45757A24">
      <w:pPr>
        <w:tabs>
          <w:tab w:val="left" w:pos="1305"/>
        </w:tabs>
        <w:spacing w:line="440" w:lineRule="exact"/>
        <w:ind w:firstLine="420" w:firstLineChars="200"/>
        <w:rPr>
          <w:rFonts w:ascii="Arial" w:hAnsi="Arial" w:eastAsia="宋体" w:cs="Arial"/>
          <w:color w:val="auto"/>
          <w:szCs w:val="21"/>
          <w:highlight w:val="none"/>
        </w:rPr>
      </w:pPr>
    </w:p>
    <w:p w14:paraId="1129ED39">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1.谈判报价表</w:t>
      </w:r>
      <w:r>
        <w:rPr>
          <w:rFonts w:ascii="Arial" w:hAnsi="Arial" w:eastAsia="宋体" w:cs="Arial"/>
          <w:b/>
          <w:color w:val="auto"/>
          <w:sz w:val="24"/>
          <w:highlight w:val="none"/>
        </w:rPr>
        <w:t>（必须提供）</w:t>
      </w:r>
      <w:r>
        <w:rPr>
          <w:rFonts w:ascii="Arial" w:hAnsi="Arial" w:eastAsia="宋体" w:cs="Arial"/>
          <w:color w:val="auto"/>
          <w:sz w:val="24"/>
          <w:highlight w:val="none"/>
        </w:rPr>
        <w:t xml:space="preserve"> </w:t>
      </w:r>
    </w:p>
    <w:p w14:paraId="3C903D21">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2.技术响应表</w:t>
      </w:r>
      <w:r>
        <w:rPr>
          <w:rFonts w:ascii="Arial" w:hAnsi="Arial" w:eastAsia="宋体" w:cs="Arial"/>
          <w:b/>
          <w:color w:val="auto"/>
          <w:sz w:val="24"/>
          <w:highlight w:val="none"/>
        </w:rPr>
        <w:t>（必须提供）</w:t>
      </w:r>
    </w:p>
    <w:p w14:paraId="23224B79">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3.供应商的项目实施方案</w:t>
      </w:r>
      <w:r>
        <w:rPr>
          <w:rFonts w:ascii="Arial" w:hAnsi="Arial" w:eastAsia="宋体" w:cs="Arial"/>
          <w:b/>
          <w:color w:val="auto"/>
          <w:sz w:val="24"/>
          <w:highlight w:val="none"/>
        </w:rPr>
        <w:t>（必须提供）；</w:t>
      </w:r>
    </w:p>
    <w:p w14:paraId="780D00C1">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4.供应商的售后服务承诺书</w:t>
      </w:r>
      <w:r>
        <w:rPr>
          <w:rFonts w:ascii="Arial" w:hAnsi="Arial" w:eastAsia="宋体" w:cs="Arial"/>
          <w:b/>
          <w:color w:val="auto"/>
          <w:sz w:val="24"/>
          <w:highlight w:val="none"/>
        </w:rPr>
        <w:t>（必须提供）；</w:t>
      </w:r>
    </w:p>
    <w:p w14:paraId="6B3A3920">
      <w:pPr>
        <w:tabs>
          <w:tab w:val="left" w:pos="1305"/>
        </w:tabs>
        <w:spacing w:line="520" w:lineRule="exact"/>
        <w:ind w:firstLine="720" w:firstLineChars="300"/>
        <w:rPr>
          <w:rFonts w:ascii="Arial" w:hAnsi="Arial" w:eastAsia="宋体" w:cs="Arial"/>
          <w:b/>
          <w:color w:val="auto"/>
          <w:sz w:val="24"/>
          <w:highlight w:val="none"/>
        </w:rPr>
      </w:pPr>
      <w:r>
        <w:rPr>
          <w:rFonts w:ascii="Arial" w:hAnsi="Arial" w:eastAsia="宋体" w:cs="Arial"/>
          <w:color w:val="auto"/>
          <w:sz w:val="24"/>
          <w:highlight w:val="none"/>
        </w:rPr>
        <w:t>5.商务响应表</w:t>
      </w:r>
      <w:r>
        <w:rPr>
          <w:rFonts w:ascii="Arial" w:hAnsi="Arial" w:eastAsia="宋体" w:cs="Arial"/>
          <w:b/>
          <w:color w:val="auto"/>
          <w:sz w:val="24"/>
          <w:highlight w:val="none"/>
        </w:rPr>
        <w:t>（必须提供））</w:t>
      </w:r>
    </w:p>
    <w:p w14:paraId="55D25478">
      <w:pPr>
        <w:tabs>
          <w:tab w:val="left" w:pos="1305"/>
        </w:tabs>
        <w:spacing w:line="520" w:lineRule="exact"/>
        <w:ind w:firstLine="720" w:firstLineChars="300"/>
        <w:rPr>
          <w:rFonts w:ascii="Arial" w:hAnsi="Arial" w:eastAsia="宋体" w:cs="Arial"/>
          <w:b/>
          <w:color w:val="auto"/>
          <w:sz w:val="24"/>
          <w:highlight w:val="none"/>
        </w:rPr>
      </w:pPr>
    </w:p>
    <w:p w14:paraId="26EC5BD5">
      <w:pPr>
        <w:tabs>
          <w:tab w:val="left" w:pos="1305"/>
        </w:tabs>
        <w:spacing w:line="520" w:lineRule="exact"/>
        <w:ind w:firstLine="630" w:firstLineChars="300"/>
        <w:rPr>
          <w:rFonts w:ascii="Arial" w:hAnsi="Arial" w:eastAsia="宋体" w:cs="Arial"/>
          <w:b/>
          <w:bCs/>
          <w:color w:val="auto"/>
          <w:highlight w:val="none"/>
        </w:rPr>
        <w:sectPr>
          <w:footerReference r:id="rId10" w:type="first"/>
          <w:footerReference r:id="rId9" w:type="default"/>
          <w:pgSz w:w="11906" w:h="16838"/>
          <w:pgMar w:top="1134" w:right="849" w:bottom="1134" w:left="1134" w:header="720" w:footer="720" w:gutter="0"/>
          <w:cols w:space="720" w:num="1"/>
          <w:docGrid w:type="linesAndChars" w:linePitch="331" w:charSpace="0"/>
        </w:sectPr>
      </w:pPr>
    </w:p>
    <w:p w14:paraId="1AE8FB76">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1.谈判报价表（必须提供）</w:t>
      </w:r>
    </w:p>
    <w:p w14:paraId="0D5C3C55">
      <w:pPr>
        <w:snapToGrid w:val="0"/>
        <w:spacing w:line="400" w:lineRule="exact"/>
        <w:jc w:val="left"/>
        <w:rPr>
          <w:rFonts w:ascii="Arial" w:hAnsi="Arial" w:eastAsia="宋体" w:cs="Arial"/>
          <w:color w:val="auto"/>
          <w:szCs w:val="21"/>
          <w:highlight w:val="none"/>
        </w:rPr>
      </w:pPr>
    </w:p>
    <w:p w14:paraId="3DAD7548">
      <w:pPr>
        <w:snapToGrid w:val="0"/>
        <w:spacing w:line="400" w:lineRule="exact"/>
        <w:jc w:val="left"/>
        <w:rPr>
          <w:rFonts w:ascii="Arial" w:hAnsi="Arial" w:eastAsia="宋体" w:cs="Arial"/>
          <w:color w:val="auto"/>
          <w:szCs w:val="21"/>
          <w:highlight w:val="none"/>
        </w:rPr>
      </w:pPr>
      <w:r>
        <w:rPr>
          <w:rFonts w:ascii="Arial" w:hAnsi="Arial" w:eastAsia="宋体" w:cs="Arial"/>
          <w:color w:val="auto"/>
          <w:szCs w:val="21"/>
          <w:highlight w:val="none"/>
        </w:rPr>
        <w:t>项目名称：</w:t>
      </w:r>
      <w:r>
        <w:rPr>
          <w:rFonts w:hint="eastAsia" w:ascii="Arial" w:hAnsi="Arial" w:eastAsia="宋体" w:cs="Arial"/>
          <w:color w:val="auto"/>
          <w:highlight w:val="none"/>
        </w:rPr>
        <w:t>材料学院采购计算平台等设备</w:t>
      </w:r>
    </w:p>
    <w:p w14:paraId="7C3D4CDC">
      <w:pPr>
        <w:snapToGrid w:val="0"/>
        <w:spacing w:line="400" w:lineRule="exact"/>
        <w:jc w:val="left"/>
        <w:rPr>
          <w:rFonts w:hint="eastAsia" w:ascii="Arial" w:hAnsi="Arial" w:eastAsia="宋体" w:cs="Arial"/>
          <w:color w:val="auto"/>
          <w:szCs w:val="21"/>
          <w:highlight w:val="none"/>
          <w:lang w:eastAsia="zh-CN"/>
        </w:rPr>
      </w:pPr>
      <w:r>
        <w:rPr>
          <w:rFonts w:ascii="Arial" w:hAnsi="Arial" w:eastAsia="宋体" w:cs="Arial"/>
          <w:color w:val="auto"/>
          <w:szCs w:val="21"/>
          <w:highlight w:val="none"/>
        </w:rPr>
        <w:t>项目编号：</w:t>
      </w:r>
      <w:r>
        <w:rPr>
          <w:rFonts w:hint="eastAsia" w:ascii="Arial" w:hAnsi="Arial" w:eastAsia="宋体" w:cs="Arial"/>
          <w:color w:val="auto"/>
          <w:szCs w:val="21"/>
          <w:highlight w:val="none"/>
          <w:lang w:eastAsia="zh-CN"/>
        </w:rPr>
        <w:t>GXJD-24114CC031163</w:t>
      </w:r>
    </w:p>
    <w:tbl>
      <w:tblPr>
        <w:tblStyle w:val="24"/>
        <w:tblpPr w:leftFromText="180" w:rightFromText="180" w:vertAnchor="text" w:tblpY="1"/>
        <w:tblOverlap w:val="never"/>
        <w:tblW w:w="104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1359"/>
        <w:gridCol w:w="1900"/>
        <w:gridCol w:w="2120"/>
        <w:gridCol w:w="910"/>
        <w:gridCol w:w="690"/>
        <w:gridCol w:w="1330"/>
        <w:gridCol w:w="1370"/>
      </w:tblGrid>
      <w:tr w14:paraId="6D091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800" w:type="dxa"/>
            <w:tcBorders>
              <w:top w:val="single" w:color="auto" w:sz="4" w:space="0"/>
              <w:left w:val="single" w:color="auto" w:sz="4" w:space="0"/>
              <w:bottom w:val="single" w:color="auto" w:sz="4" w:space="0"/>
              <w:right w:val="single" w:color="auto" w:sz="4" w:space="0"/>
            </w:tcBorders>
            <w:vAlign w:val="center"/>
          </w:tcPr>
          <w:p w14:paraId="32D7466F">
            <w:pPr>
              <w:spacing w:line="280" w:lineRule="exact"/>
              <w:jc w:val="center"/>
              <w:rPr>
                <w:rFonts w:ascii="Arial" w:hAnsi="Arial" w:eastAsia="宋体" w:cs="Arial"/>
                <w:color w:val="auto"/>
                <w:highlight w:val="none"/>
              </w:rPr>
            </w:pPr>
            <w:r>
              <w:rPr>
                <w:rFonts w:ascii="Arial" w:hAnsi="Arial" w:eastAsia="宋体" w:cs="Arial"/>
                <w:color w:val="auto"/>
                <w:highlight w:val="none"/>
              </w:rPr>
              <w:t>项号</w:t>
            </w:r>
          </w:p>
        </w:tc>
        <w:tc>
          <w:tcPr>
            <w:tcW w:w="1359" w:type="dxa"/>
            <w:tcBorders>
              <w:top w:val="single" w:color="auto" w:sz="4" w:space="0"/>
              <w:left w:val="single" w:color="auto" w:sz="4" w:space="0"/>
              <w:bottom w:val="single" w:color="auto" w:sz="4" w:space="0"/>
              <w:right w:val="single" w:color="auto" w:sz="4" w:space="0"/>
            </w:tcBorders>
            <w:vAlign w:val="center"/>
          </w:tcPr>
          <w:p w14:paraId="29EE7C71">
            <w:pPr>
              <w:spacing w:line="280" w:lineRule="exact"/>
              <w:jc w:val="center"/>
              <w:rPr>
                <w:rFonts w:ascii="Arial" w:hAnsi="Arial" w:eastAsia="宋体" w:cs="Arial"/>
                <w:color w:val="auto"/>
                <w:highlight w:val="none"/>
              </w:rPr>
            </w:pPr>
            <w:r>
              <w:rPr>
                <w:rFonts w:ascii="Arial" w:hAnsi="Arial" w:eastAsia="宋体" w:cs="Arial"/>
                <w:color w:val="auto"/>
                <w:highlight w:val="none"/>
              </w:rPr>
              <w:t>标的名称</w:t>
            </w:r>
          </w:p>
        </w:tc>
        <w:tc>
          <w:tcPr>
            <w:tcW w:w="1900" w:type="dxa"/>
            <w:tcBorders>
              <w:top w:val="single" w:color="auto" w:sz="4" w:space="0"/>
              <w:left w:val="single" w:color="auto" w:sz="4" w:space="0"/>
              <w:bottom w:val="single" w:color="auto" w:sz="4" w:space="0"/>
              <w:right w:val="single" w:color="auto" w:sz="4" w:space="0"/>
            </w:tcBorders>
            <w:vAlign w:val="center"/>
          </w:tcPr>
          <w:p w14:paraId="50C179F7">
            <w:pPr>
              <w:spacing w:line="280" w:lineRule="exact"/>
              <w:jc w:val="center"/>
              <w:rPr>
                <w:rFonts w:ascii="Arial" w:hAnsi="Arial" w:eastAsia="宋体" w:cs="Arial"/>
                <w:color w:val="auto"/>
                <w:highlight w:val="none"/>
              </w:rPr>
            </w:pPr>
            <w:r>
              <w:rPr>
                <w:rFonts w:ascii="Arial" w:hAnsi="Arial" w:eastAsia="宋体" w:cs="Arial"/>
                <w:color w:val="auto"/>
                <w:szCs w:val="30"/>
                <w:highlight w:val="none"/>
              </w:rPr>
              <w:t>生产厂家、品牌、规格型号</w:t>
            </w:r>
          </w:p>
        </w:tc>
        <w:tc>
          <w:tcPr>
            <w:tcW w:w="2120" w:type="dxa"/>
            <w:tcBorders>
              <w:top w:val="single" w:color="auto" w:sz="4" w:space="0"/>
              <w:left w:val="single" w:color="auto" w:sz="4" w:space="0"/>
              <w:bottom w:val="single" w:color="auto" w:sz="4" w:space="0"/>
              <w:right w:val="single" w:color="auto" w:sz="4" w:space="0"/>
            </w:tcBorders>
            <w:vAlign w:val="center"/>
          </w:tcPr>
          <w:p w14:paraId="26158F3D">
            <w:pPr>
              <w:spacing w:line="300" w:lineRule="exact"/>
              <w:jc w:val="center"/>
              <w:rPr>
                <w:rFonts w:ascii="Arial" w:hAnsi="Arial" w:eastAsia="宋体" w:cs="Arial"/>
                <w:color w:val="auto"/>
                <w:szCs w:val="21"/>
                <w:highlight w:val="none"/>
              </w:rPr>
            </w:pPr>
            <w:r>
              <w:rPr>
                <w:rFonts w:ascii="Arial" w:hAnsi="Arial" w:eastAsia="宋体" w:cs="Arial"/>
                <w:color w:val="auto"/>
                <w:szCs w:val="21"/>
                <w:highlight w:val="none"/>
              </w:rPr>
              <w:t>技术参数性能指标等</w:t>
            </w:r>
          </w:p>
          <w:p w14:paraId="75436DE3">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（须完整填写）</w:t>
            </w:r>
          </w:p>
        </w:tc>
        <w:tc>
          <w:tcPr>
            <w:tcW w:w="910" w:type="dxa"/>
            <w:tcBorders>
              <w:top w:val="single" w:color="auto" w:sz="4" w:space="0"/>
              <w:left w:val="single" w:color="auto" w:sz="4" w:space="0"/>
              <w:bottom w:val="single" w:color="auto" w:sz="4" w:space="0"/>
              <w:right w:val="single" w:color="auto" w:sz="4" w:space="0"/>
            </w:tcBorders>
            <w:vAlign w:val="center"/>
          </w:tcPr>
          <w:p w14:paraId="195C07D0">
            <w:pPr>
              <w:spacing w:line="300" w:lineRule="exact"/>
              <w:jc w:val="center"/>
              <w:rPr>
                <w:rFonts w:ascii="Arial" w:hAnsi="Arial" w:eastAsia="宋体" w:cs="Arial"/>
                <w:color w:val="auto"/>
                <w:highlight w:val="none"/>
              </w:rPr>
            </w:pPr>
            <w:r>
              <w:rPr>
                <w:rFonts w:ascii="Arial" w:hAnsi="Arial" w:eastAsia="宋体" w:cs="Arial"/>
                <w:color w:val="auto"/>
                <w:highlight w:val="none"/>
              </w:rPr>
              <w:t>数量</w:t>
            </w:r>
          </w:p>
          <w:p w14:paraId="48F85A37">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①</w:t>
            </w:r>
          </w:p>
        </w:tc>
        <w:tc>
          <w:tcPr>
            <w:tcW w:w="690" w:type="dxa"/>
            <w:tcBorders>
              <w:top w:val="single" w:color="auto" w:sz="4" w:space="0"/>
              <w:left w:val="single" w:color="auto" w:sz="4" w:space="0"/>
              <w:bottom w:val="single" w:color="auto" w:sz="4" w:space="0"/>
              <w:right w:val="single" w:color="auto" w:sz="4" w:space="0"/>
            </w:tcBorders>
            <w:vAlign w:val="center"/>
          </w:tcPr>
          <w:p w14:paraId="24EC64BB">
            <w:pPr>
              <w:spacing w:line="300" w:lineRule="exact"/>
              <w:jc w:val="center"/>
              <w:rPr>
                <w:rFonts w:ascii="Arial" w:hAnsi="Arial" w:eastAsia="宋体" w:cs="Arial"/>
                <w:color w:val="auto"/>
                <w:highlight w:val="none"/>
              </w:rPr>
            </w:pPr>
            <w:r>
              <w:rPr>
                <w:rFonts w:ascii="Arial" w:hAnsi="Arial" w:eastAsia="宋体" w:cs="Arial"/>
                <w:color w:val="auto"/>
                <w:highlight w:val="none"/>
              </w:rPr>
              <w:t>单位</w:t>
            </w:r>
          </w:p>
        </w:tc>
        <w:tc>
          <w:tcPr>
            <w:tcW w:w="1330" w:type="dxa"/>
            <w:tcBorders>
              <w:top w:val="single" w:color="auto" w:sz="4" w:space="0"/>
              <w:left w:val="single" w:color="auto" w:sz="4" w:space="0"/>
              <w:bottom w:val="single" w:color="auto" w:sz="4" w:space="0"/>
              <w:right w:val="single" w:color="auto" w:sz="4" w:space="0"/>
            </w:tcBorders>
            <w:vAlign w:val="center"/>
          </w:tcPr>
          <w:p w14:paraId="2A69866E">
            <w:pPr>
              <w:spacing w:line="300" w:lineRule="exact"/>
              <w:jc w:val="center"/>
              <w:rPr>
                <w:rFonts w:ascii="Arial" w:hAnsi="Arial" w:eastAsia="宋体" w:cs="Arial"/>
                <w:color w:val="auto"/>
                <w:highlight w:val="none"/>
              </w:rPr>
            </w:pPr>
            <w:r>
              <w:rPr>
                <w:rFonts w:ascii="Arial" w:hAnsi="Arial" w:eastAsia="宋体" w:cs="Arial"/>
                <w:color w:val="auto"/>
                <w:highlight w:val="none"/>
              </w:rPr>
              <w:t>单价（元）</w:t>
            </w:r>
          </w:p>
          <w:p w14:paraId="167FD155">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②</w:t>
            </w:r>
          </w:p>
        </w:tc>
        <w:tc>
          <w:tcPr>
            <w:tcW w:w="1370" w:type="dxa"/>
            <w:tcBorders>
              <w:top w:val="single" w:color="auto" w:sz="4" w:space="0"/>
              <w:left w:val="single" w:color="auto" w:sz="4" w:space="0"/>
              <w:bottom w:val="single" w:color="auto" w:sz="4" w:space="0"/>
            </w:tcBorders>
            <w:vAlign w:val="center"/>
          </w:tcPr>
          <w:p w14:paraId="32E66E4B">
            <w:pPr>
              <w:spacing w:line="300" w:lineRule="exact"/>
              <w:jc w:val="center"/>
              <w:rPr>
                <w:rFonts w:ascii="Arial" w:hAnsi="Arial" w:eastAsia="宋体" w:cs="Arial"/>
                <w:color w:val="auto"/>
                <w:highlight w:val="none"/>
              </w:rPr>
            </w:pPr>
            <w:r>
              <w:rPr>
                <w:rFonts w:ascii="Arial" w:hAnsi="Arial" w:eastAsia="宋体" w:cs="Arial"/>
                <w:color w:val="auto"/>
                <w:highlight w:val="none"/>
              </w:rPr>
              <w:t>单项合计=数量×单价</w:t>
            </w:r>
          </w:p>
          <w:p w14:paraId="09225DD7">
            <w:pPr>
              <w:spacing w:line="300" w:lineRule="exact"/>
              <w:jc w:val="center"/>
              <w:rPr>
                <w:rFonts w:ascii="Arial" w:hAnsi="Arial" w:eastAsia="宋体" w:cs="Arial"/>
                <w:color w:val="auto"/>
                <w:highlight w:val="none"/>
              </w:rPr>
            </w:pPr>
            <w:r>
              <w:rPr>
                <w:rFonts w:ascii="Arial" w:hAnsi="Arial" w:eastAsia="宋体" w:cs="Arial"/>
                <w:color w:val="auto"/>
                <w:szCs w:val="21"/>
                <w:highlight w:val="none"/>
              </w:rPr>
              <w:t>③＝①×②</w:t>
            </w:r>
          </w:p>
        </w:tc>
      </w:tr>
      <w:tr w14:paraId="60A36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5DF86472">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1359" w:type="dxa"/>
            <w:tcBorders>
              <w:top w:val="single" w:color="auto" w:sz="4" w:space="0"/>
              <w:left w:val="single" w:color="auto" w:sz="4" w:space="0"/>
              <w:bottom w:val="single" w:color="auto" w:sz="4" w:space="0"/>
              <w:right w:val="single" w:color="auto" w:sz="4" w:space="0"/>
            </w:tcBorders>
            <w:vAlign w:val="center"/>
          </w:tcPr>
          <w:p w14:paraId="15218885">
            <w:pPr>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6D0FB86C">
            <w:pPr>
              <w:spacing w:line="360"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396816EB">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45F41FD9">
            <w:pPr>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4F0070C1">
            <w:pPr>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72CF7E01">
            <w:pPr>
              <w:spacing w:line="300" w:lineRule="exact"/>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213FA2BC">
            <w:pPr>
              <w:spacing w:line="300" w:lineRule="exact"/>
              <w:jc w:val="center"/>
              <w:rPr>
                <w:rFonts w:ascii="Arial" w:hAnsi="Arial" w:eastAsia="宋体" w:cs="Arial"/>
                <w:b/>
                <w:bCs/>
                <w:color w:val="auto"/>
                <w:highlight w:val="none"/>
              </w:rPr>
            </w:pPr>
          </w:p>
        </w:tc>
      </w:tr>
      <w:tr w14:paraId="75EC6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2EFBFEBD">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1359" w:type="dxa"/>
            <w:tcBorders>
              <w:top w:val="single" w:color="auto" w:sz="4" w:space="0"/>
              <w:left w:val="single" w:color="auto" w:sz="4" w:space="0"/>
              <w:bottom w:val="single" w:color="auto" w:sz="4" w:space="0"/>
              <w:right w:val="single" w:color="auto" w:sz="4" w:space="0"/>
            </w:tcBorders>
            <w:vAlign w:val="center"/>
          </w:tcPr>
          <w:p w14:paraId="451C328F">
            <w:pPr>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7EDB5027">
            <w:pPr>
              <w:spacing w:line="360"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50DAFE56">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097458EF">
            <w:pPr>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0CBB120D">
            <w:pPr>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1FA15C51">
            <w:pPr>
              <w:spacing w:line="300" w:lineRule="exact"/>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408A4738">
            <w:pPr>
              <w:spacing w:line="300" w:lineRule="exact"/>
              <w:jc w:val="center"/>
              <w:rPr>
                <w:rFonts w:ascii="Arial" w:hAnsi="Arial" w:eastAsia="宋体" w:cs="Arial"/>
                <w:b/>
                <w:bCs/>
                <w:color w:val="auto"/>
                <w:highlight w:val="none"/>
              </w:rPr>
            </w:pPr>
          </w:p>
        </w:tc>
      </w:tr>
      <w:tr w14:paraId="65C82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800" w:type="dxa"/>
            <w:tcBorders>
              <w:top w:val="single" w:color="auto" w:sz="4" w:space="0"/>
              <w:left w:val="single" w:color="auto" w:sz="4" w:space="0"/>
              <w:bottom w:val="single" w:color="auto" w:sz="4" w:space="0"/>
              <w:right w:val="single" w:color="auto" w:sz="4" w:space="0"/>
            </w:tcBorders>
            <w:vAlign w:val="center"/>
          </w:tcPr>
          <w:p w14:paraId="07C44FAD">
            <w:pPr>
              <w:spacing w:line="4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1359" w:type="dxa"/>
            <w:tcBorders>
              <w:top w:val="single" w:color="auto" w:sz="4" w:space="0"/>
              <w:left w:val="single" w:color="auto" w:sz="4" w:space="0"/>
              <w:bottom w:val="single" w:color="auto" w:sz="4" w:space="0"/>
              <w:right w:val="single" w:color="auto" w:sz="4" w:space="0"/>
            </w:tcBorders>
            <w:vAlign w:val="center"/>
          </w:tcPr>
          <w:p w14:paraId="7E367E5F">
            <w:pPr>
              <w:jc w:val="center"/>
              <w:rPr>
                <w:rFonts w:ascii="Arial" w:hAnsi="Arial" w:eastAsia="宋体" w:cs="Arial"/>
                <w:color w:val="auto"/>
                <w:szCs w:val="21"/>
                <w:highlight w:val="none"/>
              </w:rPr>
            </w:pPr>
          </w:p>
        </w:tc>
        <w:tc>
          <w:tcPr>
            <w:tcW w:w="1900" w:type="dxa"/>
            <w:tcBorders>
              <w:top w:val="single" w:color="auto" w:sz="4" w:space="0"/>
              <w:left w:val="single" w:color="auto" w:sz="4" w:space="0"/>
              <w:bottom w:val="single" w:color="auto" w:sz="4" w:space="0"/>
              <w:right w:val="single" w:color="auto" w:sz="4" w:space="0"/>
            </w:tcBorders>
            <w:vAlign w:val="center"/>
          </w:tcPr>
          <w:p w14:paraId="7767287D">
            <w:pPr>
              <w:spacing w:line="360" w:lineRule="auto"/>
              <w:rPr>
                <w:rFonts w:ascii="Arial" w:hAnsi="Arial" w:eastAsia="宋体" w:cs="Arial"/>
                <w:color w:val="auto"/>
                <w:szCs w:val="21"/>
                <w:highlight w:val="none"/>
              </w:rPr>
            </w:pPr>
          </w:p>
        </w:tc>
        <w:tc>
          <w:tcPr>
            <w:tcW w:w="2120" w:type="dxa"/>
            <w:tcBorders>
              <w:top w:val="single" w:color="auto" w:sz="4" w:space="0"/>
              <w:left w:val="single" w:color="auto" w:sz="4" w:space="0"/>
              <w:bottom w:val="single" w:color="auto" w:sz="4" w:space="0"/>
              <w:right w:val="single" w:color="auto" w:sz="4" w:space="0"/>
            </w:tcBorders>
            <w:vAlign w:val="center"/>
          </w:tcPr>
          <w:p w14:paraId="53C7E0E5">
            <w:pPr>
              <w:jc w:val="center"/>
              <w:rPr>
                <w:rFonts w:ascii="Arial" w:hAnsi="Arial" w:eastAsia="宋体" w:cs="Arial"/>
                <w:color w:val="auto"/>
                <w:szCs w:val="21"/>
                <w:highlight w:val="none"/>
              </w:rPr>
            </w:pPr>
          </w:p>
        </w:tc>
        <w:tc>
          <w:tcPr>
            <w:tcW w:w="910" w:type="dxa"/>
            <w:tcBorders>
              <w:top w:val="single" w:color="auto" w:sz="4" w:space="0"/>
              <w:left w:val="single" w:color="auto" w:sz="4" w:space="0"/>
              <w:bottom w:val="single" w:color="auto" w:sz="4" w:space="0"/>
              <w:right w:val="single" w:color="auto" w:sz="4" w:space="0"/>
            </w:tcBorders>
            <w:vAlign w:val="center"/>
          </w:tcPr>
          <w:p w14:paraId="67DC340F">
            <w:pPr>
              <w:jc w:val="center"/>
              <w:rPr>
                <w:rFonts w:ascii="Arial" w:hAnsi="Arial" w:eastAsia="宋体" w:cs="Arial"/>
                <w:color w:val="auto"/>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14:paraId="596694A6">
            <w:pPr>
              <w:jc w:val="center"/>
              <w:rPr>
                <w:rFonts w:ascii="Arial" w:hAnsi="Arial" w:eastAsia="宋体" w:cs="Arial"/>
                <w:color w:val="auto"/>
                <w:szCs w:val="21"/>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5DF2F1CB">
            <w:pPr>
              <w:spacing w:line="300" w:lineRule="exact"/>
              <w:jc w:val="center"/>
              <w:rPr>
                <w:rFonts w:ascii="Arial" w:hAnsi="Arial" w:eastAsia="宋体" w:cs="Arial"/>
                <w:b/>
                <w:bCs/>
                <w:color w:val="auto"/>
                <w:highlight w:val="none"/>
              </w:rPr>
            </w:pPr>
          </w:p>
        </w:tc>
        <w:tc>
          <w:tcPr>
            <w:tcW w:w="1370" w:type="dxa"/>
            <w:tcBorders>
              <w:top w:val="single" w:color="auto" w:sz="4" w:space="0"/>
              <w:left w:val="single" w:color="auto" w:sz="4" w:space="0"/>
              <w:bottom w:val="single" w:color="auto" w:sz="4" w:space="0"/>
            </w:tcBorders>
            <w:vAlign w:val="center"/>
          </w:tcPr>
          <w:p w14:paraId="1B8649BE">
            <w:pPr>
              <w:spacing w:line="300" w:lineRule="exact"/>
              <w:jc w:val="center"/>
              <w:rPr>
                <w:rFonts w:ascii="Arial" w:hAnsi="Arial" w:eastAsia="宋体" w:cs="Arial"/>
                <w:b/>
                <w:bCs/>
                <w:color w:val="auto"/>
                <w:highlight w:val="none"/>
              </w:rPr>
            </w:pPr>
          </w:p>
        </w:tc>
      </w:tr>
      <w:tr w14:paraId="16E82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109" w:type="dxa"/>
            <w:gridSpan w:val="7"/>
            <w:tcBorders>
              <w:top w:val="single" w:color="auto" w:sz="4" w:space="0"/>
              <w:left w:val="single" w:color="auto" w:sz="4" w:space="0"/>
              <w:right w:val="single" w:color="auto" w:sz="4" w:space="0"/>
            </w:tcBorders>
            <w:vAlign w:val="center"/>
          </w:tcPr>
          <w:p w14:paraId="69F0B21E">
            <w:pPr>
              <w:spacing w:line="300" w:lineRule="exact"/>
              <w:ind w:right="315"/>
              <w:jc w:val="right"/>
              <w:rPr>
                <w:rFonts w:ascii="Arial" w:hAnsi="Arial" w:eastAsia="宋体" w:cs="Arial"/>
                <w:bCs/>
                <w:color w:val="auto"/>
                <w:highlight w:val="none"/>
              </w:rPr>
            </w:pPr>
            <w:r>
              <w:rPr>
                <w:rFonts w:ascii="Arial" w:hAnsi="Arial" w:eastAsia="宋体" w:cs="Arial"/>
                <w:bCs/>
                <w:color w:val="auto"/>
                <w:highlight w:val="none"/>
              </w:rPr>
              <w:t>合计金额</w:t>
            </w:r>
          </w:p>
        </w:tc>
        <w:tc>
          <w:tcPr>
            <w:tcW w:w="1370" w:type="dxa"/>
            <w:tcBorders>
              <w:top w:val="single" w:color="auto" w:sz="4" w:space="0"/>
              <w:left w:val="single" w:color="auto" w:sz="4" w:space="0"/>
              <w:bottom w:val="single" w:color="auto" w:sz="4" w:space="0"/>
            </w:tcBorders>
            <w:vAlign w:val="center"/>
          </w:tcPr>
          <w:p w14:paraId="13AD6AA5">
            <w:pPr>
              <w:spacing w:line="300" w:lineRule="exact"/>
              <w:jc w:val="center"/>
              <w:rPr>
                <w:rFonts w:ascii="Arial" w:hAnsi="Arial" w:eastAsia="宋体" w:cs="Arial"/>
                <w:b/>
                <w:bCs/>
                <w:color w:val="auto"/>
                <w:highlight w:val="none"/>
              </w:rPr>
            </w:pPr>
          </w:p>
        </w:tc>
      </w:tr>
      <w:tr w14:paraId="7C7AE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2B9FDAC1">
            <w:pPr>
              <w:spacing w:line="300" w:lineRule="exact"/>
              <w:rPr>
                <w:rFonts w:ascii="Arial" w:hAnsi="Arial" w:eastAsia="宋体" w:cs="Arial"/>
                <w:b/>
                <w:bCs/>
                <w:color w:val="auto"/>
                <w:highlight w:val="none"/>
              </w:rPr>
            </w:pPr>
            <w:r>
              <w:rPr>
                <w:rFonts w:ascii="Arial" w:hAnsi="Arial" w:eastAsia="宋体" w:cs="Arial"/>
                <w:color w:val="auto"/>
                <w:spacing w:val="-6"/>
                <w:highlight w:val="none"/>
              </w:rPr>
              <w:t>谈判</w:t>
            </w:r>
            <w:r>
              <w:rPr>
                <w:rFonts w:hint="eastAsia" w:ascii="Arial" w:hAnsi="Arial" w:eastAsia="宋体" w:cs="Arial"/>
                <w:color w:val="auto"/>
                <w:spacing w:val="-6"/>
                <w:highlight w:val="none"/>
              </w:rPr>
              <w:t>总</w:t>
            </w:r>
            <w:r>
              <w:rPr>
                <w:rFonts w:ascii="Arial" w:hAnsi="Arial" w:eastAsia="宋体" w:cs="Arial"/>
                <w:color w:val="auto"/>
                <w:spacing w:val="-6"/>
                <w:highlight w:val="none"/>
              </w:rPr>
              <w:t>报价（大写）：                                           元人民币（￥                      ）</w:t>
            </w:r>
          </w:p>
        </w:tc>
      </w:tr>
      <w:tr w14:paraId="11FE5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6B0D5FEB">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交付时间及地点:</w:t>
            </w:r>
          </w:p>
        </w:tc>
      </w:tr>
      <w:tr w14:paraId="3B9B8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74D01A41">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本项目响应有效期为响应文件递交截止时间之日起90天。</w:t>
            </w:r>
          </w:p>
        </w:tc>
      </w:tr>
      <w:tr w14:paraId="313C6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0479" w:type="dxa"/>
            <w:gridSpan w:val="8"/>
            <w:tcBorders>
              <w:top w:val="single" w:color="auto" w:sz="4" w:space="0"/>
              <w:left w:val="single" w:color="auto" w:sz="4" w:space="0"/>
              <w:bottom w:val="single" w:color="auto" w:sz="4" w:space="0"/>
            </w:tcBorders>
            <w:vAlign w:val="center"/>
          </w:tcPr>
          <w:p w14:paraId="3A09D5D0">
            <w:pPr>
              <w:spacing w:line="300" w:lineRule="exact"/>
              <w:rPr>
                <w:rFonts w:ascii="Arial" w:hAnsi="Arial" w:eastAsia="宋体" w:cs="Arial"/>
                <w:color w:val="auto"/>
                <w:spacing w:val="-6"/>
                <w:highlight w:val="none"/>
              </w:rPr>
            </w:pPr>
            <w:r>
              <w:rPr>
                <w:rFonts w:ascii="Arial" w:hAnsi="Arial" w:eastAsia="宋体" w:cs="Arial"/>
                <w:color w:val="auto"/>
                <w:spacing w:val="-6"/>
                <w:highlight w:val="none"/>
              </w:rPr>
              <w:t>质保期：</w:t>
            </w:r>
          </w:p>
        </w:tc>
      </w:tr>
      <w:tr w14:paraId="60A39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0479" w:type="dxa"/>
            <w:gridSpan w:val="8"/>
            <w:tcBorders>
              <w:top w:val="single" w:color="auto" w:sz="4" w:space="0"/>
              <w:left w:val="single" w:color="auto" w:sz="4" w:space="0"/>
              <w:bottom w:val="single" w:color="auto" w:sz="4" w:space="0"/>
            </w:tcBorders>
            <w:vAlign w:val="center"/>
          </w:tcPr>
          <w:p w14:paraId="026D280D">
            <w:pPr>
              <w:spacing w:line="340" w:lineRule="exact"/>
              <w:rPr>
                <w:rFonts w:ascii="Arial" w:hAnsi="Arial" w:eastAsia="宋体" w:cs="Arial"/>
                <w:b/>
                <w:bCs/>
                <w:color w:val="auto"/>
                <w:highlight w:val="none"/>
              </w:rPr>
            </w:pPr>
            <w:r>
              <w:rPr>
                <w:rFonts w:ascii="Arial" w:hAnsi="Arial" w:eastAsia="宋体" w:cs="Arial"/>
                <w:color w:val="auto"/>
                <w:highlight w:val="none"/>
              </w:rPr>
              <w:t>说明：谈判报价指</w:t>
            </w:r>
            <w:r>
              <w:rPr>
                <w:rFonts w:hint="eastAsia" w:ascii="Arial" w:hAnsi="Arial" w:eastAsia="宋体" w:cs="Arial"/>
                <w:color w:val="auto"/>
                <w:highlight w:val="none"/>
              </w:rPr>
              <w:t>本次采购范围内货物货款、货物标准附件、备品备件、专用工具、包装、运输、装卸、保险、税金、货到就位以及安装、安装所需辅材、调试、培训、保修和和采购文件要求提供的所有伴随服务、工程等费用和税费，</w:t>
            </w:r>
            <w:r>
              <w:rPr>
                <w:rFonts w:ascii="Arial" w:hAnsi="Arial" w:eastAsia="宋体" w:cs="Arial"/>
                <w:color w:val="auto"/>
                <w:szCs w:val="21"/>
                <w:highlight w:val="none"/>
              </w:rPr>
              <w:t>采购人不再支付任何费用；验收过程中所产生的一切费用均由成交供应商承担；报价时应考虑相关费用</w:t>
            </w:r>
            <w:r>
              <w:rPr>
                <w:rFonts w:ascii="Arial" w:hAnsi="Arial" w:eastAsia="宋体" w:cs="Arial"/>
                <w:color w:val="auto"/>
                <w:highlight w:val="none"/>
              </w:rPr>
              <w:t>。</w:t>
            </w:r>
          </w:p>
        </w:tc>
      </w:tr>
    </w:tbl>
    <w:p w14:paraId="23B7B52C">
      <w:pPr>
        <w:snapToGrid w:val="0"/>
        <w:spacing w:line="400" w:lineRule="exact"/>
        <w:jc w:val="left"/>
        <w:rPr>
          <w:rFonts w:ascii="Arial" w:hAnsi="Arial" w:eastAsia="宋体" w:cs="Arial"/>
          <w:color w:val="auto"/>
          <w:highlight w:val="none"/>
        </w:rPr>
      </w:pPr>
    </w:p>
    <w:p w14:paraId="0D16CD77">
      <w:pPr>
        <w:snapToGrid w:val="0"/>
        <w:spacing w:line="400" w:lineRule="exact"/>
        <w:jc w:val="left"/>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1DC9A424">
      <w:pPr>
        <w:pStyle w:val="14"/>
        <w:spacing w:line="400" w:lineRule="exact"/>
        <w:jc w:val="left"/>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02F3167E">
      <w:pPr>
        <w:pStyle w:val="14"/>
        <w:spacing w:line="340" w:lineRule="exact"/>
        <w:jc w:val="left"/>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1BF283FB">
      <w:pPr>
        <w:spacing w:line="340" w:lineRule="exact"/>
        <w:jc w:val="left"/>
        <w:rPr>
          <w:rFonts w:ascii="Arial" w:hAnsi="Arial" w:eastAsia="宋体" w:cs="Arial"/>
          <w:color w:val="auto"/>
          <w:highlight w:val="none"/>
        </w:rPr>
      </w:pPr>
    </w:p>
    <w:p w14:paraId="374AA89E">
      <w:pPr>
        <w:tabs>
          <w:tab w:val="left" w:pos="1305"/>
        </w:tabs>
        <w:spacing w:line="360" w:lineRule="exact"/>
        <w:ind w:left="625" w:leftChars="98" w:hanging="420" w:hangingChars="200"/>
        <w:rPr>
          <w:rFonts w:ascii="Arial" w:hAnsi="Arial" w:eastAsia="宋体" w:cs="Arial"/>
          <w:bCs/>
          <w:color w:val="auto"/>
          <w:szCs w:val="21"/>
          <w:highlight w:val="none"/>
        </w:rPr>
      </w:pPr>
      <w:r>
        <w:rPr>
          <w:rFonts w:ascii="Arial" w:hAnsi="Arial" w:eastAsia="宋体" w:cs="Arial"/>
          <w:bCs/>
          <w:color w:val="auto"/>
          <w:szCs w:val="21"/>
          <w:highlight w:val="none"/>
        </w:rPr>
        <w:t>注</w:t>
      </w:r>
      <w:r>
        <w:rPr>
          <w:rFonts w:ascii="Arial" w:hAnsi="Arial" w:eastAsia="宋体" w:cs="Arial"/>
          <w:b/>
          <w:bCs/>
          <w:color w:val="auto"/>
          <w:szCs w:val="21"/>
          <w:highlight w:val="none"/>
        </w:rPr>
        <w:t>：</w:t>
      </w:r>
      <w:r>
        <w:rPr>
          <w:rFonts w:ascii="Arial" w:hAnsi="Arial" w:eastAsia="宋体" w:cs="Arial"/>
          <w:bCs/>
          <w:color w:val="auto"/>
          <w:szCs w:val="21"/>
          <w:highlight w:val="none"/>
        </w:rPr>
        <w:t>1.</w:t>
      </w:r>
      <w:r>
        <w:rPr>
          <w:rFonts w:ascii="Arial" w:hAnsi="Arial" w:eastAsia="宋体" w:cs="Arial"/>
          <w:color w:val="auto"/>
          <w:szCs w:val="21"/>
          <w:highlight w:val="none"/>
        </w:rPr>
        <w:t>供应商必须就“项目采购需求”中的所有内容作完整唯一报价，否则，其响应将被拒绝。</w:t>
      </w:r>
    </w:p>
    <w:p w14:paraId="5655D21D">
      <w:pPr>
        <w:pStyle w:val="14"/>
        <w:spacing w:line="360" w:lineRule="exact"/>
        <w:ind w:firstLine="630" w:firstLineChars="300"/>
        <w:rPr>
          <w:rFonts w:ascii="Arial" w:hAnsi="Arial" w:eastAsia="宋体" w:cs="Arial"/>
          <w:color w:val="auto"/>
          <w:highlight w:val="none"/>
        </w:rPr>
      </w:pPr>
      <w:r>
        <w:rPr>
          <w:rFonts w:ascii="Arial" w:hAnsi="Arial" w:eastAsia="宋体" w:cs="Arial"/>
          <w:color w:val="auto"/>
          <w:highlight w:val="none"/>
        </w:rPr>
        <w:t>2.</w:t>
      </w:r>
      <w:r>
        <w:rPr>
          <w:rFonts w:ascii="Arial" w:hAnsi="Arial" w:eastAsia="宋体" w:cs="Arial"/>
          <w:color w:val="auto"/>
          <w:szCs w:val="21"/>
          <w:highlight w:val="none"/>
        </w:rPr>
        <w:t>供应商</w:t>
      </w:r>
      <w:r>
        <w:rPr>
          <w:rFonts w:ascii="Arial" w:hAnsi="Arial" w:eastAsia="宋体" w:cs="Arial"/>
          <w:color w:val="auto"/>
          <w:highlight w:val="none"/>
        </w:rPr>
        <w:t>应根据所提供的货物如实填写</w:t>
      </w:r>
      <w:r>
        <w:rPr>
          <w:rFonts w:ascii="Arial" w:hAnsi="Arial" w:eastAsia="宋体" w:cs="Arial"/>
          <w:color w:val="auto"/>
          <w:szCs w:val="21"/>
          <w:highlight w:val="none"/>
        </w:rPr>
        <w:t>谈判</w:t>
      </w:r>
      <w:r>
        <w:rPr>
          <w:rFonts w:ascii="Arial" w:hAnsi="Arial" w:eastAsia="宋体" w:cs="Arial"/>
          <w:color w:val="auto"/>
          <w:highlight w:val="none"/>
        </w:rPr>
        <w:t>报价表</w:t>
      </w:r>
      <w:r>
        <w:rPr>
          <w:rFonts w:ascii="Arial" w:hAnsi="Arial" w:eastAsia="宋体" w:cs="Arial"/>
          <w:bCs/>
          <w:color w:val="auto"/>
          <w:szCs w:val="21"/>
          <w:highlight w:val="none"/>
        </w:rPr>
        <w:t>的各项内容，否则，响应文件无效。</w:t>
      </w:r>
    </w:p>
    <w:p w14:paraId="22E67E30">
      <w:pPr>
        <w:spacing w:line="360" w:lineRule="exact"/>
        <w:ind w:left="630" w:leftChars="300"/>
        <w:rPr>
          <w:rFonts w:ascii="Arial" w:hAnsi="Arial" w:eastAsia="宋体" w:cs="Arial"/>
          <w:bCs/>
          <w:color w:val="auto"/>
          <w:szCs w:val="21"/>
          <w:highlight w:val="none"/>
        </w:rPr>
      </w:pPr>
      <w:r>
        <w:rPr>
          <w:rFonts w:ascii="Arial" w:hAnsi="Arial" w:eastAsia="宋体" w:cs="Arial"/>
          <w:bCs/>
          <w:color w:val="auto"/>
          <w:szCs w:val="21"/>
          <w:highlight w:val="none"/>
        </w:rPr>
        <w:t>3.</w:t>
      </w:r>
      <w:r>
        <w:rPr>
          <w:rFonts w:ascii="Arial" w:hAnsi="Arial" w:eastAsia="宋体" w:cs="Arial"/>
          <w:color w:val="auto"/>
          <w:szCs w:val="21"/>
          <w:highlight w:val="none"/>
        </w:rPr>
        <w:t>谈判</w:t>
      </w:r>
      <w:r>
        <w:rPr>
          <w:rFonts w:ascii="Arial" w:hAnsi="Arial" w:eastAsia="宋体" w:cs="Arial"/>
          <w:bCs/>
          <w:color w:val="auto"/>
          <w:szCs w:val="21"/>
          <w:highlight w:val="none"/>
        </w:rPr>
        <w:t>报价表须由法定代表人（负责人)</w:t>
      </w:r>
      <w:r>
        <w:rPr>
          <w:rFonts w:ascii="Arial" w:hAnsi="Arial" w:eastAsia="宋体" w:cs="Arial"/>
          <w:color w:val="auto"/>
          <w:highlight w:val="none"/>
        </w:rPr>
        <w:t>或相应的委托代理人签字并加盖供应商公章。当本表由多页构成时，需逐页加盖供应商公章。</w:t>
      </w:r>
    </w:p>
    <w:p w14:paraId="294DA436">
      <w:pPr>
        <w:spacing w:line="360" w:lineRule="exact"/>
        <w:rPr>
          <w:rFonts w:ascii="Arial" w:hAnsi="Arial" w:eastAsia="宋体" w:cs="Arial"/>
          <w:color w:val="auto"/>
          <w:highlight w:val="none"/>
        </w:rPr>
        <w:sectPr>
          <w:pgSz w:w="11906" w:h="16838"/>
          <w:pgMar w:top="1440" w:right="935" w:bottom="1440" w:left="779" w:header="851" w:footer="992" w:gutter="0"/>
          <w:cols w:space="720" w:num="1"/>
          <w:docGrid w:type="linesAndChars" w:linePitch="312" w:charSpace="0"/>
        </w:sectPr>
      </w:pPr>
    </w:p>
    <w:p w14:paraId="74E85BB1">
      <w:pPr>
        <w:pStyle w:val="14"/>
        <w:spacing w:line="340" w:lineRule="exact"/>
        <w:rPr>
          <w:rFonts w:ascii="Arial" w:hAnsi="Arial" w:eastAsia="宋体" w:cs="Arial"/>
          <w:b/>
          <w:color w:val="auto"/>
          <w:sz w:val="28"/>
          <w:szCs w:val="28"/>
          <w:highlight w:val="none"/>
        </w:rPr>
      </w:pPr>
      <w:bookmarkStart w:id="36" w:name="_Toc20974"/>
      <w:bookmarkStart w:id="37" w:name="_Toc4669"/>
      <w:bookmarkStart w:id="38" w:name="_Toc31146"/>
      <w:r>
        <w:rPr>
          <w:rFonts w:ascii="Arial" w:hAnsi="Arial" w:eastAsia="宋体" w:cs="Arial"/>
          <w:b/>
          <w:color w:val="auto"/>
          <w:sz w:val="28"/>
          <w:szCs w:val="28"/>
          <w:highlight w:val="none"/>
        </w:rPr>
        <w:t>2.技术响应表（必须提供）</w:t>
      </w:r>
      <w:bookmarkEnd w:id="36"/>
      <w:bookmarkEnd w:id="37"/>
      <w:bookmarkEnd w:id="38"/>
    </w:p>
    <w:p w14:paraId="6F372766">
      <w:pPr>
        <w:pStyle w:val="14"/>
        <w:ind w:firstLine="472" w:firstLineChars="147"/>
        <w:rPr>
          <w:rFonts w:ascii="Arial" w:hAnsi="Arial" w:eastAsia="宋体" w:cs="Arial"/>
          <w:b/>
          <w:color w:val="auto"/>
          <w:sz w:val="24"/>
          <w:szCs w:val="24"/>
          <w:highlight w:val="none"/>
        </w:rPr>
      </w:pPr>
      <w:bookmarkStart w:id="39" w:name="_Toc23422"/>
      <w:bookmarkStart w:id="40" w:name="_Toc19638"/>
      <w:bookmarkStart w:id="41" w:name="_Toc7329"/>
      <w:r>
        <w:rPr>
          <w:rFonts w:ascii="Arial" w:hAnsi="Arial" w:eastAsia="宋体" w:cs="Arial"/>
          <w:b/>
          <w:bCs/>
          <w:color w:val="auto"/>
          <w:sz w:val="32"/>
          <w:szCs w:val="32"/>
          <w:highlight w:val="none"/>
        </w:rPr>
        <w:t>附件：</w:t>
      </w:r>
      <w:bookmarkEnd w:id="39"/>
      <w:bookmarkEnd w:id="40"/>
      <w:bookmarkEnd w:id="41"/>
      <w:r>
        <w:rPr>
          <w:rFonts w:ascii="Arial" w:hAnsi="Arial" w:eastAsia="宋体" w:cs="Arial"/>
          <w:b/>
          <w:bCs/>
          <w:color w:val="auto"/>
          <w:sz w:val="32"/>
          <w:szCs w:val="32"/>
          <w:highlight w:val="none"/>
        </w:rPr>
        <w:t xml:space="preserve"> </w:t>
      </w:r>
      <w:r>
        <w:rPr>
          <w:rFonts w:ascii="Arial" w:hAnsi="Arial" w:eastAsia="宋体" w:cs="Arial"/>
          <w:b/>
          <w:color w:val="auto"/>
          <w:sz w:val="24"/>
          <w:szCs w:val="24"/>
          <w:highlight w:val="none"/>
        </w:rPr>
        <w:t xml:space="preserve">           </w:t>
      </w:r>
    </w:p>
    <w:p w14:paraId="41FB2C02">
      <w:pPr>
        <w:pStyle w:val="14"/>
        <w:ind w:firstLine="472" w:firstLineChars="147"/>
        <w:jc w:val="center"/>
        <w:rPr>
          <w:rFonts w:ascii="Arial" w:hAnsi="Arial" w:eastAsia="宋体" w:cs="Arial"/>
          <w:b/>
          <w:bCs/>
          <w:color w:val="auto"/>
          <w:sz w:val="32"/>
          <w:highlight w:val="none"/>
        </w:rPr>
      </w:pPr>
      <w:r>
        <w:rPr>
          <w:rFonts w:ascii="Arial" w:hAnsi="Arial" w:eastAsia="宋体" w:cs="Arial"/>
          <w:b/>
          <w:bCs/>
          <w:color w:val="auto"/>
          <w:sz w:val="32"/>
          <w:highlight w:val="none"/>
        </w:rPr>
        <w:t>技术响应表（格式）</w:t>
      </w:r>
    </w:p>
    <w:tbl>
      <w:tblPr>
        <w:tblStyle w:val="2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79"/>
        <w:gridCol w:w="2326"/>
        <w:gridCol w:w="1771"/>
        <w:gridCol w:w="2014"/>
      </w:tblGrid>
      <w:tr w14:paraId="28E1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35" w:type="dxa"/>
            <w:vAlign w:val="center"/>
          </w:tcPr>
          <w:p w14:paraId="1960D4B8">
            <w:pPr>
              <w:pStyle w:val="14"/>
              <w:spacing w:line="400" w:lineRule="exact"/>
              <w:jc w:val="center"/>
              <w:rPr>
                <w:rFonts w:ascii="Arial" w:hAnsi="Arial" w:eastAsia="宋体" w:cs="Arial"/>
                <w:color w:val="auto"/>
                <w:highlight w:val="none"/>
              </w:rPr>
            </w:pPr>
            <w:r>
              <w:rPr>
                <w:rFonts w:ascii="Arial" w:hAnsi="Arial" w:eastAsia="宋体" w:cs="Arial"/>
                <w:color w:val="auto"/>
                <w:highlight w:val="none"/>
              </w:rPr>
              <w:t>项号</w:t>
            </w:r>
          </w:p>
        </w:tc>
        <w:tc>
          <w:tcPr>
            <w:tcW w:w="2079" w:type="dxa"/>
            <w:vAlign w:val="center"/>
          </w:tcPr>
          <w:p w14:paraId="0F4E3400">
            <w:pPr>
              <w:pStyle w:val="14"/>
              <w:spacing w:line="400" w:lineRule="exact"/>
              <w:jc w:val="center"/>
              <w:rPr>
                <w:rFonts w:ascii="Arial" w:hAnsi="Arial" w:eastAsia="宋体" w:cs="Arial"/>
                <w:color w:val="auto"/>
                <w:highlight w:val="none"/>
              </w:rPr>
            </w:pPr>
            <w:r>
              <w:rPr>
                <w:rFonts w:ascii="Arial" w:hAnsi="Arial" w:eastAsia="宋体" w:cs="Arial"/>
                <w:color w:val="auto"/>
                <w:highlight w:val="none"/>
              </w:rPr>
              <w:t>货物服务名称</w:t>
            </w:r>
          </w:p>
        </w:tc>
        <w:tc>
          <w:tcPr>
            <w:tcW w:w="2326" w:type="dxa"/>
            <w:vAlign w:val="center"/>
          </w:tcPr>
          <w:p w14:paraId="0B839765">
            <w:pPr>
              <w:pStyle w:val="14"/>
              <w:spacing w:line="400" w:lineRule="exact"/>
              <w:jc w:val="center"/>
              <w:rPr>
                <w:rFonts w:ascii="Arial" w:hAnsi="Arial" w:eastAsia="宋体" w:cs="Arial"/>
                <w:color w:val="auto"/>
                <w:highlight w:val="none"/>
              </w:rPr>
            </w:pPr>
            <w:r>
              <w:rPr>
                <w:rFonts w:ascii="Arial" w:hAnsi="Arial" w:eastAsia="宋体" w:cs="Arial"/>
                <w:color w:val="auto"/>
                <w:highlight w:val="none"/>
              </w:rPr>
              <w:t>项目要求及技术需求</w:t>
            </w:r>
          </w:p>
        </w:tc>
        <w:tc>
          <w:tcPr>
            <w:tcW w:w="1771" w:type="dxa"/>
            <w:vAlign w:val="center"/>
          </w:tcPr>
          <w:p w14:paraId="23587CA3">
            <w:pPr>
              <w:pStyle w:val="14"/>
              <w:spacing w:line="300" w:lineRule="exact"/>
              <w:jc w:val="center"/>
              <w:rPr>
                <w:rFonts w:ascii="Arial" w:hAnsi="Arial" w:eastAsia="宋体" w:cs="Arial"/>
                <w:color w:val="auto"/>
                <w:highlight w:val="none"/>
              </w:rPr>
            </w:pPr>
            <w:r>
              <w:rPr>
                <w:rFonts w:ascii="Arial" w:hAnsi="Arial" w:eastAsia="宋体" w:cs="Arial"/>
                <w:color w:val="auto"/>
                <w:szCs w:val="21"/>
                <w:highlight w:val="none"/>
              </w:rPr>
              <w:t>响应文件的响应情况</w:t>
            </w:r>
          </w:p>
        </w:tc>
        <w:tc>
          <w:tcPr>
            <w:tcW w:w="2014" w:type="dxa"/>
            <w:vAlign w:val="center"/>
          </w:tcPr>
          <w:p w14:paraId="59D4E3C3">
            <w:pPr>
              <w:pStyle w:val="14"/>
              <w:spacing w:line="400" w:lineRule="exact"/>
              <w:jc w:val="center"/>
              <w:rPr>
                <w:rFonts w:ascii="Arial" w:hAnsi="Arial" w:eastAsia="宋体" w:cs="Arial"/>
                <w:color w:val="auto"/>
                <w:highlight w:val="none"/>
              </w:rPr>
            </w:pPr>
            <w:bookmarkStart w:id="42" w:name="_Toc254970701"/>
            <w:bookmarkStart w:id="43" w:name="_Toc254970560"/>
            <w:r>
              <w:rPr>
                <w:rFonts w:ascii="Arial" w:hAnsi="Arial" w:eastAsia="宋体" w:cs="Arial"/>
                <w:color w:val="auto"/>
                <w:highlight w:val="none"/>
              </w:rPr>
              <w:t>偏离情况</w:t>
            </w:r>
            <w:bookmarkEnd w:id="42"/>
            <w:bookmarkEnd w:id="43"/>
            <w:r>
              <w:rPr>
                <w:rFonts w:ascii="Arial" w:hAnsi="Arial" w:eastAsia="宋体" w:cs="Arial"/>
                <w:color w:val="auto"/>
                <w:highlight w:val="none"/>
              </w:rPr>
              <w:t>说明</w:t>
            </w:r>
          </w:p>
        </w:tc>
      </w:tr>
      <w:tr w14:paraId="36DC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57C4F93B">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1</w:t>
            </w:r>
          </w:p>
        </w:tc>
        <w:tc>
          <w:tcPr>
            <w:tcW w:w="2079" w:type="dxa"/>
            <w:vAlign w:val="center"/>
          </w:tcPr>
          <w:p w14:paraId="247E97B1">
            <w:pPr>
              <w:jc w:val="center"/>
              <w:rPr>
                <w:rFonts w:ascii="Arial" w:hAnsi="Arial" w:eastAsia="宋体" w:cs="Arial"/>
                <w:color w:val="auto"/>
                <w:szCs w:val="21"/>
                <w:highlight w:val="none"/>
              </w:rPr>
            </w:pPr>
          </w:p>
        </w:tc>
        <w:tc>
          <w:tcPr>
            <w:tcW w:w="2326" w:type="dxa"/>
            <w:vAlign w:val="center"/>
          </w:tcPr>
          <w:p w14:paraId="3D442D78">
            <w:pPr>
              <w:rPr>
                <w:rFonts w:ascii="Arial" w:hAnsi="Arial" w:eastAsia="宋体" w:cs="Arial"/>
                <w:color w:val="auto"/>
                <w:highlight w:val="none"/>
              </w:rPr>
            </w:pPr>
          </w:p>
        </w:tc>
        <w:tc>
          <w:tcPr>
            <w:tcW w:w="1771" w:type="dxa"/>
          </w:tcPr>
          <w:p w14:paraId="12D88BE0">
            <w:pPr>
              <w:pStyle w:val="14"/>
              <w:spacing w:line="600" w:lineRule="exact"/>
              <w:jc w:val="center"/>
              <w:rPr>
                <w:rFonts w:ascii="Arial" w:hAnsi="Arial" w:eastAsia="宋体" w:cs="Arial"/>
                <w:color w:val="auto"/>
                <w:highlight w:val="none"/>
              </w:rPr>
            </w:pPr>
          </w:p>
        </w:tc>
        <w:tc>
          <w:tcPr>
            <w:tcW w:w="2014" w:type="dxa"/>
            <w:vAlign w:val="center"/>
          </w:tcPr>
          <w:p w14:paraId="10998837">
            <w:pPr>
              <w:pStyle w:val="14"/>
              <w:spacing w:line="600" w:lineRule="exact"/>
              <w:jc w:val="center"/>
              <w:rPr>
                <w:rFonts w:ascii="Arial" w:hAnsi="Arial" w:eastAsia="宋体" w:cs="Arial"/>
                <w:color w:val="auto"/>
                <w:highlight w:val="none"/>
              </w:rPr>
            </w:pPr>
          </w:p>
        </w:tc>
      </w:tr>
      <w:tr w14:paraId="7798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4F5666A2">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2</w:t>
            </w:r>
          </w:p>
        </w:tc>
        <w:tc>
          <w:tcPr>
            <w:tcW w:w="2079" w:type="dxa"/>
            <w:vAlign w:val="center"/>
          </w:tcPr>
          <w:p w14:paraId="3A949A8F">
            <w:pPr>
              <w:jc w:val="center"/>
              <w:rPr>
                <w:rFonts w:ascii="Arial" w:hAnsi="Arial" w:eastAsia="宋体" w:cs="Arial"/>
                <w:color w:val="auto"/>
                <w:szCs w:val="21"/>
                <w:highlight w:val="none"/>
              </w:rPr>
            </w:pPr>
          </w:p>
        </w:tc>
        <w:tc>
          <w:tcPr>
            <w:tcW w:w="2326" w:type="dxa"/>
            <w:vAlign w:val="center"/>
          </w:tcPr>
          <w:p w14:paraId="1CF70E21">
            <w:pPr>
              <w:rPr>
                <w:rFonts w:ascii="Arial" w:hAnsi="Arial" w:eastAsia="宋体" w:cs="Arial"/>
                <w:color w:val="auto"/>
                <w:highlight w:val="none"/>
              </w:rPr>
            </w:pPr>
          </w:p>
        </w:tc>
        <w:tc>
          <w:tcPr>
            <w:tcW w:w="1771" w:type="dxa"/>
          </w:tcPr>
          <w:p w14:paraId="35D4DBEF">
            <w:pPr>
              <w:pStyle w:val="14"/>
              <w:spacing w:line="600" w:lineRule="exact"/>
              <w:jc w:val="center"/>
              <w:rPr>
                <w:rFonts w:ascii="Arial" w:hAnsi="Arial" w:eastAsia="宋体" w:cs="Arial"/>
                <w:color w:val="auto"/>
                <w:highlight w:val="none"/>
              </w:rPr>
            </w:pPr>
          </w:p>
        </w:tc>
        <w:tc>
          <w:tcPr>
            <w:tcW w:w="2014" w:type="dxa"/>
            <w:vAlign w:val="center"/>
          </w:tcPr>
          <w:p w14:paraId="549C6BDC">
            <w:pPr>
              <w:pStyle w:val="14"/>
              <w:spacing w:line="600" w:lineRule="exact"/>
              <w:jc w:val="center"/>
              <w:rPr>
                <w:rFonts w:ascii="Arial" w:hAnsi="Arial" w:eastAsia="宋体" w:cs="Arial"/>
                <w:color w:val="auto"/>
                <w:highlight w:val="none"/>
              </w:rPr>
            </w:pPr>
          </w:p>
        </w:tc>
      </w:tr>
      <w:tr w14:paraId="3846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6B4AB413">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3</w:t>
            </w:r>
          </w:p>
        </w:tc>
        <w:tc>
          <w:tcPr>
            <w:tcW w:w="2079" w:type="dxa"/>
            <w:vAlign w:val="center"/>
          </w:tcPr>
          <w:p w14:paraId="0814C9FE">
            <w:pPr>
              <w:jc w:val="center"/>
              <w:rPr>
                <w:rFonts w:ascii="Arial" w:hAnsi="Arial" w:eastAsia="宋体" w:cs="Arial"/>
                <w:bCs/>
                <w:color w:val="auto"/>
                <w:szCs w:val="21"/>
                <w:highlight w:val="none"/>
              </w:rPr>
            </w:pPr>
          </w:p>
        </w:tc>
        <w:tc>
          <w:tcPr>
            <w:tcW w:w="2326" w:type="dxa"/>
            <w:vAlign w:val="center"/>
          </w:tcPr>
          <w:p w14:paraId="13EDBE87">
            <w:pPr>
              <w:rPr>
                <w:rFonts w:ascii="Arial" w:hAnsi="Arial" w:eastAsia="宋体" w:cs="Arial"/>
                <w:color w:val="auto"/>
                <w:highlight w:val="none"/>
              </w:rPr>
            </w:pPr>
          </w:p>
        </w:tc>
        <w:tc>
          <w:tcPr>
            <w:tcW w:w="1771" w:type="dxa"/>
          </w:tcPr>
          <w:p w14:paraId="6899356C">
            <w:pPr>
              <w:pStyle w:val="14"/>
              <w:spacing w:line="600" w:lineRule="exact"/>
              <w:jc w:val="center"/>
              <w:rPr>
                <w:rFonts w:ascii="Arial" w:hAnsi="Arial" w:eastAsia="宋体" w:cs="Arial"/>
                <w:color w:val="auto"/>
                <w:highlight w:val="none"/>
              </w:rPr>
            </w:pPr>
          </w:p>
        </w:tc>
        <w:tc>
          <w:tcPr>
            <w:tcW w:w="2014" w:type="dxa"/>
            <w:vAlign w:val="center"/>
          </w:tcPr>
          <w:p w14:paraId="3E9EF242">
            <w:pPr>
              <w:pStyle w:val="14"/>
              <w:spacing w:line="600" w:lineRule="exact"/>
              <w:jc w:val="center"/>
              <w:rPr>
                <w:rFonts w:ascii="Arial" w:hAnsi="Arial" w:eastAsia="宋体" w:cs="Arial"/>
                <w:color w:val="auto"/>
                <w:highlight w:val="none"/>
              </w:rPr>
            </w:pPr>
          </w:p>
        </w:tc>
      </w:tr>
      <w:tr w14:paraId="0B54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04661BCB">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vAlign w:val="center"/>
          </w:tcPr>
          <w:p w14:paraId="5A5CB3CC">
            <w:pPr>
              <w:jc w:val="center"/>
              <w:rPr>
                <w:rFonts w:ascii="Arial" w:hAnsi="Arial" w:eastAsia="宋体" w:cs="Arial"/>
                <w:bCs/>
                <w:color w:val="auto"/>
                <w:szCs w:val="21"/>
                <w:highlight w:val="none"/>
              </w:rPr>
            </w:pPr>
          </w:p>
        </w:tc>
        <w:tc>
          <w:tcPr>
            <w:tcW w:w="2326" w:type="dxa"/>
            <w:vAlign w:val="center"/>
          </w:tcPr>
          <w:p w14:paraId="3853CC32">
            <w:pPr>
              <w:rPr>
                <w:rFonts w:ascii="Arial" w:hAnsi="Arial" w:eastAsia="宋体" w:cs="Arial"/>
                <w:color w:val="auto"/>
                <w:highlight w:val="none"/>
              </w:rPr>
            </w:pPr>
          </w:p>
        </w:tc>
        <w:tc>
          <w:tcPr>
            <w:tcW w:w="1771" w:type="dxa"/>
          </w:tcPr>
          <w:p w14:paraId="59F364C2">
            <w:pPr>
              <w:pStyle w:val="14"/>
              <w:spacing w:line="600" w:lineRule="exact"/>
              <w:jc w:val="center"/>
              <w:rPr>
                <w:rFonts w:ascii="Arial" w:hAnsi="Arial" w:eastAsia="宋体" w:cs="Arial"/>
                <w:color w:val="auto"/>
                <w:highlight w:val="none"/>
              </w:rPr>
            </w:pPr>
          </w:p>
        </w:tc>
        <w:tc>
          <w:tcPr>
            <w:tcW w:w="2014" w:type="dxa"/>
            <w:vAlign w:val="center"/>
          </w:tcPr>
          <w:p w14:paraId="68664D60">
            <w:pPr>
              <w:pStyle w:val="14"/>
              <w:spacing w:line="600" w:lineRule="exact"/>
              <w:jc w:val="center"/>
              <w:rPr>
                <w:rFonts w:ascii="Arial" w:hAnsi="Arial" w:eastAsia="宋体" w:cs="Arial"/>
                <w:color w:val="auto"/>
                <w:highlight w:val="none"/>
              </w:rPr>
            </w:pPr>
          </w:p>
        </w:tc>
      </w:tr>
      <w:tr w14:paraId="20B7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35" w:type="dxa"/>
            <w:vAlign w:val="center"/>
          </w:tcPr>
          <w:p w14:paraId="7044C6E5">
            <w:pPr>
              <w:spacing w:line="340" w:lineRule="exact"/>
              <w:jc w:val="center"/>
              <w:rPr>
                <w:rFonts w:ascii="Arial" w:hAnsi="Arial" w:eastAsia="宋体" w:cs="Arial"/>
                <w:color w:val="auto"/>
                <w:szCs w:val="21"/>
                <w:highlight w:val="none"/>
              </w:rPr>
            </w:pPr>
            <w:r>
              <w:rPr>
                <w:rFonts w:ascii="Arial" w:hAnsi="Arial" w:eastAsia="宋体" w:cs="Arial"/>
                <w:color w:val="auto"/>
                <w:szCs w:val="21"/>
                <w:highlight w:val="none"/>
              </w:rPr>
              <w:t>...</w:t>
            </w:r>
          </w:p>
        </w:tc>
        <w:tc>
          <w:tcPr>
            <w:tcW w:w="2079" w:type="dxa"/>
            <w:vAlign w:val="center"/>
          </w:tcPr>
          <w:p w14:paraId="1E04CA95">
            <w:pPr>
              <w:jc w:val="center"/>
              <w:rPr>
                <w:rFonts w:ascii="Arial" w:hAnsi="Arial" w:eastAsia="宋体" w:cs="Arial"/>
                <w:bCs/>
                <w:color w:val="auto"/>
                <w:szCs w:val="21"/>
                <w:highlight w:val="none"/>
              </w:rPr>
            </w:pPr>
          </w:p>
        </w:tc>
        <w:tc>
          <w:tcPr>
            <w:tcW w:w="2326" w:type="dxa"/>
            <w:vAlign w:val="center"/>
          </w:tcPr>
          <w:p w14:paraId="5FF621D6">
            <w:pPr>
              <w:rPr>
                <w:rFonts w:ascii="Arial" w:hAnsi="Arial" w:eastAsia="宋体" w:cs="Arial"/>
                <w:color w:val="auto"/>
                <w:highlight w:val="none"/>
              </w:rPr>
            </w:pPr>
          </w:p>
        </w:tc>
        <w:tc>
          <w:tcPr>
            <w:tcW w:w="1771" w:type="dxa"/>
          </w:tcPr>
          <w:p w14:paraId="5F228383">
            <w:pPr>
              <w:pStyle w:val="14"/>
              <w:spacing w:line="600" w:lineRule="exact"/>
              <w:jc w:val="center"/>
              <w:rPr>
                <w:rFonts w:ascii="Arial" w:hAnsi="Arial" w:eastAsia="宋体" w:cs="Arial"/>
                <w:color w:val="auto"/>
                <w:highlight w:val="none"/>
              </w:rPr>
            </w:pPr>
          </w:p>
        </w:tc>
        <w:tc>
          <w:tcPr>
            <w:tcW w:w="2014" w:type="dxa"/>
            <w:vAlign w:val="center"/>
          </w:tcPr>
          <w:p w14:paraId="4EF37B4F">
            <w:pPr>
              <w:pStyle w:val="14"/>
              <w:spacing w:line="600" w:lineRule="exact"/>
              <w:jc w:val="center"/>
              <w:rPr>
                <w:rFonts w:ascii="Arial" w:hAnsi="Arial" w:eastAsia="宋体" w:cs="Arial"/>
                <w:color w:val="auto"/>
                <w:highlight w:val="none"/>
              </w:rPr>
            </w:pPr>
          </w:p>
        </w:tc>
      </w:tr>
    </w:tbl>
    <w:p w14:paraId="42283E74">
      <w:pPr>
        <w:pStyle w:val="14"/>
        <w:rPr>
          <w:rFonts w:ascii="Arial" w:hAnsi="Arial" w:eastAsia="宋体" w:cs="Arial"/>
          <w:color w:val="auto"/>
          <w:highlight w:val="none"/>
          <w:u w:val="single"/>
        </w:rPr>
      </w:pPr>
    </w:p>
    <w:p w14:paraId="7555B4CF">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5529EFA1">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3D38A146">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76AF980D">
      <w:pPr>
        <w:pStyle w:val="14"/>
        <w:spacing w:line="360" w:lineRule="exact"/>
        <w:ind w:left="420" w:hanging="420" w:hangingChars="200"/>
        <w:rPr>
          <w:rFonts w:ascii="Arial" w:hAnsi="Arial" w:eastAsia="宋体" w:cs="Arial"/>
          <w:bCs/>
          <w:color w:val="auto"/>
          <w:szCs w:val="21"/>
          <w:highlight w:val="none"/>
        </w:rPr>
      </w:pPr>
    </w:p>
    <w:p w14:paraId="0E2AB8DC">
      <w:pPr>
        <w:pStyle w:val="14"/>
        <w:spacing w:line="360" w:lineRule="exact"/>
        <w:ind w:left="420" w:hanging="420" w:hangingChars="200"/>
        <w:rPr>
          <w:rFonts w:ascii="Arial" w:hAnsi="Arial" w:eastAsia="宋体" w:cs="Arial"/>
          <w:bCs/>
          <w:color w:val="auto"/>
          <w:szCs w:val="21"/>
          <w:highlight w:val="none"/>
        </w:rPr>
      </w:pPr>
    </w:p>
    <w:p w14:paraId="540DE5FC">
      <w:pPr>
        <w:pStyle w:val="14"/>
        <w:spacing w:line="360" w:lineRule="exact"/>
        <w:ind w:left="420" w:hanging="420" w:hangingChars="200"/>
        <w:rPr>
          <w:rFonts w:ascii="Arial" w:hAnsi="Arial" w:eastAsia="宋体" w:cs="Arial"/>
          <w:bCs/>
          <w:color w:val="auto"/>
          <w:szCs w:val="21"/>
          <w:highlight w:val="none"/>
        </w:rPr>
      </w:pPr>
      <w:r>
        <w:rPr>
          <w:rFonts w:ascii="Arial" w:hAnsi="Arial" w:eastAsia="宋体" w:cs="Arial"/>
          <w:bCs/>
          <w:color w:val="auto"/>
          <w:szCs w:val="21"/>
          <w:highlight w:val="none"/>
        </w:rPr>
        <w:t>注：1.</w:t>
      </w:r>
      <w:r>
        <w:rPr>
          <w:rFonts w:ascii="Arial" w:hAnsi="Arial" w:eastAsia="宋体" w:cs="Arial"/>
          <w:color w:val="auto"/>
          <w:highlight w:val="none"/>
        </w:rPr>
        <w:t xml:space="preserve"> 供应商应根据提供货物的性能指标承诺（即：谈判报价表）、对照“项目采购需求”详细注明响应情况，并按格式填写此表，当所提供货物的技术参数性能指标等承诺出现“正偏离”情况时，应详</w:t>
      </w:r>
      <w:r>
        <w:rPr>
          <w:rFonts w:ascii="Arial" w:hAnsi="Arial" w:eastAsia="宋体" w:cs="Arial"/>
          <w:bCs/>
          <w:color w:val="auto"/>
          <w:szCs w:val="21"/>
          <w:highlight w:val="none"/>
        </w:rPr>
        <w:t>细填写偏离情况说明及提供相应有效的证明材料；经谈判小组审核确定“正偏离”情况。</w:t>
      </w:r>
    </w:p>
    <w:p w14:paraId="49312391">
      <w:pPr>
        <w:pStyle w:val="14"/>
        <w:spacing w:line="400" w:lineRule="exact"/>
        <w:ind w:left="420" w:leftChars="200"/>
        <w:rPr>
          <w:rFonts w:ascii="Arial" w:hAnsi="Arial" w:eastAsia="宋体" w:cs="Arial"/>
          <w:bCs/>
          <w:color w:val="auto"/>
          <w:szCs w:val="21"/>
          <w:highlight w:val="none"/>
        </w:rPr>
      </w:pPr>
    </w:p>
    <w:p w14:paraId="32BEAFD6">
      <w:pPr>
        <w:adjustRightInd w:val="0"/>
        <w:spacing w:line="460" w:lineRule="exact"/>
        <w:rPr>
          <w:rFonts w:ascii="Arial" w:hAnsi="Arial" w:eastAsia="宋体" w:cs="Arial"/>
          <w:b/>
          <w:color w:val="auto"/>
          <w:sz w:val="28"/>
          <w:szCs w:val="28"/>
          <w:highlight w:val="none"/>
        </w:rPr>
      </w:pPr>
      <w:r>
        <w:rPr>
          <w:rFonts w:ascii="Arial" w:hAnsi="Arial" w:eastAsia="宋体" w:cs="Arial"/>
          <w:color w:val="auto"/>
          <w:highlight w:val="none"/>
        </w:rPr>
        <w:br w:type="page"/>
      </w:r>
      <w:r>
        <w:rPr>
          <w:rFonts w:ascii="Arial" w:hAnsi="Arial" w:eastAsia="宋体" w:cs="Arial"/>
          <w:b/>
          <w:color w:val="auto"/>
          <w:sz w:val="28"/>
          <w:szCs w:val="28"/>
          <w:highlight w:val="none"/>
        </w:rPr>
        <w:t>3.</w:t>
      </w:r>
      <w:r>
        <w:rPr>
          <w:rFonts w:ascii="Arial" w:hAnsi="Arial" w:eastAsia="宋体" w:cs="Arial"/>
          <w:color w:val="auto"/>
          <w:highlight w:val="none"/>
        </w:rPr>
        <w:t xml:space="preserve"> </w:t>
      </w:r>
      <w:r>
        <w:rPr>
          <w:rFonts w:ascii="Arial" w:hAnsi="Arial" w:eastAsia="宋体" w:cs="Arial"/>
          <w:b/>
          <w:color w:val="auto"/>
          <w:sz w:val="28"/>
          <w:szCs w:val="28"/>
          <w:highlight w:val="none"/>
        </w:rPr>
        <w:t>供应商的项目实施方案（必须提供）</w:t>
      </w:r>
    </w:p>
    <w:p w14:paraId="5EDA380C">
      <w:pPr>
        <w:adjustRightInd w:val="0"/>
        <w:spacing w:line="460" w:lineRule="exact"/>
        <w:rPr>
          <w:rFonts w:ascii="Arial" w:hAnsi="Arial" w:eastAsia="宋体" w:cs="Arial"/>
          <w:b/>
          <w:bCs/>
          <w:color w:val="auto"/>
          <w:sz w:val="32"/>
          <w:szCs w:val="32"/>
          <w:highlight w:val="none"/>
        </w:rPr>
      </w:pPr>
      <w:bookmarkStart w:id="44" w:name="_Toc30843"/>
      <w:bookmarkStart w:id="45" w:name="_Toc7206"/>
      <w:bookmarkStart w:id="46" w:name="_Toc24467"/>
      <w:r>
        <w:rPr>
          <w:rFonts w:ascii="Arial" w:hAnsi="Arial" w:eastAsia="宋体" w:cs="Arial"/>
          <w:b/>
          <w:bCs/>
          <w:color w:val="auto"/>
          <w:sz w:val="32"/>
          <w:szCs w:val="32"/>
          <w:highlight w:val="none"/>
        </w:rPr>
        <w:t>附件：</w:t>
      </w:r>
      <w:bookmarkEnd w:id="44"/>
      <w:bookmarkEnd w:id="45"/>
      <w:bookmarkEnd w:id="46"/>
    </w:p>
    <w:p w14:paraId="2EE80EB2">
      <w:pPr>
        <w:pStyle w:val="14"/>
        <w:ind w:firstLine="3213" w:firstLineChars="100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项目实施方案（格式）</w:t>
      </w:r>
    </w:p>
    <w:p w14:paraId="580803E2">
      <w:pPr>
        <w:pStyle w:val="33"/>
        <w:rPr>
          <w:rFonts w:ascii="Arial" w:hAnsi="Arial" w:cs="Arial"/>
          <w:b/>
          <w:bCs w:val="0"/>
          <w:color w:val="auto"/>
          <w:sz w:val="28"/>
          <w:szCs w:val="28"/>
          <w:highlight w:val="none"/>
        </w:rPr>
      </w:pPr>
    </w:p>
    <w:p w14:paraId="0DD57FA0">
      <w:pPr>
        <w:pStyle w:val="33"/>
        <w:rPr>
          <w:rFonts w:ascii="Arial" w:hAnsi="Arial" w:cs="Arial"/>
          <w:b/>
          <w:bCs w:val="0"/>
          <w:color w:val="auto"/>
          <w:sz w:val="28"/>
          <w:szCs w:val="28"/>
          <w:highlight w:val="none"/>
        </w:rPr>
      </w:pPr>
    </w:p>
    <w:p w14:paraId="5CD6437C">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3EC04BD4">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006FA798">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4AF620CD">
      <w:pPr>
        <w:pStyle w:val="14"/>
        <w:spacing w:line="340" w:lineRule="exact"/>
        <w:rPr>
          <w:rFonts w:ascii="Arial" w:hAnsi="Arial" w:eastAsia="宋体" w:cs="Arial"/>
          <w:b/>
          <w:color w:val="auto"/>
          <w:sz w:val="28"/>
          <w:szCs w:val="28"/>
          <w:highlight w:val="none"/>
        </w:rPr>
      </w:pPr>
    </w:p>
    <w:p w14:paraId="5C0483BD">
      <w:pPr>
        <w:pStyle w:val="14"/>
        <w:spacing w:line="340" w:lineRule="exact"/>
        <w:rPr>
          <w:rFonts w:ascii="Arial" w:hAnsi="Arial" w:eastAsia="宋体" w:cs="Arial"/>
          <w:b/>
          <w:color w:val="auto"/>
          <w:sz w:val="28"/>
          <w:szCs w:val="28"/>
          <w:highlight w:val="none"/>
        </w:rPr>
      </w:pPr>
    </w:p>
    <w:p w14:paraId="5B54ACBC">
      <w:pPr>
        <w:pStyle w:val="14"/>
        <w:spacing w:line="340" w:lineRule="exact"/>
        <w:rPr>
          <w:rFonts w:ascii="Arial" w:hAnsi="Arial" w:eastAsia="宋体" w:cs="Arial"/>
          <w:b/>
          <w:color w:val="auto"/>
          <w:sz w:val="28"/>
          <w:szCs w:val="28"/>
          <w:highlight w:val="none"/>
        </w:rPr>
      </w:pPr>
    </w:p>
    <w:p w14:paraId="34AD359D">
      <w:pPr>
        <w:pStyle w:val="14"/>
        <w:spacing w:line="340" w:lineRule="exact"/>
        <w:rPr>
          <w:rFonts w:ascii="Arial" w:hAnsi="Arial" w:eastAsia="宋体" w:cs="Arial"/>
          <w:b/>
          <w:color w:val="auto"/>
          <w:sz w:val="28"/>
          <w:szCs w:val="28"/>
          <w:highlight w:val="none"/>
        </w:rPr>
      </w:pPr>
    </w:p>
    <w:p w14:paraId="76604A3F">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4.供应商的售后服务承诺书（必须提供）</w:t>
      </w:r>
    </w:p>
    <w:p w14:paraId="74C80534">
      <w:pPr>
        <w:pStyle w:val="14"/>
        <w:rPr>
          <w:rFonts w:ascii="Arial" w:hAnsi="Arial" w:eastAsia="宋体" w:cs="Arial"/>
          <w:b/>
          <w:bCs/>
          <w:color w:val="auto"/>
          <w:sz w:val="32"/>
          <w:szCs w:val="32"/>
          <w:highlight w:val="none"/>
        </w:rPr>
      </w:pPr>
      <w:bookmarkStart w:id="47" w:name="_Toc9802"/>
      <w:bookmarkStart w:id="48" w:name="_Toc16312"/>
      <w:bookmarkStart w:id="49" w:name="_Toc3847"/>
      <w:r>
        <w:rPr>
          <w:rFonts w:ascii="Arial" w:hAnsi="Arial" w:eastAsia="宋体" w:cs="Arial"/>
          <w:b/>
          <w:bCs/>
          <w:color w:val="auto"/>
          <w:sz w:val="32"/>
          <w:szCs w:val="32"/>
          <w:highlight w:val="none"/>
        </w:rPr>
        <w:t>附件：</w:t>
      </w:r>
      <w:bookmarkEnd w:id="47"/>
      <w:bookmarkEnd w:id="48"/>
      <w:bookmarkEnd w:id="49"/>
    </w:p>
    <w:p w14:paraId="416074D2">
      <w:pPr>
        <w:pStyle w:val="14"/>
        <w:ind w:firstLine="2731" w:firstLineChars="85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售后服务承诺书（格式）</w:t>
      </w:r>
    </w:p>
    <w:p w14:paraId="5F0F0C1B">
      <w:pPr>
        <w:pStyle w:val="14"/>
        <w:ind w:firstLine="2731" w:firstLineChars="850"/>
        <w:rPr>
          <w:rFonts w:ascii="Arial" w:hAnsi="Arial" w:eastAsia="宋体" w:cs="Arial"/>
          <w:b/>
          <w:bCs/>
          <w:color w:val="auto"/>
          <w:sz w:val="32"/>
          <w:szCs w:val="32"/>
          <w:highlight w:val="none"/>
        </w:rPr>
      </w:pPr>
    </w:p>
    <w:p w14:paraId="40903E2D">
      <w:pPr>
        <w:snapToGrid w:val="0"/>
        <w:spacing w:line="400" w:lineRule="exact"/>
        <w:rPr>
          <w:rFonts w:ascii="Arial" w:hAnsi="Arial" w:eastAsia="宋体" w:cs="Arial"/>
          <w:color w:val="auto"/>
          <w:kern w:val="0"/>
          <w:szCs w:val="21"/>
          <w:highlight w:val="none"/>
        </w:rPr>
      </w:pPr>
      <w:r>
        <w:rPr>
          <w:rFonts w:ascii="Arial" w:hAnsi="Arial" w:eastAsia="宋体" w:cs="Arial"/>
          <w:color w:val="auto"/>
          <w:kern w:val="0"/>
          <w:szCs w:val="21"/>
          <w:highlight w:val="none"/>
        </w:rPr>
        <w:t xml:space="preserve"> 1.三包及质保期要求：按国家有关产品“三包”规定执行“三包”，质保期</w:t>
      </w:r>
      <w:r>
        <w:rPr>
          <w:rFonts w:ascii="Arial" w:hAnsi="Arial" w:eastAsia="宋体" w:cs="Arial"/>
          <w:color w:val="auto"/>
          <w:kern w:val="0"/>
          <w:szCs w:val="21"/>
          <w:highlight w:val="none"/>
          <w:u w:val="single"/>
        </w:rPr>
        <w:t xml:space="preserve">        </w:t>
      </w:r>
      <w:r>
        <w:rPr>
          <w:rFonts w:ascii="Arial" w:hAnsi="Arial" w:eastAsia="宋体" w:cs="Arial"/>
          <w:color w:val="auto"/>
          <w:kern w:val="0"/>
          <w:szCs w:val="21"/>
          <w:highlight w:val="none"/>
        </w:rPr>
        <w:t>年（质保期从设备验收合格之日起计算，项目要求及技术需求中规定的，按规定执行）。</w:t>
      </w:r>
      <w:r>
        <w:rPr>
          <w:rFonts w:ascii="Arial" w:hAnsi="Arial" w:eastAsia="宋体" w:cs="Arial"/>
          <w:color w:val="auto"/>
          <w:highlight w:val="none"/>
        </w:rPr>
        <w:t>质保期内提供上门维修（免收维修费和元器件费）、更换零部件，并提供终身维修服务。</w:t>
      </w:r>
    </w:p>
    <w:p w14:paraId="45ECC652">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2.送货上门，按采购人要求安装调试，提供技术培训直至操作人员熟练操作产品的各项功能。</w:t>
      </w:r>
    </w:p>
    <w:p w14:paraId="42C0A6AC">
      <w:pPr>
        <w:snapToGrid w:val="0"/>
        <w:spacing w:line="400" w:lineRule="exact"/>
        <w:ind w:firstLine="210" w:firstLineChars="100"/>
        <w:rPr>
          <w:rFonts w:ascii="Arial" w:hAnsi="Arial" w:eastAsia="宋体" w:cs="Arial"/>
          <w:color w:val="auto"/>
          <w:kern w:val="0"/>
          <w:szCs w:val="21"/>
          <w:highlight w:val="none"/>
        </w:rPr>
      </w:pPr>
      <w:r>
        <w:rPr>
          <w:rFonts w:ascii="Arial" w:hAnsi="Arial" w:eastAsia="宋体" w:cs="Arial"/>
          <w:color w:val="auto"/>
          <w:kern w:val="0"/>
          <w:szCs w:val="21"/>
          <w:highlight w:val="none"/>
        </w:rPr>
        <w:t>3.售后服务要求：①质保期内接到报障电话在承诺时间内派工程技术人员上门维修解决问题，如果需要更换配件的，要求更换的配件应跟被更换的品牌、类型相一致或者是同类同档次的替代品，后者需征得用户方管理人员同意；②若产品自带软件的，则须提供质保期内不收取费用升级服务。③其余按厂家承诺执行。</w:t>
      </w:r>
    </w:p>
    <w:p w14:paraId="49FF9F1A">
      <w:pPr>
        <w:snapToGrid w:val="0"/>
        <w:spacing w:line="300" w:lineRule="exact"/>
        <w:ind w:firstLine="3570" w:firstLineChars="1700"/>
        <w:rPr>
          <w:rFonts w:ascii="Arial" w:hAnsi="Arial" w:eastAsia="宋体" w:cs="Arial"/>
          <w:color w:val="auto"/>
          <w:kern w:val="0"/>
          <w:szCs w:val="21"/>
          <w:highlight w:val="none"/>
        </w:rPr>
      </w:pPr>
    </w:p>
    <w:p w14:paraId="6BBBC8C1">
      <w:pPr>
        <w:snapToGrid w:val="0"/>
        <w:spacing w:line="300" w:lineRule="exact"/>
        <w:ind w:firstLine="3570" w:firstLineChars="1700"/>
        <w:rPr>
          <w:rFonts w:ascii="Arial" w:hAnsi="Arial" w:eastAsia="宋体" w:cs="Arial"/>
          <w:color w:val="auto"/>
          <w:kern w:val="0"/>
          <w:szCs w:val="21"/>
          <w:highlight w:val="none"/>
        </w:rPr>
      </w:pPr>
    </w:p>
    <w:p w14:paraId="145702AC">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04D065C6">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5FA88E73">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31751FBD">
      <w:pPr>
        <w:rPr>
          <w:rFonts w:ascii="Arial" w:hAnsi="Arial" w:eastAsia="宋体" w:cs="Arial"/>
          <w:b/>
          <w:color w:val="auto"/>
          <w:sz w:val="28"/>
          <w:szCs w:val="28"/>
          <w:highlight w:val="none"/>
        </w:rPr>
      </w:pPr>
      <w:r>
        <w:rPr>
          <w:rFonts w:ascii="Arial" w:hAnsi="Arial" w:eastAsia="宋体" w:cs="Arial"/>
          <w:b/>
          <w:color w:val="auto"/>
          <w:sz w:val="28"/>
          <w:szCs w:val="28"/>
          <w:highlight w:val="none"/>
        </w:rPr>
        <w:br w:type="page"/>
      </w:r>
    </w:p>
    <w:p w14:paraId="64C3B4D0">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5.商务响应表（必须提供）</w:t>
      </w:r>
    </w:p>
    <w:p w14:paraId="7EBBD65E">
      <w:pPr>
        <w:pStyle w:val="14"/>
        <w:spacing w:line="340" w:lineRule="exact"/>
        <w:rPr>
          <w:rFonts w:ascii="Arial" w:hAnsi="Arial" w:eastAsia="宋体" w:cs="Arial"/>
          <w:b/>
          <w:color w:val="auto"/>
          <w:sz w:val="28"/>
          <w:szCs w:val="28"/>
          <w:highlight w:val="none"/>
        </w:rPr>
      </w:pPr>
    </w:p>
    <w:p w14:paraId="2BBB99E0">
      <w:pPr>
        <w:pStyle w:val="14"/>
        <w:rPr>
          <w:rFonts w:ascii="Arial" w:hAnsi="Arial" w:eastAsia="宋体" w:cs="Arial"/>
          <w:b/>
          <w:bCs/>
          <w:color w:val="auto"/>
          <w:sz w:val="32"/>
          <w:szCs w:val="32"/>
          <w:highlight w:val="none"/>
        </w:rPr>
      </w:pPr>
      <w:bookmarkStart w:id="50" w:name="_Toc8710"/>
      <w:bookmarkStart w:id="51" w:name="_Toc374"/>
      <w:bookmarkStart w:id="52" w:name="_Toc11787"/>
      <w:r>
        <w:rPr>
          <w:rFonts w:ascii="Arial" w:hAnsi="Arial" w:eastAsia="宋体" w:cs="Arial"/>
          <w:b/>
          <w:bCs/>
          <w:color w:val="auto"/>
          <w:sz w:val="32"/>
          <w:szCs w:val="32"/>
          <w:highlight w:val="none"/>
        </w:rPr>
        <w:t>附件：</w:t>
      </w:r>
      <w:bookmarkEnd w:id="50"/>
      <w:bookmarkEnd w:id="51"/>
      <w:bookmarkEnd w:id="52"/>
    </w:p>
    <w:p w14:paraId="63B4D666">
      <w:pPr>
        <w:pStyle w:val="14"/>
        <w:ind w:firstLine="2731" w:firstLineChars="850"/>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商务响应表（格式）</w:t>
      </w:r>
    </w:p>
    <w:p w14:paraId="3ABE9306">
      <w:pPr>
        <w:pStyle w:val="7"/>
        <w:ind w:left="2940"/>
        <w:jc w:val="center"/>
        <w:rPr>
          <w:rFonts w:ascii="Arial" w:hAnsi="Arial" w:eastAsia="宋体" w:cs="Arial"/>
          <w:color w:val="auto"/>
          <w:highlight w:val="none"/>
        </w:rPr>
      </w:pPr>
      <w:r>
        <w:rPr>
          <w:rFonts w:ascii="Arial" w:hAnsi="Arial" w:eastAsia="宋体" w:cs="Arial"/>
          <w:b/>
          <w:color w:val="auto"/>
          <w:sz w:val="24"/>
          <w:highlight w:val="none"/>
        </w:rPr>
        <w:t xml:space="preserve">                     </w:t>
      </w:r>
    </w:p>
    <w:tbl>
      <w:tblPr>
        <w:tblStyle w:val="24"/>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8"/>
        <w:gridCol w:w="2962"/>
        <w:gridCol w:w="1420"/>
        <w:gridCol w:w="2938"/>
      </w:tblGrid>
      <w:tr w14:paraId="4F893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4FA09BE5">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项目</w:t>
            </w:r>
          </w:p>
        </w:tc>
        <w:tc>
          <w:tcPr>
            <w:tcW w:w="2962" w:type="dxa"/>
            <w:tcBorders>
              <w:top w:val="single" w:color="auto" w:sz="4" w:space="0"/>
              <w:left w:val="single" w:color="auto" w:sz="4" w:space="0"/>
              <w:bottom w:val="single" w:color="auto" w:sz="4" w:space="0"/>
              <w:right w:val="single" w:color="auto" w:sz="4" w:space="0"/>
            </w:tcBorders>
            <w:vAlign w:val="center"/>
          </w:tcPr>
          <w:p w14:paraId="25CD702F">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竞争性谈判文件要求</w:t>
            </w:r>
          </w:p>
        </w:tc>
        <w:tc>
          <w:tcPr>
            <w:tcW w:w="1420" w:type="dxa"/>
            <w:tcBorders>
              <w:top w:val="single" w:color="auto" w:sz="4" w:space="0"/>
              <w:left w:val="single" w:color="auto" w:sz="4" w:space="0"/>
              <w:bottom w:val="single" w:color="auto" w:sz="4" w:space="0"/>
              <w:right w:val="single" w:color="auto" w:sz="4" w:space="0"/>
            </w:tcBorders>
            <w:vAlign w:val="center"/>
          </w:tcPr>
          <w:p w14:paraId="58DE7B75">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供应商的承诺或说明</w:t>
            </w:r>
          </w:p>
        </w:tc>
        <w:tc>
          <w:tcPr>
            <w:tcW w:w="2938" w:type="dxa"/>
            <w:tcBorders>
              <w:top w:val="single" w:color="auto" w:sz="4" w:space="0"/>
              <w:left w:val="single" w:color="auto" w:sz="4" w:space="0"/>
              <w:bottom w:val="single" w:color="auto" w:sz="4" w:space="0"/>
              <w:right w:val="single" w:color="auto" w:sz="4" w:space="0"/>
            </w:tcBorders>
            <w:vAlign w:val="center"/>
          </w:tcPr>
          <w:p w14:paraId="632F9525">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是否响应</w:t>
            </w:r>
          </w:p>
        </w:tc>
      </w:tr>
      <w:tr w14:paraId="3A488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2BA2EEA5">
            <w:pPr>
              <w:snapToGrid w:val="0"/>
              <w:spacing w:line="360" w:lineRule="exact"/>
              <w:jc w:val="center"/>
              <w:rPr>
                <w:rFonts w:ascii="Arial" w:hAnsi="Arial" w:eastAsia="宋体" w:cs="Arial"/>
                <w:color w:val="auto"/>
                <w:highlight w:val="none"/>
              </w:rPr>
            </w:pPr>
            <w:r>
              <w:rPr>
                <w:rFonts w:ascii="Arial" w:hAnsi="Arial" w:eastAsia="宋体" w:cs="Arial"/>
                <w:bCs/>
                <w:color w:val="auto"/>
                <w:szCs w:val="21"/>
                <w:highlight w:val="none"/>
              </w:rPr>
              <w:t>（一）免费保修期</w:t>
            </w:r>
          </w:p>
        </w:tc>
        <w:tc>
          <w:tcPr>
            <w:tcW w:w="2962" w:type="dxa"/>
            <w:tcBorders>
              <w:top w:val="single" w:color="auto" w:sz="4" w:space="0"/>
              <w:left w:val="single" w:color="auto" w:sz="4" w:space="0"/>
              <w:bottom w:val="single" w:color="auto" w:sz="4" w:space="0"/>
              <w:right w:val="single" w:color="auto" w:sz="4" w:space="0"/>
            </w:tcBorders>
            <w:vAlign w:val="center"/>
          </w:tcPr>
          <w:p w14:paraId="54049692">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78439654">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090C320F">
            <w:pPr>
              <w:snapToGrid w:val="0"/>
              <w:spacing w:line="300" w:lineRule="exact"/>
              <w:rPr>
                <w:rFonts w:ascii="Arial" w:hAnsi="Arial" w:eastAsia="宋体" w:cs="Arial"/>
                <w:color w:val="auto"/>
                <w:highlight w:val="none"/>
              </w:rPr>
            </w:pPr>
          </w:p>
        </w:tc>
      </w:tr>
      <w:tr w14:paraId="4B962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734B7ED3">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（二）售后服务要求</w:t>
            </w:r>
          </w:p>
        </w:tc>
        <w:tc>
          <w:tcPr>
            <w:tcW w:w="2962" w:type="dxa"/>
            <w:tcBorders>
              <w:top w:val="single" w:color="auto" w:sz="4" w:space="0"/>
              <w:left w:val="single" w:color="auto" w:sz="4" w:space="0"/>
              <w:bottom w:val="single" w:color="auto" w:sz="4" w:space="0"/>
              <w:right w:val="single" w:color="auto" w:sz="4" w:space="0"/>
            </w:tcBorders>
            <w:vAlign w:val="center"/>
          </w:tcPr>
          <w:p w14:paraId="56604C58">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42FDDC03">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6F7BE84A">
            <w:pPr>
              <w:snapToGrid w:val="0"/>
              <w:spacing w:line="300" w:lineRule="exact"/>
              <w:rPr>
                <w:rFonts w:ascii="Arial" w:hAnsi="Arial" w:eastAsia="宋体" w:cs="Arial"/>
                <w:color w:val="auto"/>
                <w:highlight w:val="none"/>
              </w:rPr>
            </w:pPr>
          </w:p>
        </w:tc>
      </w:tr>
      <w:tr w14:paraId="6F5CD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47025FAA">
            <w:pPr>
              <w:snapToGrid w:val="0"/>
              <w:spacing w:line="360" w:lineRule="exact"/>
              <w:jc w:val="center"/>
              <w:rPr>
                <w:rFonts w:ascii="Arial" w:hAnsi="Arial" w:eastAsia="宋体" w:cs="Arial"/>
                <w:color w:val="auto"/>
                <w:highlight w:val="none"/>
              </w:rPr>
            </w:pPr>
            <w:r>
              <w:rPr>
                <w:rFonts w:ascii="Arial" w:hAnsi="Arial" w:eastAsia="宋体" w:cs="Arial"/>
                <w:color w:val="auto"/>
                <w:szCs w:val="21"/>
                <w:highlight w:val="none"/>
              </w:rPr>
              <w:t>（三）合同签订时间</w:t>
            </w:r>
          </w:p>
        </w:tc>
        <w:tc>
          <w:tcPr>
            <w:tcW w:w="2962" w:type="dxa"/>
            <w:tcBorders>
              <w:top w:val="single" w:color="auto" w:sz="4" w:space="0"/>
              <w:left w:val="single" w:color="auto" w:sz="4" w:space="0"/>
              <w:bottom w:val="single" w:color="auto" w:sz="4" w:space="0"/>
              <w:right w:val="single" w:color="auto" w:sz="4" w:space="0"/>
            </w:tcBorders>
            <w:vAlign w:val="center"/>
          </w:tcPr>
          <w:p w14:paraId="2DC39ED8">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1315E4E1">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6C1FF2D7">
            <w:pPr>
              <w:snapToGrid w:val="0"/>
              <w:spacing w:line="300" w:lineRule="exact"/>
              <w:rPr>
                <w:rFonts w:ascii="Arial" w:hAnsi="Arial" w:eastAsia="宋体" w:cs="Arial"/>
                <w:color w:val="auto"/>
                <w:highlight w:val="none"/>
              </w:rPr>
            </w:pPr>
          </w:p>
        </w:tc>
      </w:tr>
      <w:tr w14:paraId="7DC47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182E3D34">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（四）交货期及地点</w:t>
            </w:r>
          </w:p>
        </w:tc>
        <w:tc>
          <w:tcPr>
            <w:tcW w:w="2962" w:type="dxa"/>
            <w:tcBorders>
              <w:top w:val="single" w:color="auto" w:sz="4" w:space="0"/>
              <w:left w:val="single" w:color="auto" w:sz="4" w:space="0"/>
              <w:bottom w:val="single" w:color="auto" w:sz="4" w:space="0"/>
              <w:right w:val="single" w:color="auto" w:sz="4" w:space="0"/>
            </w:tcBorders>
            <w:vAlign w:val="center"/>
          </w:tcPr>
          <w:p w14:paraId="5107CB74">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13161BD7">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52FAFC8A">
            <w:pPr>
              <w:snapToGrid w:val="0"/>
              <w:spacing w:line="300" w:lineRule="exact"/>
              <w:rPr>
                <w:rFonts w:ascii="Arial" w:hAnsi="Arial" w:eastAsia="宋体" w:cs="Arial"/>
                <w:color w:val="auto"/>
                <w:highlight w:val="none"/>
              </w:rPr>
            </w:pPr>
          </w:p>
        </w:tc>
      </w:tr>
      <w:tr w14:paraId="2E3EB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5ED7A1FC">
            <w:pPr>
              <w:spacing w:line="360" w:lineRule="exact"/>
              <w:jc w:val="center"/>
              <w:rPr>
                <w:rFonts w:ascii="Arial" w:hAnsi="Arial" w:eastAsia="宋体" w:cs="Arial"/>
                <w:color w:val="auto"/>
                <w:highlight w:val="none"/>
              </w:rPr>
            </w:pPr>
            <w:r>
              <w:rPr>
                <w:rFonts w:ascii="Arial" w:hAnsi="Arial" w:eastAsia="宋体" w:cs="Arial"/>
                <w:color w:val="auto"/>
                <w:szCs w:val="21"/>
                <w:highlight w:val="none"/>
              </w:rPr>
              <w:t>（五）付款方式</w:t>
            </w:r>
          </w:p>
        </w:tc>
        <w:tc>
          <w:tcPr>
            <w:tcW w:w="2962" w:type="dxa"/>
            <w:tcBorders>
              <w:top w:val="single" w:color="auto" w:sz="4" w:space="0"/>
              <w:left w:val="single" w:color="auto" w:sz="4" w:space="0"/>
              <w:bottom w:val="single" w:color="auto" w:sz="4" w:space="0"/>
              <w:right w:val="single" w:color="auto" w:sz="4" w:space="0"/>
            </w:tcBorders>
            <w:vAlign w:val="center"/>
          </w:tcPr>
          <w:p w14:paraId="4722C9D7">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C8FCF7D">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65F627F8">
            <w:pPr>
              <w:snapToGrid w:val="0"/>
              <w:spacing w:line="300" w:lineRule="exact"/>
              <w:rPr>
                <w:rFonts w:ascii="Arial" w:hAnsi="Arial" w:eastAsia="宋体" w:cs="Arial"/>
                <w:color w:val="auto"/>
                <w:highlight w:val="none"/>
              </w:rPr>
            </w:pPr>
          </w:p>
        </w:tc>
      </w:tr>
      <w:tr w14:paraId="6585B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exact"/>
          <w:jc w:val="center"/>
        </w:trPr>
        <w:tc>
          <w:tcPr>
            <w:tcW w:w="2138" w:type="dxa"/>
            <w:tcBorders>
              <w:top w:val="single" w:color="auto" w:sz="4" w:space="0"/>
              <w:left w:val="single" w:color="auto" w:sz="4" w:space="0"/>
              <w:bottom w:val="single" w:color="auto" w:sz="4" w:space="0"/>
              <w:right w:val="single" w:color="auto" w:sz="4" w:space="0"/>
            </w:tcBorders>
            <w:vAlign w:val="center"/>
          </w:tcPr>
          <w:p w14:paraId="2FC4D002">
            <w:pPr>
              <w:snapToGrid w:val="0"/>
              <w:spacing w:line="300" w:lineRule="exact"/>
              <w:jc w:val="center"/>
              <w:rPr>
                <w:rFonts w:ascii="Arial" w:hAnsi="Arial" w:eastAsia="宋体" w:cs="Arial"/>
                <w:color w:val="auto"/>
                <w:highlight w:val="none"/>
              </w:rPr>
            </w:pPr>
            <w:r>
              <w:rPr>
                <w:rFonts w:ascii="Arial" w:hAnsi="Arial" w:eastAsia="宋体" w:cs="Arial"/>
                <w:color w:val="auto"/>
                <w:highlight w:val="none"/>
              </w:rPr>
              <w:t>......</w:t>
            </w:r>
          </w:p>
        </w:tc>
        <w:tc>
          <w:tcPr>
            <w:tcW w:w="2962" w:type="dxa"/>
            <w:tcBorders>
              <w:top w:val="single" w:color="auto" w:sz="4" w:space="0"/>
              <w:left w:val="single" w:color="auto" w:sz="4" w:space="0"/>
              <w:bottom w:val="single" w:color="auto" w:sz="4" w:space="0"/>
              <w:right w:val="single" w:color="auto" w:sz="4" w:space="0"/>
            </w:tcBorders>
            <w:vAlign w:val="center"/>
          </w:tcPr>
          <w:p w14:paraId="35A13A5C">
            <w:pPr>
              <w:snapToGrid w:val="0"/>
              <w:spacing w:line="300" w:lineRule="exact"/>
              <w:rPr>
                <w:rFonts w:ascii="Arial" w:hAnsi="Arial" w:eastAsia="宋体" w:cs="Arial"/>
                <w:color w:val="auto"/>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2372E0BD">
            <w:pPr>
              <w:pStyle w:val="14"/>
              <w:snapToGrid w:val="0"/>
              <w:spacing w:before="295" w:after="295" w:line="300" w:lineRule="exact"/>
              <w:ind w:left="840" w:hanging="420"/>
              <w:jc w:val="center"/>
              <w:rPr>
                <w:rFonts w:ascii="Arial" w:hAnsi="Arial" w:eastAsia="宋体" w:cs="Arial"/>
                <w:color w:val="auto"/>
                <w:szCs w:val="24"/>
                <w:highlight w:val="none"/>
              </w:rPr>
            </w:pPr>
          </w:p>
        </w:tc>
        <w:tc>
          <w:tcPr>
            <w:tcW w:w="2938" w:type="dxa"/>
            <w:tcBorders>
              <w:top w:val="single" w:color="auto" w:sz="4" w:space="0"/>
              <w:left w:val="single" w:color="auto" w:sz="4" w:space="0"/>
              <w:bottom w:val="single" w:color="auto" w:sz="4" w:space="0"/>
              <w:right w:val="single" w:color="auto" w:sz="4" w:space="0"/>
            </w:tcBorders>
          </w:tcPr>
          <w:p w14:paraId="574E7B3D">
            <w:pPr>
              <w:snapToGrid w:val="0"/>
              <w:spacing w:line="300" w:lineRule="exact"/>
              <w:rPr>
                <w:rFonts w:ascii="Arial" w:hAnsi="Arial" w:eastAsia="宋体" w:cs="Arial"/>
                <w:color w:val="auto"/>
                <w:highlight w:val="none"/>
              </w:rPr>
            </w:pPr>
          </w:p>
        </w:tc>
      </w:tr>
    </w:tbl>
    <w:p w14:paraId="25ACF207">
      <w:pPr>
        <w:snapToGrid w:val="0"/>
        <w:spacing w:line="400" w:lineRule="exact"/>
        <w:ind w:firstLine="3570" w:firstLineChars="1700"/>
        <w:rPr>
          <w:rFonts w:ascii="Arial" w:hAnsi="Arial" w:eastAsia="宋体" w:cs="Arial"/>
          <w:color w:val="auto"/>
          <w:highlight w:val="none"/>
        </w:rPr>
      </w:pPr>
    </w:p>
    <w:p w14:paraId="285E9420">
      <w:pPr>
        <w:snapToGrid w:val="0"/>
        <w:spacing w:line="400" w:lineRule="exact"/>
        <w:ind w:firstLine="3570" w:firstLineChars="1700"/>
        <w:rPr>
          <w:rFonts w:ascii="Arial" w:hAnsi="Arial" w:eastAsia="宋体" w:cs="Arial"/>
          <w:color w:val="auto"/>
          <w:highlight w:val="none"/>
        </w:rPr>
      </w:pPr>
    </w:p>
    <w:p w14:paraId="283BDC2F">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61D950A0">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4149F57F">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00FDCC5F">
      <w:pPr>
        <w:rPr>
          <w:rFonts w:ascii="Arial" w:hAnsi="Arial" w:eastAsia="宋体" w:cs="Arial"/>
          <w:b/>
          <w:color w:val="auto"/>
          <w:sz w:val="28"/>
          <w:szCs w:val="28"/>
          <w:highlight w:val="none"/>
        </w:rPr>
      </w:pPr>
    </w:p>
    <w:p w14:paraId="7BA92093">
      <w:pPr>
        <w:pStyle w:val="32"/>
        <w:rPr>
          <w:rFonts w:ascii="Arial" w:hAnsi="Arial" w:cs="Arial"/>
          <w:color w:val="auto"/>
          <w:highlight w:val="none"/>
        </w:rPr>
      </w:pPr>
    </w:p>
    <w:p w14:paraId="05C46F0A">
      <w:pPr>
        <w:rPr>
          <w:rFonts w:ascii="Arial" w:hAnsi="Arial" w:eastAsia="宋体" w:cs="Arial"/>
          <w:b/>
          <w:color w:val="auto"/>
          <w:sz w:val="32"/>
          <w:szCs w:val="32"/>
          <w:highlight w:val="none"/>
        </w:rPr>
      </w:pPr>
      <w:r>
        <w:rPr>
          <w:rFonts w:ascii="Arial" w:hAnsi="Arial" w:eastAsia="宋体" w:cs="Arial"/>
          <w:b/>
          <w:color w:val="auto"/>
          <w:sz w:val="32"/>
          <w:szCs w:val="32"/>
          <w:highlight w:val="none"/>
        </w:rPr>
        <w:br w:type="page"/>
      </w:r>
    </w:p>
    <w:p w14:paraId="3541CE7C">
      <w:pPr>
        <w:spacing w:line="400" w:lineRule="exact"/>
        <w:jc w:val="center"/>
        <w:rPr>
          <w:rFonts w:ascii="Arial" w:hAnsi="Arial" w:eastAsia="宋体" w:cs="Arial"/>
          <w:b/>
          <w:color w:val="auto"/>
          <w:sz w:val="32"/>
          <w:szCs w:val="32"/>
          <w:highlight w:val="none"/>
        </w:rPr>
      </w:pPr>
      <w:r>
        <w:rPr>
          <w:rFonts w:ascii="Arial" w:hAnsi="Arial" w:eastAsia="宋体" w:cs="Arial"/>
          <w:b/>
          <w:color w:val="auto"/>
          <w:sz w:val="32"/>
          <w:szCs w:val="32"/>
          <w:highlight w:val="none"/>
        </w:rPr>
        <w:t>（三）其它有效证明材料目录</w:t>
      </w:r>
    </w:p>
    <w:p w14:paraId="7AE12765">
      <w:pPr>
        <w:tabs>
          <w:tab w:val="left" w:pos="1305"/>
        </w:tabs>
        <w:spacing w:line="440" w:lineRule="exact"/>
        <w:ind w:firstLine="420" w:firstLineChars="200"/>
        <w:rPr>
          <w:rFonts w:ascii="Arial" w:hAnsi="Arial" w:eastAsia="宋体" w:cs="Arial"/>
          <w:color w:val="auto"/>
          <w:szCs w:val="21"/>
          <w:highlight w:val="none"/>
        </w:rPr>
      </w:pPr>
    </w:p>
    <w:p w14:paraId="266644AF">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1.项目实施人员一览表【如有，请提供，并一起提供由县级以上（含县级）社会养老保险经办机构出具的供应商为项目实施人员交纳社保证明复印件】；</w:t>
      </w:r>
    </w:p>
    <w:p w14:paraId="3EFF3B1A">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2.供应商具有同类产品的销售业绩的相关证明材料（无不良记录，以中标、成交通知书或签订的销售合同为准，并能清晰反映所销售的货物名称、种类、金额）（如有，请提供）；</w:t>
      </w:r>
    </w:p>
    <w:p w14:paraId="28C4456B">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3.供应商相关获奖证书、认证证书等复印件（如有，请提供）；</w:t>
      </w:r>
    </w:p>
    <w:p w14:paraId="23DCB250">
      <w:pPr>
        <w:tabs>
          <w:tab w:val="left" w:pos="1305"/>
        </w:tabs>
        <w:spacing w:line="520" w:lineRule="exact"/>
        <w:ind w:firstLine="720" w:firstLineChars="300"/>
        <w:rPr>
          <w:rFonts w:ascii="Arial" w:hAnsi="Arial" w:eastAsia="宋体" w:cs="Arial"/>
          <w:color w:val="auto"/>
          <w:sz w:val="24"/>
          <w:highlight w:val="none"/>
        </w:rPr>
      </w:pPr>
      <w:r>
        <w:rPr>
          <w:rFonts w:ascii="Arial" w:hAnsi="Arial" w:eastAsia="宋体" w:cs="Arial"/>
          <w:color w:val="auto"/>
          <w:sz w:val="24"/>
          <w:highlight w:val="none"/>
        </w:rPr>
        <w:t>4.供应商可结合本项目自身情况自行提交其它相关证明材料（如有，请提供）。</w:t>
      </w:r>
    </w:p>
    <w:p w14:paraId="27E1E64E">
      <w:pPr>
        <w:pStyle w:val="32"/>
        <w:rPr>
          <w:rFonts w:ascii="Arial" w:hAnsi="Arial" w:cs="Arial"/>
          <w:color w:val="auto"/>
          <w:highlight w:val="none"/>
        </w:rPr>
      </w:pPr>
    </w:p>
    <w:p w14:paraId="0B402183">
      <w:pPr>
        <w:snapToGrid w:val="0"/>
        <w:spacing w:line="600" w:lineRule="exact"/>
        <w:rPr>
          <w:rFonts w:ascii="Arial" w:hAnsi="Arial" w:eastAsia="宋体" w:cs="Arial"/>
          <w:color w:val="auto"/>
          <w:sz w:val="24"/>
          <w:highlight w:val="none"/>
        </w:rPr>
      </w:pPr>
      <w:r>
        <w:rPr>
          <w:rFonts w:ascii="Arial" w:hAnsi="Arial" w:eastAsia="宋体" w:cs="Arial"/>
          <w:b/>
          <w:color w:val="auto"/>
          <w:sz w:val="28"/>
          <w:szCs w:val="28"/>
          <w:highlight w:val="none"/>
        </w:rPr>
        <w:br w:type="page"/>
      </w:r>
    </w:p>
    <w:p w14:paraId="49E3DD44">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1.项目实施人员一览表 【如有，请提供，并一起提供由县级以上（含县级）社会养老保险经办机构出具的供应商为项目实施人员交纳社保证明复印件】</w:t>
      </w:r>
    </w:p>
    <w:p w14:paraId="391C43D6">
      <w:pPr>
        <w:pStyle w:val="14"/>
        <w:rPr>
          <w:rFonts w:ascii="Arial" w:hAnsi="Arial" w:eastAsia="宋体" w:cs="Arial"/>
          <w:b/>
          <w:bCs/>
          <w:color w:val="auto"/>
          <w:sz w:val="32"/>
          <w:szCs w:val="32"/>
          <w:highlight w:val="none"/>
        </w:rPr>
      </w:pPr>
    </w:p>
    <w:p w14:paraId="504007F7">
      <w:pPr>
        <w:pStyle w:val="14"/>
        <w:ind w:firstLine="472" w:firstLineChars="147"/>
        <w:rPr>
          <w:rFonts w:ascii="Arial" w:hAnsi="Arial" w:eastAsia="宋体" w:cs="Arial"/>
          <w:b/>
          <w:color w:val="auto"/>
          <w:szCs w:val="21"/>
          <w:highlight w:val="none"/>
        </w:rPr>
      </w:pPr>
      <w:bookmarkStart w:id="53" w:name="_Toc31480"/>
      <w:bookmarkStart w:id="54" w:name="_Toc9810"/>
      <w:r>
        <w:rPr>
          <w:rFonts w:ascii="Arial" w:hAnsi="Arial" w:eastAsia="宋体" w:cs="Arial"/>
          <w:b/>
          <w:color w:val="auto"/>
          <w:sz w:val="32"/>
          <w:szCs w:val="32"/>
          <w:highlight w:val="none"/>
        </w:rPr>
        <w:t>附件：</w:t>
      </w:r>
      <w:bookmarkEnd w:id="53"/>
      <w:bookmarkEnd w:id="54"/>
      <w:r>
        <w:rPr>
          <w:rFonts w:ascii="Arial" w:hAnsi="Arial" w:eastAsia="宋体" w:cs="Arial"/>
          <w:b/>
          <w:color w:val="auto"/>
          <w:sz w:val="32"/>
          <w:szCs w:val="32"/>
          <w:highlight w:val="none"/>
        </w:rPr>
        <w:t xml:space="preserve">       </w:t>
      </w:r>
      <w:r>
        <w:rPr>
          <w:rFonts w:ascii="Arial" w:hAnsi="Arial" w:eastAsia="宋体" w:cs="Arial"/>
          <w:b/>
          <w:color w:val="auto"/>
          <w:szCs w:val="21"/>
          <w:highlight w:val="none"/>
        </w:rPr>
        <w:t xml:space="preserve">                     </w:t>
      </w:r>
    </w:p>
    <w:p w14:paraId="74C68865">
      <w:pPr>
        <w:pStyle w:val="14"/>
        <w:ind w:firstLine="472" w:firstLineChars="147"/>
        <w:jc w:val="center"/>
        <w:rPr>
          <w:rFonts w:ascii="Arial" w:hAnsi="Arial" w:eastAsia="宋体" w:cs="Arial"/>
          <w:b/>
          <w:bCs/>
          <w:color w:val="auto"/>
          <w:sz w:val="32"/>
          <w:szCs w:val="32"/>
          <w:highlight w:val="none"/>
        </w:rPr>
      </w:pPr>
      <w:r>
        <w:rPr>
          <w:rFonts w:ascii="Arial" w:hAnsi="Arial" w:eastAsia="宋体" w:cs="Arial"/>
          <w:b/>
          <w:bCs/>
          <w:color w:val="auto"/>
          <w:sz w:val="32"/>
          <w:szCs w:val="32"/>
          <w:highlight w:val="none"/>
        </w:rPr>
        <w:t>项目实施人员一览表（格式）</w:t>
      </w:r>
    </w:p>
    <w:p w14:paraId="2EFA694B">
      <w:pPr>
        <w:ind w:firstLine="435"/>
        <w:rPr>
          <w:rFonts w:ascii="Arial" w:hAnsi="Arial" w:eastAsia="宋体" w:cs="Arial"/>
          <w:color w:val="auto"/>
          <w:szCs w:val="21"/>
          <w:highlight w:val="none"/>
        </w:rPr>
      </w:pPr>
    </w:p>
    <w:tbl>
      <w:tblPr>
        <w:tblStyle w:val="2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14:paraId="2077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3D20978B">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姓 名</w:t>
            </w:r>
          </w:p>
        </w:tc>
        <w:tc>
          <w:tcPr>
            <w:tcW w:w="806" w:type="dxa"/>
            <w:vAlign w:val="center"/>
          </w:tcPr>
          <w:p w14:paraId="48D9E3BC">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职务</w:t>
            </w:r>
          </w:p>
        </w:tc>
        <w:tc>
          <w:tcPr>
            <w:tcW w:w="1537" w:type="dxa"/>
            <w:vAlign w:val="center"/>
          </w:tcPr>
          <w:p w14:paraId="2D04EE7B">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专业技术资格</w:t>
            </w:r>
          </w:p>
        </w:tc>
        <w:tc>
          <w:tcPr>
            <w:tcW w:w="1371" w:type="dxa"/>
            <w:vAlign w:val="center"/>
          </w:tcPr>
          <w:p w14:paraId="38BF14F5">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证书编号</w:t>
            </w:r>
          </w:p>
        </w:tc>
        <w:tc>
          <w:tcPr>
            <w:tcW w:w="2163" w:type="dxa"/>
            <w:vAlign w:val="center"/>
          </w:tcPr>
          <w:p w14:paraId="3546A501">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参加本单位</w:t>
            </w:r>
          </w:p>
          <w:p w14:paraId="66852B8C">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工作时间</w:t>
            </w:r>
          </w:p>
        </w:tc>
        <w:tc>
          <w:tcPr>
            <w:tcW w:w="2000" w:type="dxa"/>
            <w:vAlign w:val="center"/>
          </w:tcPr>
          <w:p w14:paraId="234037C0">
            <w:pPr>
              <w:spacing w:line="400" w:lineRule="exact"/>
              <w:jc w:val="center"/>
              <w:rPr>
                <w:rFonts w:ascii="Arial" w:hAnsi="Arial" w:eastAsia="宋体" w:cs="Arial"/>
                <w:color w:val="auto"/>
                <w:szCs w:val="21"/>
                <w:highlight w:val="none"/>
              </w:rPr>
            </w:pPr>
            <w:r>
              <w:rPr>
                <w:rFonts w:ascii="Arial" w:hAnsi="Arial" w:eastAsia="宋体" w:cs="Arial"/>
                <w:color w:val="auto"/>
                <w:szCs w:val="21"/>
                <w:highlight w:val="none"/>
              </w:rPr>
              <w:t>劳动合同编号</w:t>
            </w:r>
          </w:p>
        </w:tc>
      </w:tr>
      <w:tr w14:paraId="0786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43351C5">
            <w:pPr>
              <w:spacing w:line="400" w:lineRule="exact"/>
              <w:rPr>
                <w:rFonts w:ascii="Arial" w:hAnsi="Arial" w:eastAsia="宋体" w:cs="Arial"/>
                <w:color w:val="auto"/>
                <w:szCs w:val="21"/>
                <w:highlight w:val="none"/>
              </w:rPr>
            </w:pPr>
          </w:p>
        </w:tc>
        <w:tc>
          <w:tcPr>
            <w:tcW w:w="806" w:type="dxa"/>
          </w:tcPr>
          <w:p w14:paraId="026BA5AF">
            <w:pPr>
              <w:spacing w:line="400" w:lineRule="exact"/>
              <w:rPr>
                <w:rFonts w:ascii="Arial" w:hAnsi="Arial" w:eastAsia="宋体" w:cs="Arial"/>
                <w:color w:val="auto"/>
                <w:szCs w:val="21"/>
                <w:highlight w:val="none"/>
              </w:rPr>
            </w:pPr>
          </w:p>
        </w:tc>
        <w:tc>
          <w:tcPr>
            <w:tcW w:w="1537" w:type="dxa"/>
          </w:tcPr>
          <w:p w14:paraId="2E07F477">
            <w:pPr>
              <w:spacing w:line="400" w:lineRule="exact"/>
              <w:rPr>
                <w:rFonts w:ascii="Arial" w:hAnsi="Arial" w:eastAsia="宋体" w:cs="Arial"/>
                <w:color w:val="auto"/>
                <w:szCs w:val="21"/>
                <w:highlight w:val="none"/>
              </w:rPr>
            </w:pPr>
          </w:p>
        </w:tc>
        <w:tc>
          <w:tcPr>
            <w:tcW w:w="1371" w:type="dxa"/>
          </w:tcPr>
          <w:p w14:paraId="775AB9ED">
            <w:pPr>
              <w:spacing w:line="400" w:lineRule="exact"/>
              <w:rPr>
                <w:rFonts w:ascii="Arial" w:hAnsi="Arial" w:eastAsia="宋体" w:cs="Arial"/>
                <w:color w:val="auto"/>
                <w:szCs w:val="21"/>
                <w:highlight w:val="none"/>
              </w:rPr>
            </w:pPr>
          </w:p>
        </w:tc>
        <w:tc>
          <w:tcPr>
            <w:tcW w:w="2163" w:type="dxa"/>
          </w:tcPr>
          <w:p w14:paraId="6AEE9AD7">
            <w:pPr>
              <w:spacing w:line="400" w:lineRule="exact"/>
              <w:rPr>
                <w:rFonts w:ascii="Arial" w:hAnsi="Arial" w:eastAsia="宋体" w:cs="Arial"/>
                <w:color w:val="auto"/>
                <w:szCs w:val="21"/>
                <w:highlight w:val="none"/>
              </w:rPr>
            </w:pPr>
          </w:p>
        </w:tc>
        <w:tc>
          <w:tcPr>
            <w:tcW w:w="2000" w:type="dxa"/>
          </w:tcPr>
          <w:p w14:paraId="7EA8CEBF">
            <w:pPr>
              <w:spacing w:line="400" w:lineRule="exact"/>
              <w:rPr>
                <w:rFonts w:ascii="Arial" w:hAnsi="Arial" w:eastAsia="宋体" w:cs="Arial"/>
                <w:color w:val="auto"/>
                <w:szCs w:val="21"/>
                <w:highlight w:val="none"/>
              </w:rPr>
            </w:pPr>
          </w:p>
        </w:tc>
      </w:tr>
      <w:tr w14:paraId="11BF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14:paraId="6F0C1C92">
            <w:pPr>
              <w:spacing w:line="400" w:lineRule="exact"/>
              <w:rPr>
                <w:rFonts w:ascii="Arial" w:hAnsi="Arial" w:eastAsia="宋体" w:cs="Arial"/>
                <w:color w:val="auto"/>
                <w:szCs w:val="21"/>
                <w:highlight w:val="none"/>
              </w:rPr>
            </w:pPr>
          </w:p>
        </w:tc>
        <w:tc>
          <w:tcPr>
            <w:tcW w:w="806" w:type="dxa"/>
          </w:tcPr>
          <w:p w14:paraId="0E26CFB7">
            <w:pPr>
              <w:spacing w:line="400" w:lineRule="exact"/>
              <w:rPr>
                <w:rFonts w:ascii="Arial" w:hAnsi="Arial" w:eastAsia="宋体" w:cs="Arial"/>
                <w:color w:val="auto"/>
                <w:szCs w:val="21"/>
                <w:highlight w:val="none"/>
              </w:rPr>
            </w:pPr>
          </w:p>
        </w:tc>
        <w:tc>
          <w:tcPr>
            <w:tcW w:w="1537" w:type="dxa"/>
          </w:tcPr>
          <w:p w14:paraId="48C257EF">
            <w:pPr>
              <w:spacing w:line="400" w:lineRule="exact"/>
              <w:rPr>
                <w:rFonts w:ascii="Arial" w:hAnsi="Arial" w:eastAsia="宋体" w:cs="Arial"/>
                <w:color w:val="auto"/>
                <w:szCs w:val="21"/>
                <w:highlight w:val="none"/>
              </w:rPr>
            </w:pPr>
          </w:p>
        </w:tc>
        <w:tc>
          <w:tcPr>
            <w:tcW w:w="1371" w:type="dxa"/>
          </w:tcPr>
          <w:p w14:paraId="0A69CD39">
            <w:pPr>
              <w:spacing w:line="400" w:lineRule="exact"/>
              <w:rPr>
                <w:rFonts w:ascii="Arial" w:hAnsi="Arial" w:eastAsia="宋体" w:cs="Arial"/>
                <w:color w:val="auto"/>
                <w:szCs w:val="21"/>
                <w:highlight w:val="none"/>
              </w:rPr>
            </w:pPr>
          </w:p>
        </w:tc>
        <w:tc>
          <w:tcPr>
            <w:tcW w:w="2163" w:type="dxa"/>
          </w:tcPr>
          <w:p w14:paraId="620119B1">
            <w:pPr>
              <w:spacing w:line="400" w:lineRule="exact"/>
              <w:rPr>
                <w:rFonts w:ascii="Arial" w:hAnsi="Arial" w:eastAsia="宋体" w:cs="Arial"/>
                <w:color w:val="auto"/>
                <w:szCs w:val="21"/>
                <w:highlight w:val="none"/>
              </w:rPr>
            </w:pPr>
          </w:p>
        </w:tc>
        <w:tc>
          <w:tcPr>
            <w:tcW w:w="2000" w:type="dxa"/>
          </w:tcPr>
          <w:p w14:paraId="20C777CC">
            <w:pPr>
              <w:spacing w:line="400" w:lineRule="exact"/>
              <w:rPr>
                <w:rFonts w:ascii="Arial" w:hAnsi="Arial" w:eastAsia="宋体" w:cs="Arial"/>
                <w:color w:val="auto"/>
                <w:szCs w:val="21"/>
                <w:highlight w:val="none"/>
              </w:rPr>
            </w:pPr>
          </w:p>
        </w:tc>
      </w:tr>
    </w:tbl>
    <w:p w14:paraId="20C6FC61">
      <w:pPr>
        <w:spacing w:line="400" w:lineRule="exact"/>
        <w:rPr>
          <w:rFonts w:ascii="Arial" w:hAnsi="Arial" w:eastAsia="宋体" w:cs="Arial"/>
          <w:color w:val="auto"/>
          <w:szCs w:val="21"/>
          <w:highlight w:val="none"/>
        </w:rPr>
      </w:pPr>
    </w:p>
    <w:p w14:paraId="48255C82">
      <w:pPr>
        <w:spacing w:line="400" w:lineRule="exact"/>
        <w:rPr>
          <w:rFonts w:ascii="Arial" w:hAnsi="Arial" w:eastAsia="宋体" w:cs="Arial"/>
          <w:color w:val="auto"/>
          <w:szCs w:val="21"/>
          <w:highlight w:val="none"/>
        </w:rPr>
      </w:pPr>
      <w:r>
        <w:rPr>
          <w:rFonts w:ascii="Arial" w:hAnsi="Arial" w:eastAsia="宋体" w:cs="Arial"/>
          <w:color w:val="auto"/>
          <w:szCs w:val="21"/>
          <w:highlight w:val="none"/>
        </w:rPr>
        <w:t>注：1.在填写时，如本表格不适合供应商的实际情况，可根据本表格式自行制表填写。</w:t>
      </w:r>
    </w:p>
    <w:p w14:paraId="54957D13">
      <w:pPr>
        <w:spacing w:line="400" w:lineRule="exact"/>
        <w:ind w:left="420" w:leftChars="200"/>
        <w:rPr>
          <w:rFonts w:ascii="Arial" w:hAnsi="Arial" w:eastAsia="宋体" w:cs="Arial"/>
          <w:color w:val="auto"/>
          <w:szCs w:val="21"/>
          <w:highlight w:val="none"/>
        </w:rPr>
      </w:pPr>
      <w:r>
        <w:rPr>
          <w:rFonts w:ascii="Arial" w:hAnsi="Arial" w:eastAsia="宋体" w:cs="Arial"/>
          <w:color w:val="auto"/>
          <w:szCs w:val="21"/>
          <w:highlight w:val="none"/>
        </w:rPr>
        <w:t>2.项目实施人员一览表须由法定代表人或相应的委托代理人签字并加盖供应商公章。</w:t>
      </w:r>
    </w:p>
    <w:p w14:paraId="79F2DF04">
      <w:pPr>
        <w:spacing w:line="400" w:lineRule="exact"/>
        <w:rPr>
          <w:rFonts w:ascii="Arial" w:hAnsi="Arial" w:eastAsia="宋体" w:cs="Arial"/>
          <w:color w:val="auto"/>
          <w:szCs w:val="21"/>
          <w:highlight w:val="none"/>
        </w:rPr>
      </w:pPr>
    </w:p>
    <w:p w14:paraId="2A786EB4">
      <w:pPr>
        <w:snapToGrid w:val="0"/>
        <w:spacing w:line="400" w:lineRule="exact"/>
        <w:ind w:firstLine="3570" w:firstLineChars="1700"/>
        <w:rPr>
          <w:rFonts w:ascii="Arial" w:hAnsi="Arial" w:eastAsia="宋体" w:cs="Arial"/>
          <w:color w:val="auto"/>
          <w:highlight w:val="none"/>
          <w:u w:val="single"/>
        </w:rPr>
      </w:pPr>
      <w:r>
        <w:rPr>
          <w:rFonts w:ascii="Arial" w:hAnsi="Arial" w:eastAsia="宋体" w:cs="Arial"/>
          <w:color w:val="auto"/>
          <w:highlight w:val="none"/>
        </w:rPr>
        <w:t>供应商（公章）：</w:t>
      </w:r>
      <w:r>
        <w:rPr>
          <w:rFonts w:ascii="Arial" w:hAnsi="Arial" w:eastAsia="宋体" w:cs="Arial"/>
          <w:color w:val="auto"/>
          <w:highlight w:val="none"/>
          <w:u w:val="single"/>
        </w:rPr>
        <w:t xml:space="preserve">                                         </w:t>
      </w:r>
    </w:p>
    <w:p w14:paraId="5C028E53">
      <w:pPr>
        <w:pStyle w:val="14"/>
        <w:spacing w:line="400" w:lineRule="exact"/>
        <w:ind w:left="3570" w:leftChars="1700"/>
        <w:rPr>
          <w:rFonts w:ascii="Arial" w:hAnsi="Arial" w:eastAsia="宋体" w:cs="Arial"/>
          <w:color w:val="auto"/>
          <w:highlight w:val="none"/>
          <w:u w:val="single"/>
        </w:rPr>
      </w:pPr>
      <w:r>
        <w:rPr>
          <w:rFonts w:ascii="Arial" w:hAnsi="Arial" w:eastAsia="宋体" w:cs="Arial"/>
          <w:color w:val="auto"/>
          <w:highlight w:val="none"/>
        </w:rPr>
        <w:t>法定代表人、负责人或相应的委托代理人签字：</w:t>
      </w:r>
      <w:r>
        <w:rPr>
          <w:rFonts w:ascii="Arial" w:hAnsi="Arial" w:eastAsia="宋体" w:cs="Arial"/>
          <w:color w:val="auto"/>
          <w:highlight w:val="none"/>
          <w:u w:val="single"/>
        </w:rPr>
        <w:t xml:space="preserve">               </w:t>
      </w:r>
    </w:p>
    <w:p w14:paraId="2CA84B82">
      <w:pPr>
        <w:pStyle w:val="14"/>
        <w:spacing w:line="340" w:lineRule="exact"/>
        <w:ind w:firstLine="3570" w:firstLineChars="1700"/>
        <w:rPr>
          <w:rFonts w:ascii="Arial" w:hAnsi="Arial" w:eastAsia="宋体" w:cs="Arial"/>
          <w:color w:val="auto"/>
          <w:highlight w:val="none"/>
        </w:rPr>
      </w:pPr>
      <w:r>
        <w:rPr>
          <w:rFonts w:ascii="Arial" w:hAnsi="Arial" w:eastAsia="宋体" w:cs="Arial"/>
          <w:color w:val="auto"/>
          <w:highlight w:val="none"/>
        </w:rPr>
        <w:t>日          期：</w:t>
      </w:r>
      <w:r>
        <w:rPr>
          <w:rFonts w:ascii="Arial" w:hAnsi="Arial" w:eastAsia="宋体" w:cs="Arial"/>
          <w:color w:val="auto"/>
          <w:highlight w:val="none"/>
          <w:u w:val="single"/>
        </w:rPr>
        <w:t xml:space="preserve">                             </w:t>
      </w:r>
    </w:p>
    <w:p w14:paraId="2575EBAB">
      <w:pPr>
        <w:pStyle w:val="14"/>
        <w:spacing w:line="340" w:lineRule="exact"/>
        <w:rPr>
          <w:rFonts w:ascii="Arial" w:hAnsi="Arial" w:eastAsia="宋体" w:cs="Arial"/>
          <w:b/>
          <w:color w:val="auto"/>
          <w:sz w:val="28"/>
          <w:szCs w:val="28"/>
          <w:highlight w:val="none"/>
        </w:rPr>
      </w:pPr>
    </w:p>
    <w:p w14:paraId="70E12C86">
      <w:pPr>
        <w:pStyle w:val="7"/>
        <w:ind w:left="2940"/>
        <w:rPr>
          <w:rFonts w:ascii="Arial" w:hAnsi="Arial" w:eastAsia="宋体" w:cs="Arial"/>
          <w:color w:val="auto"/>
          <w:highlight w:val="none"/>
        </w:rPr>
      </w:pPr>
    </w:p>
    <w:p w14:paraId="133DB502">
      <w:pPr>
        <w:pStyle w:val="14"/>
        <w:spacing w:line="340" w:lineRule="exact"/>
        <w:rPr>
          <w:rFonts w:ascii="Arial" w:hAnsi="Arial" w:eastAsia="宋体" w:cs="Arial"/>
          <w:b/>
          <w:color w:val="auto"/>
          <w:sz w:val="28"/>
          <w:szCs w:val="28"/>
          <w:highlight w:val="none"/>
        </w:rPr>
      </w:pPr>
    </w:p>
    <w:p w14:paraId="29DB9E0D">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2.供应商具有同类产品的销售业绩的相关证明材料（无不良记录，以中标、成交通知书或签订的销售合同为准，并能清晰反映所销售的货物名称、种类、金额）（如有，请提供）；</w:t>
      </w:r>
    </w:p>
    <w:p w14:paraId="637A1A02">
      <w:pPr>
        <w:pStyle w:val="14"/>
        <w:spacing w:line="340" w:lineRule="exact"/>
        <w:rPr>
          <w:rFonts w:ascii="Arial" w:hAnsi="Arial" w:eastAsia="宋体" w:cs="Arial"/>
          <w:b/>
          <w:color w:val="auto"/>
          <w:sz w:val="28"/>
          <w:szCs w:val="28"/>
          <w:highlight w:val="none"/>
        </w:rPr>
      </w:pPr>
    </w:p>
    <w:p w14:paraId="08B60461">
      <w:pPr>
        <w:tabs>
          <w:tab w:val="left" w:pos="1305"/>
        </w:tabs>
        <w:spacing w:line="520" w:lineRule="exact"/>
        <w:rPr>
          <w:rFonts w:ascii="Arial" w:hAnsi="Arial" w:eastAsia="宋体" w:cs="Arial"/>
          <w:b/>
          <w:color w:val="auto"/>
          <w:sz w:val="28"/>
          <w:szCs w:val="28"/>
          <w:highlight w:val="none"/>
        </w:rPr>
      </w:pPr>
    </w:p>
    <w:p w14:paraId="55CBA61C">
      <w:pPr>
        <w:tabs>
          <w:tab w:val="left" w:pos="1305"/>
        </w:tabs>
        <w:spacing w:line="52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3.供应商相关获奖证书、认证证书等复印件（如有，请提供）；</w:t>
      </w:r>
    </w:p>
    <w:p w14:paraId="17068EEB">
      <w:pPr>
        <w:pStyle w:val="14"/>
        <w:spacing w:line="340" w:lineRule="exact"/>
        <w:rPr>
          <w:rFonts w:ascii="Arial" w:hAnsi="Arial" w:eastAsia="宋体" w:cs="Arial"/>
          <w:b/>
          <w:color w:val="auto"/>
          <w:sz w:val="28"/>
          <w:szCs w:val="28"/>
          <w:highlight w:val="none"/>
        </w:rPr>
      </w:pPr>
    </w:p>
    <w:p w14:paraId="24A8CA1F">
      <w:pPr>
        <w:pStyle w:val="7"/>
        <w:ind w:left="2940"/>
        <w:rPr>
          <w:color w:val="auto"/>
          <w:highlight w:val="none"/>
        </w:rPr>
      </w:pPr>
    </w:p>
    <w:p w14:paraId="6C8EB010">
      <w:pPr>
        <w:pStyle w:val="14"/>
        <w:spacing w:line="340" w:lineRule="exact"/>
        <w:rPr>
          <w:rFonts w:ascii="Arial" w:hAnsi="Arial" w:eastAsia="宋体" w:cs="Arial"/>
          <w:b/>
          <w:color w:val="auto"/>
          <w:sz w:val="28"/>
          <w:szCs w:val="28"/>
          <w:highlight w:val="none"/>
        </w:rPr>
      </w:pPr>
    </w:p>
    <w:p w14:paraId="18B8C5DC">
      <w:pPr>
        <w:pStyle w:val="14"/>
        <w:spacing w:line="340" w:lineRule="exact"/>
        <w:rPr>
          <w:rFonts w:ascii="Arial" w:hAnsi="Arial" w:eastAsia="宋体" w:cs="Arial"/>
          <w:b/>
          <w:color w:val="auto"/>
          <w:sz w:val="28"/>
          <w:szCs w:val="28"/>
          <w:highlight w:val="none"/>
        </w:rPr>
      </w:pPr>
      <w:r>
        <w:rPr>
          <w:rFonts w:ascii="Arial" w:hAnsi="Arial" w:eastAsia="宋体" w:cs="Arial"/>
          <w:b/>
          <w:color w:val="auto"/>
          <w:sz w:val="28"/>
          <w:szCs w:val="28"/>
          <w:highlight w:val="none"/>
        </w:rPr>
        <w:t>4.供应商可结合本项目自身情况自行提交其它相关证明材料（如有，请提供）</w:t>
      </w:r>
    </w:p>
    <w:p w14:paraId="57ADF117">
      <w:pPr>
        <w:rPr>
          <w:rFonts w:ascii="Arial" w:hAnsi="Arial" w:eastAsia="宋体" w:cs="Arial"/>
          <w:color w:val="auto"/>
          <w:highlight w:val="none"/>
        </w:rPr>
      </w:pPr>
      <w:r>
        <w:rPr>
          <w:rFonts w:ascii="Arial" w:hAnsi="Arial" w:eastAsia="宋体" w:cs="Arial"/>
          <w:color w:val="auto"/>
          <w:highlight w:val="none"/>
        </w:rPr>
        <w:br w:type="page"/>
      </w:r>
    </w:p>
    <w:p w14:paraId="1DE6F6A0">
      <w:pPr>
        <w:rPr>
          <w:rFonts w:ascii="Arial" w:hAnsi="Arial" w:eastAsia="宋体" w:cs="Arial"/>
          <w:color w:val="auto"/>
          <w:sz w:val="28"/>
          <w:szCs w:val="28"/>
          <w:highlight w:val="none"/>
        </w:rPr>
      </w:pPr>
      <w:r>
        <w:rPr>
          <w:rFonts w:ascii="Arial" w:hAnsi="Arial" w:eastAsia="宋体" w:cs="Arial"/>
          <w:b/>
          <w:color w:val="auto"/>
          <w:sz w:val="28"/>
          <w:szCs w:val="28"/>
          <w:highlight w:val="none"/>
        </w:rPr>
        <w:t>附件（如有，请提供）：</w:t>
      </w:r>
    </w:p>
    <w:p w14:paraId="1F2F5402">
      <w:pPr>
        <w:rPr>
          <w:rFonts w:ascii="Arial" w:hAnsi="Arial" w:eastAsia="宋体" w:cs="Arial"/>
          <w:b/>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rPr>
        <w:t>.</w:t>
      </w:r>
      <w:r>
        <w:rPr>
          <w:rFonts w:ascii="Arial" w:hAnsi="Arial" w:eastAsia="宋体" w:cs="Arial"/>
          <w:bCs/>
          <w:color w:val="auto"/>
          <w:szCs w:val="21"/>
          <w:highlight w:val="none"/>
        </w:rPr>
        <w:t>中小企业声明函</w:t>
      </w:r>
      <w:r>
        <w:rPr>
          <w:rFonts w:ascii="Arial" w:hAnsi="Arial" w:eastAsia="宋体" w:cs="Arial"/>
          <w:color w:val="auto"/>
          <w:szCs w:val="21"/>
          <w:highlight w:val="none"/>
        </w:rPr>
        <w:t>。</w:t>
      </w:r>
      <w:bookmarkStart w:id="55" w:name="_Hlk60651253"/>
    </w:p>
    <w:bookmarkEnd w:id="55"/>
    <w:p w14:paraId="1CE64136">
      <w:pPr>
        <w:spacing w:line="360" w:lineRule="auto"/>
        <w:ind w:firstLine="3584" w:firstLineChars="1700"/>
        <w:rPr>
          <w:rFonts w:ascii="Arial" w:hAnsi="Arial" w:eastAsia="宋体" w:cs="Arial"/>
          <w:b/>
          <w:color w:val="auto"/>
          <w:szCs w:val="21"/>
          <w:highlight w:val="none"/>
        </w:rPr>
      </w:pPr>
      <w:bookmarkStart w:id="56" w:name="_Hlk60653683"/>
      <w:bookmarkStart w:id="57" w:name="_Hlk60649458"/>
      <w:bookmarkStart w:id="58" w:name="_Hlk19115884"/>
      <w:bookmarkStart w:id="59" w:name="_Hlk65852042"/>
      <w:r>
        <w:rPr>
          <w:rFonts w:ascii="Arial" w:hAnsi="Arial" w:eastAsia="宋体" w:cs="Arial"/>
          <w:b/>
          <w:color w:val="auto"/>
          <w:szCs w:val="21"/>
          <w:highlight w:val="none"/>
        </w:rPr>
        <w:t>中小企业声明函（货物）</w:t>
      </w:r>
    </w:p>
    <w:p w14:paraId="1DD23ECD">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本公司（联合体）郑重声明，根据《政府采购促进中小企业发展管理办法》（财库﹝2020﹞46 号）的规定，本公司（联合体）参加</w:t>
      </w:r>
      <w:r>
        <w:rPr>
          <w:rFonts w:ascii="Arial" w:hAnsi="Arial" w:eastAsia="宋体" w:cs="Arial"/>
          <w:bCs/>
          <w:color w:val="auto"/>
          <w:szCs w:val="21"/>
          <w:highlight w:val="none"/>
          <w:u w:val="single"/>
        </w:rPr>
        <w:t>（单位名称）</w:t>
      </w:r>
      <w:r>
        <w:rPr>
          <w:rFonts w:ascii="Arial" w:hAnsi="Arial" w:eastAsia="宋体" w:cs="Arial"/>
          <w:bCs/>
          <w:color w:val="auto"/>
          <w:szCs w:val="21"/>
          <w:highlight w:val="none"/>
        </w:rPr>
        <w:t>的</w:t>
      </w:r>
      <w:r>
        <w:rPr>
          <w:rFonts w:ascii="Arial" w:hAnsi="Arial" w:eastAsia="宋体" w:cs="Arial"/>
          <w:bCs/>
          <w:color w:val="auto"/>
          <w:szCs w:val="21"/>
          <w:highlight w:val="none"/>
          <w:u w:val="single"/>
        </w:rPr>
        <w:t>（项目名称）</w:t>
      </w:r>
      <w:r>
        <w:rPr>
          <w:rFonts w:ascii="Arial" w:hAnsi="Arial" w:eastAsia="宋体" w:cs="Arial"/>
          <w:bCs/>
          <w:color w:val="auto"/>
          <w:szCs w:val="21"/>
          <w:highlight w:val="none"/>
        </w:rPr>
        <w:t>采购活动，提供的货物全部由符合政策要求的中小企业制造。相关企业（含联合体中的中小企业、签订分包意向协议的中小企业）的具体情况如下：</w:t>
      </w:r>
    </w:p>
    <w:p w14:paraId="65528549">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1.</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w:t>
      </w:r>
      <w:r>
        <w:rPr>
          <w:rFonts w:ascii="Arial" w:hAnsi="Arial" w:eastAsia="宋体" w:cs="Arial"/>
          <w:bCs/>
          <w:color w:val="auto"/>
          <w:szCs w:val="21"/>
          <w:highlight w:val="none"/>
          <w:u w:val="single"/>
        </w:rPr>
        <w:t>件中明确的所属行业）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p>
    <w:p w14:paraId="6A06A40C">
      <w:pPr>
        <w:spacing w:line="360" w:lineRule="auto"/>
        <w:rPr>
          <w:rFonts w:ascii="Arial" w:hAnsi="Arial" w:eastAsia="宋体" w:cs="Arial"/>
          <w:bCs/>
          <w:color w:val="auto"/>
          <w:szCs w:val="21"/>
          <w:highlight w:val="none"/>
        </w:rPr>
      </w:pP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14:paraId="2EAFF99C">
      <w:pPr>
        <w:spacing w:line="360" w:lineRule="auto"/>
        <w:ind w:firstLine="210" w:firstLineChars="100"/>
        <w:rPr>
          <w:rFonts w:ascii="Arial" w:hAnsi="Arial" w:eastAsia="宋体" w:cs="Arial"/>
          <w:bCs/>
          <w:color w:val="auto"/>
          <w:szCs w:val="21"/>
          <w:highlight w:val="none"/>
        </w:rPr>
      </w:pPr>
      <w:r>
        <w:rPr>
          <w:rFonts w:hint="eastAsia" w:ascii="Arial" w:hAnsi="Arial" w:eastAsia="宋体" w:cs="Arial"/>
          <w:bCs/>
          <w:color w:val="auto"/>
          <w:szCs w:val="21"/>
          <w:highlight w:val="none"/>
        </w:rPr>
        <w:t>2.</w:t>
      </w:r>
      <w:r>
        <w:rPr>
          <w:rFonts w:ascii="Arial" w:hAnsi="Arial" w:eastAsia="宋体" w:cs="Arial"/>
          <w:bCs/>
          <w:color w:val="auto"/>
          <w:szCs w:val="21"/>
          <w:highlight w:val="none"/>
          <w:u w:val="single"/>
        </w:rPr>
        <w:t>（标的名称）</w:t>
      </w:r>
      <w:r>
        <w:rPr>
          <w:rFonts w:ascii="Arial" w:hAnsi="Arial" w:eastAsia="宋体" w:cs="Arial"/>
          <w:bCs/>
          <w:color w:val="auto"/>
          <w:szCs w:val="21"/>
          <w:highlight w:val="none"/>
        </w:rPr>
        <w:t>，属于</w:t>
      </w:r>
      <w:r>
        <w:rPr>
          <w:rFonts w:ascii="Arial" w:hAnsi="Arial" w:eastAsia="宋体" w:cs="Arial"/>
          <w:bCs/>
          <w:color w:val="auto"/>
          <w:szCs w:val="21"/>
          <w:highlight w:val="none"/>
          <w:u w:val="single"/>
        </w:rPr>
        <w:t>（</w:t>
      </w:r>
      <w:r>
        <w:rPr>
          <w:rFonts w:hint="eastAsia" w:ascii="Arial" w:hAnsi="Arial" w:eastAsia="宋体" w:cs="Arial"/>
          <w:bCs/>
          <w:color w:val="auto"/>
          <w:szCs w:val="21"/>
          <w:highlight w:val="none"/>
          <w:u w:val="single"/>
        </w:rPr>
        <w:t>采购文</w:t>
      </w:r>
      <w:r>
        <w:rPr>
          <w:rFonts w:ascii="Arial" w:hAnsi="Arial" w:eastAsia="宋体" w:cs="Arial"/>
          <w:bCs/>
          <w:color w:val="auto"/>
          <w:szCs w:val="21"/>
          <w:highlight w:val="none"/>
          <w:u w:val="single"/>
        </w:rPr>
        <w:t>件中明确的所属行业）</w:t>
      </w:r>
      <w:r>
        <w:rPr>
          <w:rFonts w:ascii="Arial" w:hAnsi="Arial" w:eastAsia="宋体" w:cs="Arial"/>
          <w:bCs/>
          <w:color w:val="auto"/>
          <w:szCs w:val="21"/>
          <w:highlight w:val="none"/>
        </w:rPr>
        <w:t>行业；制造商为</w:t>
      </w:r>
      <w:r>
        <w:rPr>
          <w:rFonts w:ascii="Arial" w:hAnsi="Arial" w:eastAsia="宋体" w:cs="Arial"/>
          <w:bCs/>
          <w:color w:val="auto"/>
          <w:szCs w:val="21"/>
          <w:highlight w:val="none"/>
          <w:u w:val="single"/>
        </w:rPr>
        <w:t>（企业名称）</w:t>
      </w:r>
      <w:r>
        <w:rPr>
          <w:rFonts w:ascii="Arial" w:hAnsi="Arial" w:eastAsia="宋体" w:cs="Arial"/>
          <w:bCs/>
          <w:color w:val="auto"/>
          <w:szCs w:val="21"/>
          <w:highlight w:val="none"/>
        </w:rPr>
        <w:t>，从业人员</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人，营业收入为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万元，资产总额为</w:t>
      </w:r>
      <w:r>
        <w:rPr>
          <w:rFonts w:ascii="Arial" w:hAnsi="Arial" w:eastAsia="宋体" w:cs="Arial"/>
          <w:bCs/>
          <w:color w:val="auto"/>
          <w:szCs w:val="21"/>
          <w:highlight w:val="none"/>
          <w:u w:val="single"/>
        </w:rPr>
        <w:t xml:space="preserve">       </w:t>
      </w:r>
      <w:r>
        <w:rPr>
          <w:rFonts w:ascii="Arial" w:hAnsi="Arial" w:eastAsia="宋体" w:cs="Arial"/>
          <w:bCs/>
          <w:color w:val="auto"/>
          <w:szCs w:val="21"/>
          <w:highlight w:val="none"/>
        </w:rPr>
        <w:t>万元，属于</w:t>
      </w:r>
      <w:r>
        <w:rPr>
          <w:rFonts w:ascii="Arial" w:hAnsi="Arial" w:eastAsia="宋体" w:cs="Arial"/>
          <w:bCs/>
          <w:color w:val="auto"/>
          <w:szCs w:val="21"/>
          <w:highlight w:val="none"/>
          <w:u w:val="single"/>
        </w:rPr>
        <w:t>（中型企业、小型企业、微型企业）</w:t>
      </w:r>
      <w:r>
        <w:rPr>
          <w:rFonts w:ascii="Arial" w:hAnsi="Arial" w:eastAsia="宋体" w:cs="Arial"/>
          <w:bCs/>
          <w:color w:val="auto"/>
          <w:szCs w:val="21"/>
          <w:highlight w:val="none"/>
        </w:rPr>
        <w:t>；</w:t>
      </w:r>
    </w:p>
    <w:p w14:paraId="4AC30502">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w:t>
      </w:r>
    </w:p>
    <w:p w14:paraId="11872A8E">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以上企业，不属于大企业的分支机构，不存在控股股东为大企业的情形，也不存在与大企业的负责人为同一人的情形。</w:t>
      </w:r>
    </w:p>
    <w:p w14:paraId="3AD70B1A">
      <w:pPr>
        <w:spacing w:line="360" w:lineRule="auto"/>
        <w:ind w:firstLine="420"/>
        <w:rPr>
          <w:rFonts w:ascii="Arial" w:hAnsi="Arial" w:eastAsia="宋体" w:cs="Arial"/>
          <w:bCs/>
          <w:color w:val="auto"/>
          <w:szCs w:val="21"/>
          <w:highlight w:val="none"/>
        </w:rPr>
      </w:pPr>
      <w:r>
        <w:rPr>
          <w:rFonts w:ascii="Arial" w:hAnsi="Arial" w:eastAsia="宋体" w:cs="Arial"/>
          <w:bCs/>
          <w:color w:val="auto"/>
          <w:szCs w:val="21"/>
          <w:highlight w:val="none"/>
        </w:rPr>
        <w:t>本企业对上述声明内容的真实性负责。如有虚假，将依法承担相应责任。</w:t>
      </w:r>
    </w:p>
    <w:p w14:paraId="3E38BA73">
      <w:pPr>
        <w:spacing w:line="360" w:lineRule="auto"/>
        <w:ind w:firstLine="4830" w:firstLineChars="2300"/>
        <w:rPr>
          <w:rFonts w:ascii="Arial" w:hAnsi="Arial" w:eastAsia="宋体" w:cs="Arial"/>
          <w:bCs/>
          <w:color w:val="auto"/>
          <w:szCs w:val="21"/>
          <w:highlight w:val="none"/>
        </w:rPr>
      </w:pPr>
      <w:r>
        <w:rPr>
          <w:rFonts w:ascii="Arial" w:hAnsi="Arial" w:eastAsia="宋体" w:cs="Arial"/>
          <w:color w:val="auto"/>
          <w:highlight w:val="none"/>
        </w:rPr>
        <w:t>供应商（公章）</w:t>
      </w:r>
      <w:r>
        <w:rPr>
          <w:rFonts w:ascii="Arial" w:hAnsi="Arial" w:eastAsia="宋体" w:cs="Arial"/>
          <w:bCs/>
          <w:color w:val="auto"/>
          <w:szCs w:val="21"/>
          <w:highlight w:val="none"/>
        </w:rPr>
        <w:t>：    日期：</w:t>
      </w:r>
    </w:p>
    <w:p w14:paraId="3299761B">
      <w:pPr>
        <w:spacing w:line="360" w:lineRule="auto"/>
        <w:jc w:val="left"/>
        <w:rPr>
          <w:rFonts w:ascii="Arial" w:hAnsi="Arial" w:eastAsia="宋体" w:cs="Arial"/>
          <w:bCs/>
          <w:color w:val="auto"/>
          <w:szCs w:val="21"/>
          <w:highlight w:val="none"/>
        </w:rPr>
      </w:pPr>
      <w:bookmarkStart w:id="60" w:name="_Hlk65852026"/>
      <w:r>
        <w:rPr>
          <w:rFonts w:ascii="Arial" w:hAnsi="Arial" w:eastAsia="宋体" w:cs="Arial"/>
          <w:bCs/>
          <w:color w:val="auto"/>
          <w:szCs w:val="21"/>
          <w:highlight w:val="none"/>
        </w:rPr>
        <w:t>注：</w:t>
      </w:r>
    </w:p>
    <w:bookmarkEnd w:id="56"/>
    <w:bookmarkEnd w:id="57"/>
    <w:bookmarkEnd w:id="60"/>
    <w:p w14:paraId="3BBCFA0D">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（1）标的名称按照第三章项目采购需求中的货物名称填写，</w:t>
      </w:r>
      <w:r>
        <w:rPr>
          <w:rFonts w:hint="eastAsia" w:ascii="Arial" w:hAnsi="Arial" w:eastAsia="宋体" w:cs="Arial"/>
          <w:b/>
          <w:color w:val="auto"/>
          <w:szCs w:val="21"/>
          <w:highlight w:val="none"/>
        </w:rPr>
        <w:t>本项目所属行业为：软件和信息技术服务业</w:t>
      </w:r>
      <w:r>
        <w:rPr>
          <w:rFonts w:ascii="Arial" w:hAnsi="Arial" w:eastAsia="宋体" w:cs="Arial"/>
          <w:b/>
          <w:color w:val="auto"/>
          <w:szCs w:val="21"/>
          <w:highlight w:val="none"/>
        </w:rPr>
        <w:t>。</w:t>
      </w:r>
    </w:p>
    <w:p w14:paraId="6802277C">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（2）如供应商为联合体或分包的，声明函中“项目名称”应填写联合体中小微企业承担的具体内容或者小微企业具体分包内容。</w:t>
      </w:r>
    </w:p>
    <w:p w14:paraId="0E592D2F">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（3）从业人员、营业收入、资产总额填报上一年度数据，无上一年度数据的新成立企业参照国务院批准的中小企业划分标准，根据企业自身情况如实判断。</w:t>
      </w:r>
    </w:p>
    <w:p w14:paraId="615FC97D">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6696CFA1">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3A462301">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（6）本声明函由供应商填写，供应商应按中小企业划分标准《关于印发中小企业划型标准规定的通知》（工信部联企业〔2011〕300号</w:t>
      </w:r>
      <w:r>
        <w:rPr>
          <w:rFonts w:ascii="Arial" w:hAnsi="Arial" w:eastAsia="宋体" w:cs="Arial"/>
          <w:color w:val="auto"/>
          <w:szCs w:val="21"/>
          <w:highlight w:val="none"/>
        </w:rPr>
        <w:t>以及《金融业企业划型标准规定》（银发〔2015〕309号）</w:t>
      </w:r>
      <w:r>
        <w:rPr>
          <w:rFonts w:ascii="Arial" w:hAnsi="Arial" w:eastAsia="宋体" w:cs="Arial"/>
          <w:bCs/>
          <w:color w:val="auto"/>
          <w:szCs w:val="21"/>
          <w:highlight w:val="none"/>
        </w:rPr>
        <w:t>）判断是否为中小企业。</w:t>
      </w:r>
    </w:p>
    <w:p w14:paraId="394744CE">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（7）供应商对《中小企业声明函》的真实性负责，如有虚假则需承担不利后果。依法享受中小企业优惠政策的，采购人或采购代理机构在公告中标结果时，同时公告其《中小企业声明函》，接受社会监督。</w:t>
      </w:r>
    </w:p>
    <w:p w14:paraId="7476BAF3">
      <w:pPr>
        <w:spacing w:line="360" w:lineRule="auto"/>
        <w:jc w:val="left"/>
        <w:rPr>
          <w:rFonts w:ascii="Arial" w:hAnsi="Arial" w:eastAsia="宋体" w:cs="Arial"/>
          <w:bCs/>
          <w:color w:val="auto"/>
          <w:szCs w:val="21"/>
          <w:highlight w:val="none"/>
        </w:rPr>
      </w:pPr>
      <w:r>
        <w:rPr>
          <w:rFonts w:ascii="Arial" w:hAnsi="Arial" w:eastAsia="宋体"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62F5991">
      <w:pPr>
        <w:spacing w:line="360" w:lineRule="auto"/>
        <w:jc w:val="left"/>
        <w:rPr>
          <w:rFonts w:ascii="Arial" w:hAnsi="Arial" w:eastAsia="宋体" w:cs="Arial"/>
          <w:bCs/>
          <w:color w:val="auto"/>
          <w:szCs w:val="21"/>
          <w:highlight w:val="none"/>
        </w:rPr>
      </w:pPr>
    </w:p>
    <w:p w14:paraId="6086256F">
      <w:pPr>
        <w:snapToGrid w:val="0"/>
        <w:spacing w:before="50" w:after="156" w:afterLines="50"/>
        <w:jc w:val="lef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rPr>
        <w:t>.</w:t>
      </w:r>
      <w:r>
        <w:rPr>
          <w:rFonts w:ascii="Arial" w:hAnsi="Arial" w:eastAsia="宋体" w:cs="Arial"/>
          <w:color w:val="auto"/>
          <w:szCs w:val="21"/>
          <w:highlight w:val="none"/>
        </w:rPr>
        <w:t>监狱企业须提供最新一期《XX省监狱企业产品目录》或其他监狱企业证明材料。（非监狱企业无需提供）</w:t>
      </w:r>
    </w:p>
    <w:p w14:paraId="476D23C6">
      <w:pPr>
        <w:snapToGrid w:val="0"/>
        <w:spacing w:before="50" w:after="156" w:afterLines="50"/>
        <w:jc w:val="left"/>
        <w:rPr>
          <w:rFonts w:ascii="Arial" w:hAnsi="Arial" w:eastAsia="宋体" w:cs="Arial"/>
          <w:color w:val="auto"/>
          <w:szCs w:val="21"/>
          <w:highlight w:val="none"/>
        </w:rPr>
      </w:pPr>
    </w:p>
    <w:p w14:paraId="1041E1FC">
      <w:pPr>
        <w:widowControl/>
        <w:jc w:val="left"/>
        <w:rPr>
          <w:rFonts w:ascii="Arial" w:hAnsi="Arial" w:eastAsia="宋体" w:cs="Arial"/>
          <w:color w:val="auto"/>
          <w:szCs w:val="21"/>
          <w:highlight w:val="none"/>
        </w:rPr>
      </w:pPr>
      <w:r>
        <w:rPr>
          <w:rFonts w:ascii="Arial" w:hAnsi="Arial" w:eastAsia="宋体" w:cs="Arial"/>
          <w:color w:val="auto"/>
          <w:szCs w:val="21"/>
          <w:highlight w:val="none"/>
        </w:rPr>
        <w:t>3</w:t>
      </w:r>
      <w:bookmarkStart w:id="61" w:name="_Hlk19051624"/>
      <w:r>
        <w:rPr>
          <w:rFonts w:hint="eastAsia" w:ascii="Arial" w:hAnsi="Arial" w:eastAsia="宋体" w:cs="Arial"/>
          <w:color w:val="auto"/>
          <w:szCs w:val="21"/>
          <w:highlight w:val="none"/>
        </w:rPr>
        <w:t>.</w:t>
      </w:r>
      <w:r>
        <w:rPr>
          <w:rFonts w:ascii="Arial" w:hAnsi="Arial" w:eastAsia="宋体" w:cs="Arial"/>
          <w:color w:val="auto"/>
          <w:highlight w:val="none"/>
        </w:rPr>
        <w:t>残疾人福利性单位须提供《残疾人福利性单位声明函》，格式如下。</w:t>
      </w:r>
      <w:r>
        <w:rPr>
          <w:rFonts w:ascii="Arial" w:hAnsi="Arial" w:eastAsia="宋体" w:cs="Arial"/>
          <w:color w:val="auto"/>
          <w:szCs w:val="21"/>
          <w:highlight w:val="none"/>
        </w:rPr>
        <w:t>（非残疾人福利性单位无需提供）</w:t>
      </w:r>
    </w:p>
    <w:bookmarkEnd w:id="61"/>
    <w:p w14:paraId="57C0DD99">
      <w:pPr>
        <w:spacing w:line="360" w:lineRule="auto"/>
        <w:jc w:val="center"/>
        <w:rPr>
          <w:rFonts w:ascii="Arial" w:hAnsi="Arial" w:eastAsia="宋体" w:cs="Arial"/>
          <w:b/>
          <w:color w:val="auto"/>
          <w:szCs w:val="21"/>
          <w:highlight w:val="none"/>
        </w:rPr>
      </w:pPr>
      <w:bookmarkStart w:id="62" w:name="OLE_LINK14"/>
      <w:bookmarkStart w:id="63" w:name="OLE_LINK13"/>
      <w:r>
        <w:rPr>
          <w:rFonts w:ascii="Arial" w:hAnsi="Arial" w:eastAsia="宋体" w:cs="Arial"/>
          <w:b/>
          <w:color w:val="auto"/>
          <w:szCs w:val="21"/>
          <w:highlight w:val="none"/>
        </w:rPr>
        <w:t>残疾人福利性单位声明函</w:t>
      </w:r>
      <w:bookmarkEnd w:id="62"/>
      <w:bookmarkEnd w:id="63"/>
    </w:p>
    <w:p w14:paraId="181CC719">
      <w:pPr>
        <w:spacing w:line="360" w:lineRule="auto"/>
        <w:ind w:firstLine="420"/>
        <w:jc w:val="left"/>
        <w:rPr>
          <w:rFonts w:ascii="Arial" w:hAnsi="Arial" w:eastAsia="宋体" w:cs="Arial"/>
          <w:color w:val="auto"/>
          <w:szCs w:val="21"/>
          <w:highlight w:val="none"/>
        </w:rPr>
      </w:pPr>
      <w:r>
        <w:rPr>
          <w:rFonts w:ascii="Arial" w:hAnsi="Arial" w:eastAsia="宋体"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单位的</w:t>
      </w:r>
      <w:r>
        <w:rPr>
          <w:rFonts w:ascii="Arial" w:hAnsi="Arial" w:eastAsia="宋体" w:cs="Arial"/>
          <w:color w:val="auto"/>
          <w:szCs w:val="21"/>
          <w:highlight w:val="none"/>
          <w:u w:val="single"/>
        </w:rPr>
        <w:t xml:space="preserve">           </w:t>
      </w:r>
      <w:r>
        <w:rPr>
          <w:rFonts w:ascii="Arial" w:hAnsi="Arial" w:eastAsia="宋体"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6CA78ED">
      <w:pPr>
        <w:spacing w:line="360" w:lineRule="auto"/>
        <w:ind w:firstLine="420"/>
        <w:rPr>
          <w:rFonts w:ascii="Arial" w:hAnsi="Arial" w:eastAsia="宋体" w:cs="Arial"/>
          <w:color w:val="auto"/>
          <w:szCs w:val="21"/>
          <w:highlight w:val="none"/>
        </w:rPr>
      </w:pPr>
      <w:r>
        <w:rPr>
          <w:rFonts w:ascii="Arial" w:hAnsi="Arial" w:eastAsia="宋体" w:cs="Arial"/>
          <w:color w:val="auto"/>
          <w:szCs w:val="21"/>
          <w:highlight w:val="none"/>
        </w:rPr>
        <w:t>本单位对上述声明的真实性负责。如有虚假，将依法承担相应责任。</w:t>
      </w:r>
    </w:p>
    <w:p w14:paraId="5D3FA128">
      <w:pPr>
        <w:spacing w:line="360" w:lineRule="auto"/>
        <w:ind w:firstLine="420"/>
        <w:jc w:val="center"/>
        <w:rPr>
          <w:rFonts w:ascii="Arial" w:hAnsi="Arial" w:eastAsia="宋体" w:cs="Arial"/>
          <w:color w:val="auto"/>
          <w:spacing w:val="6"/>
          <w:szCs w:val="21"/>
          <w:highlight w:val="none"/>
        </w:rPr>
      </w:pPr>
      <w:r>
        <w:rPr>
          <w:rFonts w:ascii="Arial" w:hAnsi="Arial" w:eastAsia="宋体" w:cs="Arial"/>
          <w:color w:val="auto"/>
          <w:highlight w:val="none"/>
        </w:rPr>
        <w:t>供应商（公章）</w:t>
      </w:r>
      <w:r>
        <w:rPr>
          <w:rFonts w:ascii="Arial" w:hAnsi="Arial" w:eastAsia="宋体" w:cs="Arial"/>
          <w:color w:val="auto"/>
          <w:spacing w:val="6"/>
          <w:szCs w:val="21"/>
          <w:highlight w:val="none"/>
        </w:rPr>
        <w:t>：</w:t>
      </w:r>
    </w:p>
    <w:p w14:paraId="61248CBA">
      <w:pPr>
        <w:spacing w:line="360" w:lineRule="auto"/>
        <w:ind w:firstLine="420"/>
        <w:jc w:val="center"/>
        <w:rPr>
          <w:rFonts w:ascii="Arial" w:hAnsi="Arial" w:cs="Arial"/>
          <w:color w:val="auto"/>
          <w:spacing w:val="6"/>
          <w:szCs w:val="21"/>
          <w:highlight w:val="none"/>
        </w:rPr>
      </w:pPr>
      <w:r>
        <w:rPr>
          <w:rFonts w:ascii="Arial" w:hAnsi="Arial" w:eastAsia="宋体" w:cs="Arial"/>
          <w:color w:val="auto"/>
          <w:spacing w:val="6"/>
          <w:szCs w:val="21"/>
          <w:highlight w:val="none"/>
        </w:rPr>
        <w:t>日  期：</w:t>
      </w:r>
    </w:p>
    <w:p w14:paraId="400B7CDE">
      <w:pPr>
        <w:spacing w:line="360" w:lineRule="auto"/>
        <w:rPr>
          <w:rFonts w:ascii="Arial" w:hAnsi="Arial" w:cs="Arial"/>
          <w:color w:val="auto"/>
          <w:szCs w:val="21"/>
          <w:highlight w:val="none"/>
        </w:rPr>
      </w:pPr>
    </w:p>
    <w:bookmarkEnd w:id="58"/>
    <w:bookmarkEnd w:id="59"/>
    <w:p w14:paraId="72111BAC">
      <w:pPr>
        <w:rPr>
          <w:color w:val="auto"/>
          <w:highlight w:val="none"/>
        </w:rPr>
      </w:pPr>
    </w:p>
    <w:p w14:paraId="241F7E4B">
      <w:pPr>
        <w:rPr>
          <w:color w:val="auto"/>
          <w:highlight w:val="none"/>
        </w:rPr>
      </w:pPr>
    </w:p>
    <w:bookmarkEnd w:id="64"/>
    <w:sectPr>
      <w:footerReference r:id="rId11" w:type="default"/>
      <w:pgSz w:w="11906" w:h="16838"/>
      <w:pgMar w:top="1304" w:right="924"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15FB3">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FB5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E44C3">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7E44C3">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65BF">
    <w:pPr>
      <w:tabs>
        <w:tab w:val="left" w:pos="1785"/>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AB86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BAB86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DD83">
    <w:pPr>
      <w:pStyle w:val="17"/>
      <w:rPr>
        <w:rStyle w:val="27"/>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C84C3">
                          <w:pPr>
                            <w:pStyle w:val="1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FC84C3">
                    <w:pPr>
                      <w:pStyle w:val="17"/>
                    </w:pPr>
                    <w:r>
                      <w:fldChar w:fldCharType="begin"/>
                    </w:r>
                    <w:r>
                      <w:instrText xml:space="preserve"> PAGE  \* MERGEFORMAT </w:instrText>
                    </w:r>
                    <w:r>
                      <w:fldChar w:fldCharType="separate"/>
                    </w:r>
                    <w:r>
                      <w:t>20</w:t>
                    </w:r>
                    <w:r>
                      <w:fldChar w:fldCharType="end"/>
                    </w:r>
                  </w:p>
                </w:txbxContent>
              </v:textbox>
            </v:shape>
          </w:pict>
        </mc:Fallback>
      </mc:AlternateContent>
    </w:r>
  </w:p>
  <w:p w14:paraId="521701A1">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B6C1">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34EBA">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5434EBA">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109F1">
    <w:pPr>
      <w:pStyle w:val="17"/>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361BE">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CB361BE">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AFD7">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81D2">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6F5B3">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BF6F5B3">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3D1F2">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TM0MDYxYzNhZTBmMmQ3ODcyYTgxMzFhNWNiMjMifQ=="/>
  </w:docVars>
  <w:rsids>
    <w:rsidRoot w:val="00F92138"/>
    <w:rsid w:val="00000735"/>
    <w:rsid w:val="00000B7B"/>
    <w:rsid w:val="000011ED"/>
    <w:rsid w:val="000019D9"/>
    <w:rsid w:val="00002003"/>
    <w:rsid w:val="0000200F"/>
    <w:rsid w:val="000029FA"/>
    <w:rsid w:val="00002B62"/>
    <w:rsid w:val="000034A6"/>
    <w:rsid w:val="0000390F"/>
    <w:rsid w:val="0000393D"/>
    <w:rsid w:val="00003B4C"/>
    <w:rsid w:val="00003D30"/>
    <w:rsid w:val="00003D90"/>
    <w:rsid w:val="000040FD"/>
    <w:rsid w:val="0000477B"/>
    <w:rsid w:val="00004CC8"/>
    <w:rsid w:val="00004F9B"/>
    <w:rsid w:val="00005143"/>
    <w:rsid w:val="00005783"/>
    <w:rsid w:val="00005950"/>
    <w:rsid w:val="0000607D"/>
    <w:rsid w:val="00006352"/>
    <w:rsid w:val="00006F69"/>
    <w:rsid w:val="0000722A"/>
    <w:rsid w:val="0000775B"/>
    <w:rsid w:val="00007E83"/>
    <w:rsid w:val="00007F96"/>
    <w:rsid w:val="0001073E"/>
    <w:rsid w:val="00010FC0"/>
    <w:rsid w:val="00011006"/>
    <w:rsid w:val="00011968"/>
    <w:rsid w:val="000127AC"/>
    <w:rsid w:val="0001284A"/>
    <w:rsid w:val="00012E2A"/>
    <w:rsid w:val="0001357A"/>
    <w:rsid w:val="000139C8"/>
    <w:rsid w:val="000139E0"/>
    <w:rsid w:val="00013C2B"/>
    <w:rsid w:val="00013EBB"/>
    <w:rsid w:val="00013F2B"/>
    <w:rsid w:val="00014B3F"/>
    <w:rsid w:val="00014F96"/>
    <w:rsid w:val="00015001"/>
    <w:rsid w:val="00015ADA"/>
    <w:rsid w:val="00016778"/>
    <w:rsid w:val="000173F5"/>
    <w:rsid w:val="00017DA1"/>
    <w:rsid w:val="0002073E"/>
    <w:rsid w:val="00021F89"/>
    <w:rsid w:val="00022A04"/>
    <w:rsid w:val="00022A8E"/>
    <w:rsid w:val="00022F6B"/>
    <w:rsid w:val="00023406"/>
    <w:rsid w:val="000236CF"/>
    <w:rsid w:val="00023CCC"/>
    <w:rsid w:val="000247AB"/>
    <w:rsid w:val="000247AF"/>
    <w:rsid w:val="00024F8B"/>
    <w:rsid w:val="000250E7"/>
    <w:rsid w:val="000253B5"/>
    <w:rsid w:val="000257E8"/>
    <w:rsid w:val="0002714F"/>
    <w:rsid w:val="000300C9"/>
    <w:rsid w:val="00030708"/>
    <w:rsid w:val="00030994"/>
    <w:rsid w:val="00030C53"/>
    <w:rsid w:val="00031552"/>
    <w:rsid w:val="00031D39"/>
    <w:rsid w:val="000320EE"/>
    <w:rsid w:val="000325F4"/>
    <w:rsid w:val="00032678"/>
    <w:rsid w:val="000331B7"/>
    <w:rsid w:val="00033313"/>
    <w:rsid w:val="00033D61"/>
    <w:rsid w:val="00033DAF"/>
    <w:rsid w:val="0003439C"/>
    <w:rsid w:val="000343BC"/>
    <w:rsid w:val="00034A7A"/>
    <w:rsid w:val="000350F3"/>
    <w:rsid w:val="000351B3"/>
    <w:rsid w:val="000352CA"/>
    <w:rsid w:val="000356DA"/>
    <w:rsid w:val="00035820"/>
    <w:rsid w:val="00035834"/>
    <w:rsid w:val="00035910"/>
    <w:rsid w:val="00035DF7"/>
    <w:rsid w:val="000377B0"/>
    <w:rsid w:val="00040940"/>
    <w:rsid w:val="00041076"/>
    <w:rsid w:val="000411E2"/>
    <w:rsid w:val="0004167F"/>
    <w:rsid w:val="000416EF"/>
    <w:rsid w:val="0004179F"/>
    <w:rsid w:val="00041BEF"/>
    <w:rsid w:val="00042132"/>
    <w:rsid w:val="000426E2"/>
    <w:rsid w:val="000427AB"/>
    <w:rsid w:val="0004314D"/>
    <w:rsid w:val="00043329"/>
    <w:rsid w:val="000435BB"/>
    <w:rsid w:val="00043BC9"/>
    <w:rsid w:val="00044975"/>
    <w:rsid w:val="00044B95"/>
    <w:rsid w:val="00044E5F"/>
    <w:rsid w:val="0004528E"/>
    <w:rsid w:val="00045A41"/>
    <w:rsid w:val="00045B84"/>
    <w:rsid w:val="00045F82"/>
    <w:rsid w:val="0004674C"/>
    <w:rsid w:val="000475AF"/>
    <w:rsid w:val="00047DE2"/>
    <w:rsid w:val="00047EB0"/>
    <w:rsid w:val="00050027"/>
    <w:rsid w:val="00050052"/>
    <w:rsid w:val="000504DA"/>
    <w:rsid w:val="000506B3"/>
    <w:rsid w:val="00050C94"/>
    <w:rsid w:val="00050EC4"/>
    <w:rsid w:val="00052011"/>
    <w:rsid w:val="00052DA6"/>
    <w:rsid w:val="00052DC5"/>
    <w:rsid w:val="00053080"/>
    <w:rsid w:val="000530AB"/>
    <w:rsid w:val="00054905"/>
    <w:rsid w:val="00054966"/>
    <w:rsid w:val="00054C38"/>
    <w:rsid w:val="00055318"/>
    <w:rsid w:val="00055BF1"/>
    <w:rsid w:val="00055E73"/>
    <w:rsid w:val="00055F83"/>
    <w:rsid w:val="00056190"/>
    <w:rsid w:val="00056AB7"/>
    <w:rsid w:val="00057B1A"/>
    <w:rsid w:val="00057CC9"/>
    <w:rsid w:val="000606D6"/>
    <w:rsid w:val="0006077A"/>
    <w:rsid w:val="00060AED"/>
    <w:rsid w:val="00060B78"/>
    <w:rsid w:val="00061151"/>
    <w:rsid w:val="0006188A"/>
    <w:rsid w:val="0006209C"/>
    <w:rsid w:val="0006269C"/>
    <w:rsid w:val="00062F9E"/>
    <w:rsid w:val="0006472E"/>
    <w:rsid w:val="00065639"/>
    <w:rsid w:val="00065A4D"/>
    <w:rsid w:val="00065C46"/>
    <w:rsid w:val="000665E4"/>
    <w:rsid w:val="000670BB"/>
    <w:rsid w:val="000675B5"/>
    <w:rsid w:val="00071885"/>
    <w:rsid w:val="00071A6A"/>
    <w:rsid w:val="00071B5D"/>
    <w:rsid w:val="000723E2"/>
    <w:rsid w:val="00072628"/>
    <w:rsid w:val="00072883"/>
    <w:rsid w:val="000738B6"/>
    <w:rsid w:val="00074224"/>
    <w:rsid w:val="00074AB7"/>
    <w:rsid w:val="00074DC6"/>
    <w:rsid w:val="00074DD4"/>
    <w:rsid w:val="0007565A"/>
    <w:rsid w:val="000760D2"/>
    <w:rsid w:val="00076294"/>
    <w:rsid w:val="000762BD"/>
    <w:rsid w:val="00076C31"/>
    <w:rsid w:val="0007704A"/>
    <w:rsid w:val="000775E8"/>
    <w:rsid w:val="0007788B"/>
    <w:rsid w:val="000779EA"/>
    <w:rsid w:val="00080059"/>
    <w:rsid w:val="0008020F"/>
    <w:rsid w:val="00080266"/>
    <w:rsid w:val="0008063A"/>
    <w:rsid w:val="00080CE3"/>
    <w:rsid w:val="00081346"/>
    <w:rsid w:val="000815D9"/>
    <w:rsid w:val="000820F8"/>
    <w:rsid w:val="00082451"/>
    <w:rsid w:val="000834F3"/>
    <w:rsid w:val="00084489"/>
    <w:rsid w:val="0008527D"/>
    <w:rsid w:val="00085C7F"/>
    <w:rsid w:val="000861D8"/>
    <w:rsid w:val="00086674"/>
    <w:rsid w:val="000875D7"/>
    <w:rsid w:val="00087A27"/>
    <w:rsid w:val="00090879"/>
    <w:rsid w:val="0009099E"/>
    <w:rsid w:val="00090D96"/>
    <w:rsid w:val="00090E17"/>
    <w:rsid w:val="00091299"/>
    <w:rsid w:val="00091791"/>
    <w:rsid w:val="00092868"/>
    <w:rsid w:val="0009290A"/>
    <w:rsid w:val="00093C28"/>
    <w:rsid w:val="00093E84"/>
    <w:rsid w:val="00094425"/>
    <w:rsid w:val="000945EF"/>
    <w:rsid w:val="000946E7"/>
    <w:rsid w:val="00095305"/>
    <w:rsid w:val="000965CD"/>
    <w:rsid w:val="00096861"/>
    <w:rsid w:val="00096AD2"/>
    <w:rsid w:val="00096CEF"/>
    <w:rsid w:val="00097655"/>
    <w:rsid w:val="000A00F5"/>
    <w:rsid w:val="000A046A"/>
    <w:rsid w:val="000A04BC"/>
    <w:rsid w:val="000A0FD6"/>
    <w:rsid w:val="000A1C45"/>
    <w:rsid w:val="000A2AA0"/>
    <w:rsid w:val="000A2FB4"/>
    <w:rsid w:val="000A3187"/>
    <w:rsid w:val="000A3E17"/>
    <w:rsid w:val="000A4F3B"/>
    <w:rsid w:val="000A5169"/>
    <w:rsid w:val="000A5C45"/>
    <w:rsid w:val="000A5E5D"/>
    <w:rsid w:val="000A60A3"/>
    <w:rsid w:val="000A6465"/>
    <w:rsid w:val="000A6CD2"/>
    <w:rsid w:val="000A7625"/>
    <w:rsid w:val="000B010C"/>
    <w:rsid w:val="000B1226"/>
    <w:rsid w:val="000B1865"/>
    <w:rsid w:val="000B2456"/>
    <w:rsid w:val="000B2579"/>
    <w:rsid w:val="000B2980"/>
    <w:rsid w:val="000B38C7"/>
    <w:rsid w:val="000B414E"/>
    <w:rsid w:val="000B4180"/>
    <w:rsid w:val="000B48B6"/>
    <w:rsid w:val="000B512F"/>
    <w:rsid w:val="000B5531"/>
    <w:rsid w:val="000B5ACF"/>
    <w:rsid w:val="000B5F21"/>
    <w:rsid w:val="000B62C2"/>
    <w:rsid w:val="000B647B"/>
    <w:rsid w:val="000B6631"/>
    <w:rsid w:val="000B7939"/>
    <w:rsid w:val="000B7A97"/>
    <w:rsid w:val="000B7B41"/>
    <w:rsid w:val="000B7D9B"/>
    <w:rsid w:val="000B7FF1"/>
    <w:rsid w:val="000C0051"/>
    <w:rsid w:val="000C018F"/>
    <w:rsid w:val="000C0364"/>
    <w:rsid w:val="000C0406"/>
    <w:rsid w:val="000C093A"/>
    <w:rsid w:val="000C1270"/>
    <w:rsid w:val="000C1576"/>
    <w:rsid w:val="000C16C7"/>
    <w:rsid w:val="000C18B9"/>
    <w:rsid w:val="000C1C13"/>
    <w:rsid w:val="000C2478"/>
    <w:rsid w:val="000C2C4E"/>
    <w:rsid w:val="000C301E"/>
    <w:rsid w:val="000C31E4"/>
    <w:rsid w:val="000C3379"/>
    <w:rsid w:val="000C3502"/>
    <w:rsid w:val="000C3585"/>
    <w:rsid w:val="000C566C"/>
    <w:rsid w:val="000C6144"/>
    <w:rsid w:val="000C6905"/>
    <w:rsid w:val="000C699F"/>
    <w:rsid w:val="000C7705"/>
    <w:rsid w:val="000C7DC0"/>
    <w:rsid w:val="000D0321"/>
    <w:rsid w:val="000D06C8"/>
    <w:rsid w:val="000D093D"/>
    <w:rsid w:val="000D0DAA"/>
    <w:rsid w:val="000D11A7"/>
    <w:rsid w:val="000D1B37"/>
    <w:rsid w:val="000D1C99"/>
    <w:rsid w:val="000D3A93"/>
    <w:rsid w:val="000D4995"/>
    <w:rsid w:val="000D519C"/>
    <w:rsid w:val="000D55BE"/>
    <w:rsid w:val="000D5BC2"/>
    <w:rsid w:val="000D6062"/>
    <w:rsid w:val="000D60A5"/>
    <w:rsid w:val="000D6BAF"/>
    <w:rsid w:val="000D6D5C"/>
    <w:rsid w:val="000D6E30"/>
    <w:rsid w:val="000D6F1A"/>
    <w:rsid w:val="000E00A8"/>
    <w:rsid w:val="000E0204"/>
    <w:rsid w:val="000E1051"/>
    <w:rsid w:val="000E12EE"/>
    <w:rsid w:val="000E157C"/>
    <w:rsid w:val="000E1EA9"/>
    <w:rsid w:val="000E1ECA"/>
    <w:rsid w:val="000E3274"/>
    <w:rsid w:val="000E3298"/>
    <w:rsid w:val="000E3594"/>
    <w:rsid w:val="000E3877"/>
    <w:rsid w:val="000E3A19"/>
    <w:rsid w:val="000E3CB7"/>
    <w:rsid w:val="000E3E4D"/>
    <w:rsid w:val="000E4F78"/>
    <w:rsid w:val="000E5069"/>
    <w:rsid w:val="000E5BD7"/>
    <w:rsid w:val="000E5CD5"/>
    <w:rsid w:val="000E5FB4"/>
    <w:rsid w:val="000E7700"/>
    <w:rsid w:val="000E7AEE"/>
    <w:rsid w:val="000E7D2D"/>
    <w:rsid w:val="000F0191"/>
    <w:rsid w:val="000F0D36"/>
    <w:rsid w:val="000F0F13"/>
    <w:rsid w:val="000F1327"/>
    <w:rsid w:val="000F2296"/>
    <w:rsid w:val="000F38F8"/>
    <w:rsid w:val="000F3C3B"/>
    <w:rsid w:val="000F3D0D"/>
    <w:rsid w:val="000F5E9E"/>
    <w:rsid w:val="000F61C1"/>
    <w:rsid w:val="000F6817"/>
    <w:rsid w:val="000F77E7"/>
    <w:rsid w:val="000F77F5"/>
    <w:rsid w:val="00100145"/>
    <w:rsid w:val="00100632"/>
    <w:rsid w:val="00100D7E"/>
    <w:rsid w:val="001012FC"/>
    <w:rsid w:val="0010195A"/>
    <w:rsid w:val="00102187"/>
    <w:rsid w:val="0010254A"/>
    <w:rsid w:val="00102A52"/>
    <w:rsid w:val="00102C70"/>
    <w:rsid w:val="0010305F"/>
    <w:rsid w:val="0010326D"/>
    <w:rsid w:val="00103CFF"/>
    <w:rsid w:val="00103E2A"/>
    <w:rsid w:val="00103F5F"/>
    <w:rsid w:val="0010558B"/>
    <w:rsid w:val="001058BC"/>
    <w:rsid w:val="00105CF9"/>
    <w:rsid w:val="00105E54"/>
    <w:rsid w:val="00106D8F"/>
    <w:rsid w:val="00107ACD"/>
    <w:rsid w:val="00107DBE"/>
    <w:rsid w:val="0011002D"/>
    <w:rsid w:val="001104D5"/>
    <w:rsid w:val="001112F3"/>
    <w:rsid w:val="0011141A"/>
    <w:rsid w:val="00111A2D"/>
    <w:rsid w:val="00112099"/>
    <w:rsid w:val="00112160"/>
    <w:rsid w:val="00112386"/>
    <w:rsid w:val="0011273F"/>
    <w:rsid w:val="00112B2A"/>
    <w:rsid w:val="00112F5B"/>
    <w:rsid w:val="00113733"/>
    <w:rsid w:val="0011375A"/>
    <w:rsid w:val="00113956"/>
    <w:rsid w:val="0011430E"/>
    <w:rsid w:val="00114B86"/>
    <w:rsid w:val="00114BAC"/>
    <w:rsid w:val="00114C29"/>
    <w:rsid w:val="00115383"/>
    <w:rsid w:val="001158E8"/>
    <w:rsid w:val="0011594D"/>
    <w:rsid w:val="00116607"/>
    <w:rsid w:val="00116744"/>
    <w:rsid w:val="00117097"/>
    <w:rsid w:val="00117824"/>
    <w:rsid w:val="0012019E"/>
    <w:rsid w:val="00120802"/>
    <w:rsid w:val="0012135D"/>
    <w:rsid w:val="0012211E"/>
    <w:rsid w:val="001227F7"/>
    <w:rsid w:val="001234A8"/>
    <w:rsid w:val="00123502"/>
    <w:rsid w:val="00124398"/>
    <w:rsid w:val="00125B41"/>
    <w:rsid w:val="00125CB3"/>
    <w:rsid w:val="00126A9D"/>
    <w:rsid w:val="00127500"/>
    <w:rsid w:val="00127CFA"/>
    <w:rsid w:val="001302F3"/>
    <w:rsid w:val="00130436"/>
    <w:rsid w:val="00130918"/>
    <w:rsid w:val="00130EFA"/>
    <w:rsid w:val="00131596"/>
    <w:rsid w:val="001315FD"/>
    <w:rsid w:val="00131B68"/>
    <w:rsid w:val="00131C76"/>
    <w:rsid w:val="0013205C"/>
    <w:rsid w:val="00132A4F"/>
    <w:rsid w:val="00132ABE"/>
    <w:rsid w:val="00133A8A"/>
    <w:rsid w:val="001340B7"/>
    <w:rsid w:val="00134B6E"/>
    <w:rsid w:val="00134C8D"/>
    <w:rsid w:val="00135DD0"/>
    <w:rsid w:val="00135FC6"/>
    <w:rsid w:val="0013633F"/>
    <w:rsid w:val="00136862"/>
    <w:rsid w:val="00136C57"/>
    <w:rsid w:val="00137163"/>
    <w:rsid w:val="0013721A"/>
    <w:rsid w:val="00137254"/>
    <w:rsid w:val="001373DE"/>
    <w:rsid w:val="0013793C"/>
    <w:rsid w:val="00137BD4"/>
    <w:rsid w:val="001404BC"/>
    <w:rsid w:val="00140802"/>
    <w:rsid w:val="00140E6D"/>
    <w:rsid w:val="00140FCC"/>
    <w:rsid w:val="001418DC"/>
    <w:rsid w:val="001419A5"/>
    <w:rsid w:val="00141B28"/>
    <w:rsid w:val="00142C55"/>
    <w:rsid w:val="001435BC"/>
    <w:rsid w:val="00143961"/>
    <w:rsid w:val="00145252"/>
    <w:rsid w:val="00145C6E"/>
    <w:rsid w:val="00146959"/>
    <w:rsid w:val="00146B51"/>
    <w:rsid w:val="00146BC1"/>
    <w:rsid w:val="00147434"/>
    <w:rsid w:val="001500A3"/>
    <w:rsid w:val="00150283"/>
    <w:rsid w:val="0015052B"/>
    <w:rsid w:val="00150583"/>
    <w:rsid w:val="00150737"/>
    <w:rsid w:val="00150D45"/>
    <w:rsid w:val="00150E00"/>
    <w:rsid w:val="00150E78"/>
    <w:rsid w:val="00151760"/>
    <w:rsid w:val="001518A6"/>
    <w:rsid w:val="00151C92"/>
    <w:rsid w:val="00151D76"/>
    <w:rsid w:val="00151E1C"/>
    <w:rsid w:val="00152325"/>
    <w:rsid w:val="00152580"/>
    <w:rsid w:val="00152F32"/>
    <w:rsid w:val="001546EE"/>
    <w:rsid w:val="001552FB"/>
    <w:rsid w:val="00155E4D"/>
    <w:rsid w:val="001563CA"/>
    <w:rsid w:val="00156A8D"/>
    <w:rsid w:val="00157CF4"/>
    <w:rsid w:val="00157D40"/>
    <w:rsid w:val="00160B58"/>
    <w:rsid w:val="001614DE"/>
    <w:rsid w:val="001615FE"/>
    <w:rsid w:val="001620C7"/>
    <w:rsid w:val="00162359"/>
    <w:rsid w:val="00163267"/>
    <w:rsid w:val="001632FA"/>
    <w:rsid w:val="001634AE"/>
    <w:rsid w:val="001635EC"/>
    <w:rsid w:val="001639BC"/>
    <w:rsid w:val="00163AF5"/>
    <w:rsid w:val="00164A32"/>
    <w:rsid w:val="00164AEE"/>
    <w:rsid w:val="0016522F"/>
    <w:rsid w:val="00165908"/>
    <w:rsid w:val="001659D3"/>
    <w:rsid w:val="00165FF2"/>
    <w:rsid w:val="00166155"/>
    <w:rsid w:val="0016644F"/>
    <w:rsid w:val="00166459"/>
    <w:rsid w:val="001666A4"/>
    <w:rsid w:val="00166DF1"/>
    <w:rsid w:val="001670FE"/>
    <w:rsid w:val="001671D1"/>
    <w:rsid w:val="001707ED"/>
    <w:rsid w:val="00170B3B"/>
    <w:rsid w:val="00170C93"/>
    <w:rsid w:val="00170E6F"/>
    <w:rsid w:val="00171E9E"/>
    <w:rsid w:val="0017230F"/>
    <w:rsid w:val="00172886"/>
    <w:rsid w:val="00172DD5"/>
    <w:rsid w:val="00172FB9"/>
    <w:rsid w:val="001730B1"/>
    <w:rsid w:val="0017330B"/>
    <w:rsid w:val="00173523"/>
    <w:rsid w:val="00173EF6"/>
    <w:rsid w:val="0017420B"/>
    <w:rsid w:val="0017446B"/>
    <w:rsid w:val="00174579"/>
    <w:rsid w:val="00174DC5"/>
    <w:rsid w:val="001757E9"/>
    <w:rsid w:val="00175FAB"/>
    <w:rsid w:val="001767EA"/>
    <w:rsid w:val="00176A0F"/>
    <w:rsid w:val="00176EAE"/>
    <w:rsid w:val="00177137"/>
    <w:rsid w:val="0017717B"/>
    <w:rsid w:val="00177C81"/>
    <w:rsid w:val="00177EC5"/>
    <w:rsid w:val="00177FE6"/>
    <w:rsid w:val="00180BEC"/>
    <w:rsid w:val="00180F65"/>
    <w:rsid w:val="00181258"/>
    <w:rsid w:val="00181CCB"/>
    <w:rsid w:val="00182805"/>
    <w:rsid w:val="00182C8C"/>
    <w:rsid w:val="00183BC4"/>
    <w:rsid w:val="00183BCC"/>
    <w:rsid w:val="00184BEB"/>
    <w:rsid w:val="00184D91"/>
    <w:rsid w:val="00185033"/>
    <w:rsid w:val="00185173"/>
    <w:rsid w:val="00186411"/>
    <w:rsid w:val="00186C3F"/>
    <w:rsid w:val="001875C3"/>
    <w:rsid w:val="00187DCA"/>
    <w:rsid w:val="001902E5"/>
    <w:rsid w:val="0019071A"/>
    <w:rsid w:val="001907E1"/>
    <w:rsid w:val="001910FC"/>
    <w:rsid w:val="0019110D"/>
    <w:rsid w:val="001917AC"/>
    <w:rsid w:val="00191864"/>
    <w:rsid w:val="00192720"/>
    <w:rsid w:val="00192B99"/>
    <w:rsid w:val="00193724"/>
    <w:rsid w:val="00193C73"/>
    <w:rsid w:val="0019442F"/>
    <w:rsid w:val="00194DB9"/>
    <w:rsid w:val="001952C0"/>
    <w:rsid w:val="00195E14"/>
    <w:rsid w:val="00195EC8"/>
    <w:rsid w:val="0019621C"/>
    <w:rsid w:val="00196416"/>
    <w:rsid w:val="00196BC2"/>
    <w:rsid w:val="00196CD1"/>
    <w:rsid w:val="00197043"/>
    <w:rsid w:val="00197505"/>
    <w:rsid w:val="001978D4"/>
    <w:rsid w:val="00197B0B"/>
    <w:rsid w:val="001A0202"/>
    <w:rsid w:val="001A0C8D"/>
    <w:rsid w:val="001A162C"/>
    <w:rsid w:val="001A16C1"/>
    <w:rsid w:val="001A1766"/>
    <w:rsid w:val="001A1F39"/>
    <w:rsid w:val="001A223B"/>
    <w:rsid w:val="001A2572"/>
    <w:rsid w:val="001A3AEF"/>
    <w:rsid w:val="001A3FAA"/>
    <w:rsid w:val="001A493C"/>
    <w:rsid w:val="001A50C7"/>
    <w:rsid w:val="001A55F6"/>
    <w:rsid w:val="001A6669"/>
    <w:rsid w:val="001A69BB"/>
    <w:rsid w:val="001A7007"/>
    <w:rsid w:val="001A750D"/>
    <w:rsid w:val="001A7557"/>
    <w:rsid w:val="001A7949"/>
    <w:rsid w:val="001A7A26"/>
    <w:rsid w:val="001B02A1"/>
    <w:rsid w:val="001B0531"/>
    <w:rsid w:val="001B07BA"/>
    <w:rsid w:val="001B0E49"/>
    <w:rsid w:val="001B0E82"/>
    <w:rsid w:val="001B2000"/>
    <w:rsid w:val="001B2025"/>
    <w:rsid w:val="001B22C7"/>
    <w:rsid w:val="001B276A"/>
    <w:rsid w:val="001B29D5"/>
    <w:rsid w:val="001B321D"/>
    <w:rsid w:val="001B39B6"/>
    <w:rsid w:val="001B3A22"/>
    <w:rsid w:val="001B41B3"/>
    <w:rsid w:val="001B4326"/>
    <w:rsid w:val="001B4367"/>
    <w:rsid w:val="001B4823"/>
    <w:rsid w:val="001B49CB"/>
    <w:rsid w:val="001B536B"/>
    <w:rsid w:val="001B59AE"/>
    <w:rsid w:val="001B5F59"/>
    <w:rsid w:val="001B674A"/>
    <w:rsid w:val="001B6E60"/>
    <w:rsid w:val="001B6E90"/>
    <w:rsid w:val="001B718C"/>
    <w:rsid w:val="001B7C3C"/>
    <w:rsid w:val="001B7E82"/>
    <w:rsid w:val="001B7FBB"/>
    <w:rsid w:val="001C0C11"/>
    <w:rsid w:val="001C150B"/>
    <w:rsid w:val="001C23AC"/>
    <w:rsid w:val="001C261A"/>
    <w:rsid w:val="001C2BB8"/>
    <w:rsid w:val="001C2C88"/>
    <w:rsid w:val="001C3764"/>
    <w:rsid w:val="001C3D12"/>
    <w:rsid w:val="001C4F29"/>
    <w:rsid w:val="001C50CF"/>
    <w:rsid w:val="001C5609"/>
    <w:rsid w:val="001C5817"/>
    <w:rsid w:val="001C5851"/>
    <w:rsid w:val="001C701F"/>
    <w:rsid w:val="001C72C5"/>
    <w:rsid w:val="001C743F"/>
    <w:rsid w:val="001C745C"/>
    <w:rsid w:val="001C750F"/>
    <w:rsid w:val="001C77CF"/>
    <w:rsid w:val="001C77EE"/>
    <w:rsid w:val="001C7893"/>
    <w:rsid w:val="001C78AD"/>
    <w:rsid w:val="001C79B7"/>
    <w:rsid w:val="001D027B"/>
    <w:rsid w:val="001D0660"/>
    <w:rsid w:val="001D1074"/>
    <w:rsid w:val="001D17FB"/>
    <w:rsid w:val="001D1A40"/>
    <w:rsid w:val="001D1BD9"/>
    <w:rsid w:val="001D2AE1"/>
    <w:rsid w:val="001D3726"/>
    <w:rsid w:val="001D4107"/>
    <w:rsid w:val="001D4CDA"/>
    <w:rsid w:val="001D53BE"/>
    <w:rsid w:val="001D5C2F"/>
    <w:rsid w:val="001D5EEB"/>
    <w:rsid w:val="001D6108"/>
    <w:rsid w:val="001D6933"/>
    <w:rsid w:val="001D6F26"/>
    <w:rsid w:val="001D6FBD"/>
    <w:rsid w:val="001D7145"/>
    <w:rsid w:val="001D7916"/>
    <w:rsid w:val="001E001B"/>
    <w:rsid w:val="001E0319"/>
    <w:rsid w:val="001E07BC"/>
    <w:rsid w:val="001E0862"/>
    <w:rsid w:val="001E12B7"/>
    <w:rsid w:val="001E148F"/>
    <w:rsid w:val="001E14C3"/>
    <w:rsid w:val="001E1882"/>
    <w:rsid w:val="001E1A98"/>
    <w:rsid w:val="001E23BF"/>
    <w:rsid w:val="001E275B"/>
    <w:rsid w:val="001E2DE6"/>
    <w:rsid w:val="001E3609"/>
    <w:rsid w:val="001E3693"/>
    <w:rsid w:val="001E3A6C"/>
    <w:rsid w:val="001E53BE"/>
    <w:rsid w:val="001E5B2B"/>
    <w:rsid w:val="001E696A"/>
    <w:rsid w:val="001E6D2F"/>
    <w:rsid w:val="001E74BB"/>
    <w:rsid w:val="001E781B"/>
    <w:rsid w:val="001E7AD7"/>
    <w:rsid w:val="001E7E7A"/>
    <w:rsid w:val="001F1412"/>
    <w:rsid w:val="001F1440"/>
    <w:rsid w:val="001F1853"/>
    <w:rsid w:val="001F1B67"/>
    <w:rsid w:val="001F2716"/>
    <w:rsid w:val="001F2976"/>
    <w:rsid w:val="001F3A64"/>
    <w:rsid w:val="001F3AD9"/>
    <w:rsid w:val="001F3DAC"/>
    <w:rsid w:val="001F3E76"/>
    <w:rsid w:val="001F46E0"/>
    <w:rsid w:val="001F4931"/>
    <w:rsid w:val="001F5596"/>
    <w:rsid w:val="001F5981"/>
    <w:rsid w:val="001F5AA1"/>
    <w:rsid w:val="001F5C11"/>
    <w:rsid w:val="001F641A"/>
    <w:rsid w:val="001F65D9"/>
    <w:rsid w:val="001F662E"/>
    <w:rsid w:val="001F664B"/>
    <w:rsid w:val="001F732F"/>
    <w:rsid w:val="001F7340"/>
    <w:rsid w:val="001F7F8D"/>
    <w:rsid w:val="00200316"/>
    <w:rsid w:val="0020050E"/>
    <w:rsid w:val="00200B3A"/>
    <w:rsid w:val="0020195A"/>
    <w:rsid w:val="00201D5E"/>
    <w:rsid w:val="00202C8B"/>
    <w:rsid w:val="00202ED7"/>
    <w:rsid w:val="002032BD"/>
    <w:rsid w:val="00203753"/>
    <w:rsid w:val="002039AE"/>
    <w:rsid w:val="00203EF9"/>
    <w:rsid w:val="00204664"/>
    <w:rsid w:val="0020466C"/>
    <w:rsid w:val="00206225"/>
    <w:rsid w:val="00206396"/>
    <w:rsid w:val="002077AB"/>
    <w:rsid w:val="0020795D"/>
    <w:rsid w:val="00207C8F"/>
    <w:rsid w:val="0021056F"/>
    <w:rsid w:val="0021125C"/>
    <w:rsid w:val="002114BA"/>
    <w:rsid w:val="00211C13"/>
    <w:rsid w:val="00212626"/>
    <w:rsid w:val="00212D38"/>
    <w:rsid w:val="002138FE"/>
    <w:rsid w:val="0021399E"/>
    <w:rsid w:val="0021404A"/>
    <w:rsid w:val="00214CC2"/>
    <w:rsid w:val="00215408"/>
    <w:rsid w:val="002155F1"/>
    <w:rsid w:val="00215F2B"/>
    <w:rsid w:val="00216AEA"/>
    <w:rsid w:val="0021774E"/>
    <w:rsid w:val="00217A72"/>
    <w:rsid w:val="00217AE5"/>
    <w:rsid w:val="00217CA7"/>
    <w:rsid w:val="00220E32"/>
    <w:rsid w:val="00221495"/>
    <w:rsid w:val="00221888"/>
    <w:rsid w:val="00222708"/>
    <w:rsid w:val="0022560E"/>
    <w:rsid w:val="00225B4E"/>
    <w:rsid w:val="002261F8"/>
    <w:rsid w:val="00226478"/>
    <w:rsid w:val="00226680"/>
    <w:rsid w:val="0022785B"/>
    <w:rsid w:val="002278CE"/>
    <w:rsid w:val="00227CED"/>
    <w:rsid w:val="00230CF5"/>
    <w:rsid w:val="0023141E"/>
    <w:rsid w:val="00231667"/>
    <w:rsid w:val="002322AC"/>
    <w:rsid w:val="002325AE"/>
    <w:rsid w:val="002326F2"/>
    <w:rsid w:val="0023295A"/>
    <w:rsid w:val="00232CC9"/>
    <w:rsid w:val="00232EBF"/>
    <w:rsid w:val="00233BE7"/>
    <w:rsid w:val="00234641"/>
    <w:rsid w:val="002350F8"/>
    <w:rsid w:val="002359C3"/>
    <w:rsid w:val="00235F89"/>
    <w:rsid w:val="00236BD8"/>
    <w:rsid w:val="00236F91"/>
    <w:rsid w:val="0024074A"/>
    <w:rsid w:val="0024096E"/>
    <w:rsid w:val="00240AB0"/>
    <w:rsid w:val="00241033"/>
    <w:rsid w:val="00241A5C"/>
    <w:rsid w:val="00241B87"/>
    <w:rsid w:val="0024232F"/>
    <w:rsid w:val="00242A3D"/>
    <w:rsid w:val="00242C00"/>
    <w:rsid w:val="00242CD7"/>
    <w:rsid w:val="00243041"/>
    <w:rsid w:val="00243321"/>
    <w:rsid w:val="00243541"/>
    <w:rsid w:val="002438F1"/>
    <w:rsid w:val="00243931"/>
    <w:rsid w:val="002439A1"/>
    <w:rsid w:val="00243F0E"/>
    <w:rsid w:val="00243FF7"/>
    <w:rsid w:val="002441BE"/>
    <w:rsid w:val="0024532F"/>
    <w:rsid w:val="0024557C"/>
    <w:rsid w:val="002456C7"/>
    <w:rsid w:val="00245F84"/>
    <w:rsid w:val="00246B1C"/>
    <w:rsid w:val="002472AA"/>
    <w:rsid w:val="002473EC"/>
    <w:rsid w:val="002479E7"/>
    <w:rsid w:val="00247D80"/>
    <w:rsid w:val="00250102"/>
    <w:rsid w:val="00251040"/>
    <w:rsid w:val="002517A2"/>
    <w:rsid w:val="00251E7B"/>
    <w:rsid w:val="002528CC"/>
    <w:rsid w:val="00252F05"/>
    <w:rsid w:val="002540AA"/>
    <w:rsid w:val="002540FA"/>
    <w:rsid w:val="002544BE"/>
    <w:rsid w:val="0025461F"/>
    <w:rsid w:val="002549A9"/>
    <w:rsid w:val="00255A2B"/>
    <w:rsid w:val="002561FE"/>
    <w:rsid w:val="0025620E"/>
    <w:rsid w:val="002567CD"/>
    <w:rsid w:val="002567EF"/>
    <w:rsid w:val="00260359"/>
    <w:rsid w:val="00260361"/>
    <w:rsid w:val="00260586"/>
    <w:rsid w:val="0026067E"/>
    <w:rsid w:val="00260A7F"/>
    <w:rsid w:val="00261358"/>
    <w:rsid w:val="00261387"/>
    <w:rsid w:val="00261D25"/>
    <w:rsid w:val="00262C08"/>
    <w:rsid w:val="0026326B"/>
    <w:rsid w:val="002644C8"/>
    <w:rsid w:val="00264601"/>
    <w:rsid w:val="0026476F"/>
    <w:rsid w:val="002647A2"/>
    <w:rsid w:val="00264D86"/>
    <w:rsid w:val="0026510C"/>
    <w:rsid w:val="00265323"/>
    <w:rsid w:val="00265494"/>
    <w:rsid w:val="00265F65"/>
    <w:rsid w:val="00266A44"/>
    <w:rsid w:val="00266D2B"/>
    <w:rsid w:val="002675D9"/>
    <w:rsid w:val="0027022E"/>
    <w:rsid w:val="002704FB"/>
    <w:rsid w:val="00272CF4"/>
    <w:rsid w:val="00272F0B"/>
    <w:rsid w:val="00273044"/>
    <w:rsid w:val="00273278"/>
    <w:rsid w:val="002735AA"/>
    <w:rsid w:val="00273BF0"/>
    <w:rsid w:val="00273F3C"/>
    <w:rsid w:val="002748B6"/>
    <w:rsid w:val="00275551"/>
    <w:rsid w:val="00275602"/>
    <w:rsid w:val="00275CD6"/>
    <w:rsid w:val="00275DBE"/>
    <w:rsid w:val="00275EA2"/>
    <w:rsid w:val="00276424"/>
    <w:rsid w:val="0027652D"/>
    <w:rsid w:val="00276589"/>
    <w:rsid w:val="00276828"/>
    <w:rsid w:val="00276F15"/>
    <w:rsid w:val="00277E96"/>
    <w:rsid w:val="00277F33"/>
    <w:rsid w:val="00280012"/>
    <w:rsid w:val="00280A83"/>
    <w:rsid w:val="00280EB0"/>
    <w:rsid w:val="00280FD4"/>
    <w:rsid w:val="00281382"/>
    <w:rsid w:val="002814A0"/>
    <w:rsid w:val="00281DD3"/>
    <w:rsid w:val="00281F76"/>
    <w:rsid w:val="00282775"/>
    <w:rsid w:val="00282B2A"/>
    <w:rsid w:val="00283084"/>
    <w:rsid w:val="002838D5"/>
    <w:rsid w:val="0028443A"/>
    <w:rsid w:val="002846FC"/>
    <w:rsid w:val="00284870"/>
    <w:rsid w:val="00284C41"/>
    <w:rsid w:val="00284C49"/>
    <w:rsid w:val="00284D2F"/>
    <w:rsid w:val="00285210"/>
    <w:rsid w:val="00285367"/>
    <w:rsid w:val="00285440"/>
    <w:rsid w:val="0028551E"/>
    <w:rsid w:val="0028552C"/>
    <w:rsid w:val="002858A4"/>
    <w:rsid w:val="00285B1F"/>
    <w:rsid w:val="00285C28"/>
    <w:rsid w:val="00285FD5"/>
    <w:rsid w:val="00286F7B"/>
    <w:rsid w:val="002903F9"/>
    <w:rsid w:val="00291373"/>
    <w:rsid w:val="002914AC"/>
    <w:rsid w:val="002914B9"/>
    <w:rsid w:val="002918D2"/>
    <w:rsid w:val="00291B3C"/>
    <w:rsid w:val="00291DB8"/>
    <w:rsid w:val="002920EB"/>
    <w:rsid w:val="002922EE"/>
    <w:rsid w:val="0029241D"/>
    <w:rsid w:val="002937B6"/>
    <w:rsid w:val="0029395E"/>
    <w:rsid w:val="00293D04"/>
    <w:rsid w:val="00293F3A"/>
    <w:rsid w:val="00293F6E"/>
    <w:rsid w:val="002941BC"/>
    <w:rsid w:val="00294CF1"/>
    <w:rsid w:val="00294D40"/>
    <w:rsid w:val="00294D8B"/>
    <w:rsid w:val="00295953"/>
    <w:rsid w:val="00295A96"/>
    <w:rsid w:val="00295DBE"/>
    <w:rsid w:val="00296C8E"/>
    <w:rsid w:val="00296F26"/>
    <w:rsid w:val="002A0408"/>
    <w:rsid w:val="002A0425"/>
    <w:rsid w:val="002A0A25"/>
    <w:rsid w:val="002A0B6A"/>
    <w:rsid w:val="002A1103"/>
    <w:rsid w:val="002A115D"/>
    <w:rsid w:val="002A19C5"/>
    <w:rsid w:val="002A1F35"/>
    <w:rsid w:val="002A2251"/>
    <w:rsid w:val="002A25A4"/>
    <w:rsid w:val="002A2BE8"/>
    <w:rsid w:val="002A33B3"/>
    <w:rsid w:val="002A4149"/>
    <w:rsid w:val="002A432D"/>
    <w:rsid w:val="002A49D8"/>
    <w:rsid w:val="002A5A84"/>
    <w:rsid w:val="002A6046"/>
    <w:rsid w:val="002A610A"/>
    <w:rsid w:val="002A685E"/>
    <w:rsid w:val="002A6A6B"/>
    <w:rsid w:val="002A6CE9"/>
    <w:rsid w:val="002A725F"/>
    <w:rsid w:val="002B00FA"/>
    <w:rsid w:val="002B04A2"/>
    <w:rsid w:val="002B04BF"/>
    <w:rsid w:val="002B055D"/>
    <w:rsid w:val="002B08D1"/>
    <w:rsid w:val="002B0D00"/>
    <w:rsid w:val="002B0E55"/>
    <w:rsid w:val="002B10E6"/>
    <w:rsid w:val="002B14B7"/>
    <w:rsid w:val="002B1778"/>
    <w:rsid w:val="002B18C0"/>
    <w:rsid w:val="002B1ACF"/>
    <w:rsid w:val="002B1B61"/>
    <w:rsid w:val="002B2940"/>
    <w:rsid w:val="002B2C26"/>
    <w:rsid w:val="002B300C"/>
    <w:rsid w:val="002B45EE"/>
    <w:rsid w:val="002B4887"/>
    <w:rsid w:val="002B4889"/>
    <w:rsid w:val="002B4E25"/>
    <w:rsid w:val="002B4E94"/>
    <w:rsid w:val="002B52D5"/>
    <w:rsid w:val="002B583A"/>
    <w:rsid w:val="002B587F"/>
    <w:rsid w:val="002B594C"/>
    <w:rsid w:val="002B5ADA"/>
    <w:rsid w:val="002B619A"/>
    <w:rsid w:val="002B6695"/>
    <w:rsid w:val="002B6864"/>
    <w:rsid w:val="002B6C1E"/>
    <w:rsid w:val="002B75F1"/>
    <w:rsid w:val="002C050A"/>
    <w:rsid w:val="002C0666"/>
    <w:rsid w:val="002C1042"/>
    <w:rsid w:val="002C13B0"/>
    <w:rsid w:val="002C1AA2"/>
    <w:rsid w:val="002C1D85"/>
    <w:rsid w:val="002C2D35"/>
    <w:rsid w:val="002C311E"/>
    <w:rsid w:val="002C3FD0"/>
    <w:rsid w:val="002C58FC"/>
    <w:rsid w:val="002C6330"/>
    <w:rsid w:val="002C6E6B"/>
    <w:rsid w:val="002C70DC"/>
    <w:rsid w:val="002C7150"/>
    <w:rsid w:val="002C7464"/>
    <w:rsid w:val="002C7528"/>
    <w:rsid w:val="002C79DC"/>
    <w:rsid w:val="002D025E"/>
    <w:rsid w:val="002D03D5"/>
    <w:rsid w:val="002D0417"/>
    <w:rsid w:val="002D0694"/>
    <w:rsid w:val="002D06DE"/>
    <w:rsid w:val="002D0BB6"/>
    <w:rsid w:val="002D0E66"/>
    <w:rsid w:val="002D0E6F"/>
    <w:rsid w:val="002D140F"/>
    <w:rsid w:val="002D21F9"/>
    <w:rsid w:val="002D294C"/>
    <w:rsid w:val="002D2C44"/>
    <w:rsid w:val="002D2DF2"/>
    <w:rsid w:val="002D2E7E"/>
    <w:rsid w:val="002D2EC2"/>
    <w:rsid w:val="002D308D"/>
    <w:rsid w:val="002D3977"/>
    <w:rsid w:val="002D492C"/>
    <w:rsid w:val="002D4EE5"/>
    <w:rsid w:val="002D4F40"/>
    <w:rsid w:val="002D51D8"/>
    <w:rsid w:val="002D5EBE"/>
    <w:rsid w:val="002D5F8F"/>
    <w:rsid w:val="002D62EC"/>
    <w:rsid w:val="002D6CAE"/>
    <w:rsid w:val="002D6EFB"/>
    <w:rsid w:val="002D7409"/>
    <w:rsid w:val="002D752F"/>
    <w:rsid w:val="002D7D56"/>
    <w:rsid w:val="002E0047"/>
    <w:rsid w:val="002E058E"/>
    <w:rsid w:val="002E0DA4"/>
    <w:rsid w:val="002E120D"/>
    <w:rsid w:val="002E161B"/>
    <w:rsid w:val="002E1ACC"/>
    <w:rsid w:val="002E1BB9"/>
    <w:rsid w:val="002E28E7"/>
    <w:rsid w:val="002E30DE"/>
    <w:rsid w:val="002E3871"/>
    <w:rsid w:val="002E54DC"/>
    <w:rsid w:val="002E5B93"/>
    <w:rsid w:val="002E5BE6"/>
    <w:rsid w:val="002E5F60"/>
    <w:rsid w:val="002E626C"/>
    <w:rsid w:val="002E6298"/>
    <w:rsid w:val="002E6457"/>
    <w:rsid w:val="002E7BC4"/>
    <w:rsid w:val="002F0582"/>
    <w:rsid w:val="002F094F"/>
    <w:rsid w:val="002F103F"/>
    <w:rsid w:val="002F106F"/>
    <w:rsid w:val="002F13FB"/>
    <w:rsid w:val="002F148C"/>
    <w:rsid w:val="002F2007"/>
    <w:rsid w:val="002F2D4F"/>
    <w:rsid w:val="002F334E"/>
    <w:rsid w:val="002F338D"/>
    <w:rsid w:val="002F3892"/>
    <w:rsid w:val="002F4A6E"/>
    <w:rsid w:val="002F4F02"/>
    <w:rsid w:val="002F558C"/>
    <w:rsid w:val="002F579C"/>
    <w:rsid w:val="002F5A67"/>
    <w:rsid w:val="002F62AC"/>
    <w:rsid w:val="002F6949"/>
    <w:rsid w:val="002F6F79"/>
    <w:rsid w:val="002F7096"/>
    <w:rsid w:val="002F7800"/>
    <w:rsid w:val="002F7D3C"/>
    <w:rsid w:val="002F7EAD"/>
    <w:rsid w:val="003002E1"/>
    <w:rsid w:val="00300361"/>
    <w:rsid w:val="003010D5"/>
    <w:rsid w:val="003012D1"/>
    <w:rsid w:val="00301A92"/>
    <w:rsid w:val="00301EF9"/>
    <w:rsid w:val="00301F57"/>
    <w:rsid w:val="0030227A"/>
    <w:rsid w:val="00302447"/>
    <w:rsid w:val="0030260D"/>
    <w:rsid w:val="00302A8E"/>
    <w:rsid w:val="0030326B"/>
    <w:rsid w:val="00303390"/>
    <w:rsid w:val="00304E68"/>
    <w:rsid w:val="003056FA"/>
    <w:rsid w:val="0030577F"/>
    <w:rsid w:val="003061C1"/>
    <w:rsid w:val="003067E7"/>
    <w:rsid w:val="003069B8"/>
    <w:rsid w:val="00306B9D"/>
    <w:rsid w:val="003071E5"/>
    <w:rsid w:val="003071FC"/>
    <w:rsid w:val="00307877"/>
    <w:rsid w:val="00307E0A"/>
    <w:rsid w:val="00310AB1"/>
    <w:rsid w:val="00312ABC"/>
    <w:rsid w:val="00313827"/>
    <w:rsid w:val="0031417D"/>
    <w:rsid w:val="003146F7"/>
    <w:rsid w:val="00314A6A"/>
    <w:rsid w:val="00315648"/>
    <w:rsid w:val="00315F77"/>
    <w:rsid w:val="00317092"/>
    <w:rsid w:val="003173BE"/>
    <w:rsid w:val="003174FF"/>
    <w:rsid w:val="00317A07"/>
    <w:rsid w:val="00317C29"/>
    <w:rsid w:val="00317EE0"/>
    <w:rsid w:val="00317FCA"/>
    <w:rsid w:val="0032058C"/>
    <w:rsid w:val="00320669"/>
    <w:rsid w:val="00321001"/>
    <w:rsid w:val="00321313"/>
    <w:rsid w:val="003213A1"/>
    <w:rsid w:val="00321555"/>
    <w:rsid w:val="00322111"/>
    <w:rsid w:val="003223DB"/>
    <w:rsid w:val="00322E7E"/>
    <w:rsid w:val="0032395A"/>
    <w:rsid w:val="00323F4D"/>
    <w:rsid w:val="00323F97"/>
    <w:rsid w:val="003244B1"/>
    <w:rsid w:val="003245FB"/>
    <w:rsid w:val="003248ED"/>
    <w:rsid w:val="003254B9"/>
    <w:rsid w:val="00325EB2"/>
    <w:rsid w:val="003276EA"/>
    <w:rsid w:val="0033068B"/>
    <w:rsid w:val="00330E6E"/>
    <w:rsid w:val="003311BA"/>
    <w:rsid w:val="0033227C"/>
    <w:rsid w:val="003324E1"/>
    <w:rsid w:val="003328AE"/>
    <w:rsid w:val="0033291B"/>
    <w:rsid w:val="0033292A"/>
    <w:rsid w:val="00332D9F"/>
    <w:rsid w:val="003347F7"/>
    <w:rsid w:val="00334DB9"/>
    <w:rsid w:val="003355D8"/>
    <w:rsid w:val="00335C04"/>
    <w:rsid w:val="003360B0"/>
    <w:rsid w:val="003367E2"/>
    <w:rsid w:val="003377CD"/>
    <w:rsid w:val="0034001F"/>
    <w:rsid w:val="00340505"/>
    <w:rsid w:val="00340EE8"/>
    <w:rsid w:val="00341769"/>
    <w:rsid w:val="00343499"/>
    <w:rsid w:val="0034382F"/>
    <w:rsid w:val="00343A60"/>
    <w:rsid w:val="00343BE3"/>
    <w:rsid w:val="00343DE8"/>
    <w:rsid w:val="00344FAF"/>
    <w:rsid w:val="00345AB4"/>
    <w:rsid w:val="00345B3B"/>
    <w:rsid w:val="00345F85"/>
    <w:rsid w:val="00346989"/>
    <w:rsid w:val="00346C0D"/>
    <w:rsid w:val="0034705C"/>
    <w:rsid w:val="00347266"/>
    <w:rsid w:val="00347F84"/>
    <w:rsid w:val="003505ED"/>
    <w:rsid w:val="00350CB8"/>
    <w:rsid w:val="00350E34"/>
    <w:rsid w:val="00351383"/>
    <w:rsid w:val="0035184A"/>
    <w:rsid w:val="003526FB"/>
    <w:rsid w:val="003529F2"/>
    <w:rsid w:val="00352F87"/>
    <w:rsid w:val="0035352F"/>
    <w:rsid w:val="00354041"/>
    <w:rsid w:val="00354144"/>
    <w:rsid w:val="00354A81"/>
    <w:rsid w:val="00354DE4"/>
    <w:rsid w:val="00354F5A"/>
    <w:rsid w:val="0035535E"/>
    <w:rsid w:val="00355773"/>
    <w:rsid w:val="003564D1"/>
    <w:rsid w:val="0035664E"/>
    <w:rsid w:val="00356693"/>
    <w:rsid w:val="00356F60"/>
    <w:rsid w:val="0035719F"/>
    <w:rsid w:val="00357667"/>
    <w:rsid w:val="00357C89"/>
    <w:rsid w:val="00357E73"/>
    <w:rsid w:val="00360227"/>
    <w:rsid w:val="00360AC2"/>
    <w:rsid w:val="00361DE7"/>
    <w:rsid w:val="003621AD"/>
    <w:rsid w:val="0036262E"/>
    <w:rsid w:val="00362C30"/>
    <w:rsid w:val="00362EDB"/>
    <w:rsid w:val="0036300A"/>
    <w:rsid w:val="00363545"/>
    <w:rsid w:val="00363C48"/>
    <w:rsid w:val="0036421E"/>
    <w:rsid w:val="003653BF"/>
    <w:rsid w:val="00365CE6"/>
    <w:rsid w:val="00365F4C"/>
    <w:rsid w:val="00366433"/>
    <w:rsid w:val="0036670C"/>
    <w:rsid w:val="00366C27"/>
    <w:rsid w:val="00366FEC"/>
    <w:rsid w:val="0036777B"/>
    <w:rsid w:val="00367CFF"/>
    <w:rsid w:val="00367DA8"/>
    <w:rsid w:val="00367EBB"/>
    <w:rsid w:val="00370510"/>
    <w:rsid w:val="00370FC8"/>
    <w:rsid w:val="00371701"/>
    <w:rsid w:val="003721E4"/>
    <w:rsid w:val="003722AD"/>
    <w:rsid w:val="00373063"/>
    <w:rsid w:val="00373290"/>
    <w:rsid w:val="003734D3"/>
    <w:rsid w:val="003736CA"/>
    <w:rsid w:val="003738CD"/>
    <w:rsid w:val="00373911"/>
    <w:rsid w:val="00373FCA"/>
    <w:rsid w:val="00374260"/>
    <w:rsid w:val="00374671"/>
    <w:rsid w:val="00374A67"/>
    <w:rsid w:val="00374ABB"/>
    <w:rsid w:val="00374F7D"/>
    <w:rsid w:val="003753EF"/>
    <w:rsid w:val="00375F18"/>
    <w:rsid w:val="003766BD"/>
    <w:rsid w:val="0037780B"/>
    <w:rsid w:val="0037785F"/>
    <w:rsid w:val="00377D54"/>
    <w:rsid w:val="00380537"/>
    <w:rsid w:val="00380B28"/>
    <w:rsid w:val="00380F35"/>
    <w:rsid w:val="00380F81"/>
    <w:rsid w:val="003817C0"/>
    <w:rsid w:val="0038253C"/>
    <w:rsid w:val="00382976"/>
    <w:rsid w:val="00383485"/>
    <w:rsid w:val="00383551"/>
    <w:rsid w:val="00383B7B"/>
    <w:rsid w:val="00383E61"/>
    <w:rsid w:val="00384272"/>
    <w:rsid w:val="00384337"/>
    <w:rsid w:val="00384D75"/>
    <w:rsid w:val="00385142"/>
    <w:rsid w:val="00385542"/>
    <w:rsid w:val="0038567A"/>
    <w:rsid w:val="00385913"/>
    <w:rsid w:val="003859FB"/>
    <w:rsid w:val="003860B0"/>
    <w:rsid w:val="0038691F"/>
    <w:rsid w:val="00387233"/>
    <w:rsid w:val="00390924"/>
    <w:rsid w:val="0039172E"/>
    <w:rsid w:val="003917DE"/>
    <w:rsid w:val="00391DB7"/>
    <w:rsid w:val="00392B00"/>
    <w:rsid w:val="00392B47"/>
    <w:rsid w:val="00393FFE"/>
    <w:rsid w:val="003941C9"/>
    <w:rsid w:val="003944C7"/>
    <w:rsid w:val="0039477B"/>
    <w:rsid w:val="003953A6"/>
    <w:rsid w:val="00395754"/>
    <w:rsid w:val="003958A7"/>
    <w:rsid w:val="003965CC"/>
    <w:rsid w:val="003969BA"/>
    <w:rsid w:val="00396D1A"/>
    <w:rsid w:val="003973EA"/>
    <w:rsid w:val="00397909"/>
    <w:rsid w:val="00397949"/>
    <w:rsid w:val="003A0A89"/>
    <w:rsid w:val="003A12FD"/>
    <w:rsid w:val="003A14D6"/>
    <w:rsid w:val="003A27B2"/>
    <w:rsid w:val="003A2EF8"/>
    <w:rsid w:val="003A30E9"/>
    <w:rsid w:val="003A326F"/>
    <w:rsid w:val="003A3EA1"/>
    <w:rsid w:val="003A42A7"/>
    <w:rsid w:val="003A45DC"/>
    <w:rsid w:val="003A4B51"/>
    <w:rsid w:val="003A5A3F"/>
    <w:rsid w:val="003A5C0B"/>
    <w:rsid w:val="003A7263"/>
    <w:rsid w:val="003B0477"/>
    <w:rsid w:val="003B1FA4"/>
    <w:rsid w:val="003B22E9"/>
    <w:rsid w:val="003B2996"/>
    <w:rsid w:val="003B29BB"/>
    <w:rsid w:val="003B3311"/>
    <w:rsid w:val="003B3482"/>
    <w:rsid w:val="003B3A2A"/>
    <w:rsid w:val="003B3DF5"/>
    <w:rsid w:val="003B4796"/>
    <w:rsid w:val="003B4932"/>
    <w:rsid w:val="003B4D71"/>
    <w:rsid w:val="003B4F2D"/>
    <w:rsid w:val="003B5022"/>
    <w:rsid w:val="003B52C9"/>
    <w:rsid w:val="003B5CE1"/>
    <w:rsid w:val="003B620F"/>
    <w:rsid w:val="003B672A"/>
    <w:rsid w:val="003B714B"/>
    <w:rsid w:val="003B73F6"/>
    <w:rsid w:val="003B7549"/>
    <w:rsid w:val="003B76CD"/>
    <w:rsid w:val="003C0899"/>
    <w:rsid w:val="003C0B2D"/>
    <w:rsid w:val="003C1D54"/>
    <w:rsid w:val="003C1FC2"/>
    <w:rsid w:val="003C2144"/>
    <w:rsid w:val="003C23EC"/>
    <w:rsid w:val="003C25EB"/>
    <w:rsid w:val="003C271D"/>
    <w:rsid w:val="003C342E"/>
    <w:rsid w:val="003C37A0"/>
    <w:rsid w:val="003C398C"/>
    <w:rsid w:val="003C3E6A"/>
    <w:rsid w:val="003C47F5"/>
    <w:rsid w:val="003C4F4F"/>
    <w:rsid w:val="003C5CB3"/>
    <w:rsid w:val="003C64B9"/>
    <w:rsid w:val="003C696D"/>
    <w:rsid w:val="003C6FDC"/>
    <w:rsid w:val="003C72D8"/>
    <w:rsid w:val="003C7902"/>
    <w:rsid w:val="003C7A95"/>
    <w:rsid w:val="003D050F"/>
    <w:rsid w:val="003D06F5"/>
    <w:rsid w:val="003D0D7D"/>
    <w:rsid w:val="003D1188"/>
    <w:rsid w:val="003D1AAE"/>
    <w:rsid w:val="003D1F87"/>
    <w:rsid w:val="003D2AE9"/>
    <w:rsid w:val="003D2BCA"/>
    <w:rsid w:val="003D3C2D"/>
    <w:rsid w:val="003D449A"/>
    <w:rsid w:val="003D48D5"/>
    <w:rsid w:val="003D4AF8"/>
    <w:rsid w:val="003D5A8E"/>
    <w:rsid w:val="003D5B0E"/>
    <w:rsid w:val="003D63A3"/>
    <w:rsid w:val="003D7129"/>
    <w:rsid w:val="003D7200"/>
    <w:rsid w:val="003D7856"/>
    <w:rsid w:val="003D7E78"/>
    <w:rsid w:val="003E0099"/>
    <w:rsid w:val="003E0168"/>
    <w:rsid w:val="003E11EA"/>
    <w:rsid w:val="003E143A"/>
    <w:rsid w:val="003E1766"/>
    <w:rsid w:val="003E2231"/>
    <w:rsid w:val="003E255E"/>
    <w:rsid w:val="003E2978"/>
    <w:rsid w:val="003E4483"/>
    <w:rsid w:val="003E4DB8"/>
    <w:rsid w:val="003E4FFB"/>
    <w:rsid w:val="003E570D"/>
    <w:rsid w:val="003E59EA"/>
    <w:rsid w:val="003E600F"/>
    <w:rsid w:val="003E6AD5"/>
    <w:rsid w:val="003E6AF8"/>
    <w:rsid w:val="003E6E0C"/>
    <w:rsid w:val="003E7FE0"/>
    <w:rsid w:val="003F0370"/>
    <w:rsid w:val="003F0606"/>
    <w:rsid w:val="003F0675"/>
    <w:rsid w:val="003F0A8B"/>
    <w:rsid w:val="003F0D7E"/>
    <w:rsid w:val="003F100F"/>
    <w:rsid w:val="003F28F0"/>
    <w:rsid w:val="003F2D75"/>
    <w:rsid w:val="003F2D85"/>
    <w:rsid w:val="003F2FD6"/>
    <w:rsid w:val="003F35FB"/>
    <w:rsid w:val="003F3900"/>
    <w:rsid w:val="003F3ADB"/>
    <w:rsid w:val="003F4DC2"/>
    <w:rsid w:val="003F50C2"/>
    <w:rsid w:val="003F5B91"/>
    <w:rsid w:val="003F669B"/>
    <w:rsid w:val="003F6ADD"/>
    <w:rsid w:val="003F747F"/>
    <w:rsid w:val="003F7D08"/>
    <w:rsid w:val="004002DC"/>
    <w:rsid w:val="00400CAC"/>
    <w:rsid w:val="00400EAC"/>
    <w:rsid w:val="004010C2"/>
    <w:rsid w:val="004016BB"/>
    <w:rsid w:val="00401857"/>
    <w:rsid w:val="004018BA"/>
    <w:rsid w:val="00401DB0"/>
    <w:rsid w:val="004026D7"/>
    <w:rsid w:val="00402AC1"/>
    <w:rsid w:val="00403081"/>
    <w:rsid w:val="00403474"/>
    <w:rsid w:val="00403F22"/>
    <w:rsid w:val="004043BA"/>
    <w:rsid w:val="0040446F"/>
    <w:rsid w:val="004047D7"/>
    <w:rsid w:val="004047E5"/>
    <w:rsid w:val="004048E1"/>
    <w:rsid w:val="00404959"/>
    <w:rsid w:val="00404DE6"/>
    <w:rsid w:val="00405F9B"/>
    <w:rsid w:val="004064FA"/>
    <w:rsid w:val="004068FF"/>
    <w:rsid w:val="00406DD4"/>
    <w:rsid w:val="004070C1"/>
    <w:rsid w:val="00407407"/>
    <w:rsid w:val="00407867"/>
    <w:rsid w:val="00407F83"/>
    <w:rsid w:val="0041110A"/>
    <w:rsid w:val="004111C5"/>
    <w:rsid w:val="00411502"/>
    <w:rsid w:val="00412CCD"/>
    <w:rsid w:val="004130E1"/>
    <w:rsid w:val="00414F06"/>
    <w:rsid w:val="00415291"/>
    <w:rsid w:val="00415B54"/>
    <w:rsid w:val="004165C0"/>
    <w:rsid w:val="0041723E"/>
    <w:rsid w:val="004172AF"/>
    <w:rsid w:val="00417425"/>
    <w:rsid w:val="00420FA3"/>
    <w:rsid w:val="00420FD3"/>
    <w:rsid w:val="00421F9F"/>
    <w:rsid w:val="0042204B"/>
    <w:rsid w:val="004221B7"/>
    <w:rsid w:val="0042253A"/>
    <w:rsid w:val="004228CC"/>
    <w:rsid w:val="004230C3"/>
    <w:rsid w:val="004232C9"/>
    <w:rsid w:val="004240AD"/>
    <w:rsid w:val="0042418D"/>
    <w:rsid w:val="0042472C"/>
    <w:rsid w:val="004253DE"/>
    <w:rsid w:val="00425895"/>
    <w:rsid w:val="00425BF2"/>
    <w:rsid w:val="00425C3E"/>
    <w:rsid w:val="00426E24"/>
    <w:rsid w:val="004277D4"/>
    <w:rsid w:val="00430624"/>
    <w:rsid w:val="004309C8"/>
    <w:rsid w:val="00430A3C"/>
    <w:rsid w:val="00431139"/>
    <w:rsid w:val="004311BF"/>
    <w:rsid w:val="00431B4B"/>
    <w:rsid w:val="00431E9B"/>
    <w:rsid w:val="00431F3B"/>
    <w:rsid w:val="004323FE"/>
    <w:rsid w:val="004326D6"/>
    <w:rsid w:val="0043288A"/>
    <w:rsid w:val="00432E0C"/>
    <w:rsid w:val="00433281"/>
    <w:rsid w:val="00433529"/>
    <w:rsid w:val="0043389B"/>
    <w:rsid w:val="00433A4E"/>
    <w:rsid w:val="00433ECD"/>
    <w:rsid w:val="0043415B"/>
    <w:rsid w:val="004344C0"/>
    <w:rsid w:val="00434615"/>
    <w:rsid w:val="00434719"/>
    <w:rsid w:val="00434CD0"/>
    <w:rsid w:val="004350BA"/>
    <w:rsid w:val="0043563E"/>
    <w:rsid w:val="00435993"/>
    <w:rsid w:val="00435B52"/>
    <w:rsid w:val="00435C20"/>
    <w:rsid w:val="0043601E"/>
    <w:rsid w:val="00437DF8"/>
    <w:rsid w:val="00440022"/>
    <w:rsid w:val="00440062"/>
    <w:rsid w:val="00440B84"/>
    <w:rsid w:val="00441316"/>
    <w:rsid w:val="0044146C"/>
    <w:rsid w:val="004414EA"/>
    <w:rsid w:val="004418E3"/>
    <w:rsid w:val="00441AFA"/>
    <w:rsid w:val="00442192"/>
    <w:rsid w:val="00442AC3"/>
    <w:rsid w:val="00442EF9"/>
    <w:rsid w:val="00442FC0"/>
    <w:rsid w:val="00443102"/>
    <w:rsid w:val="00443189"/>
    <w:rsid w:val="00444396"/>
    <w:rsid w:val="0044479E"/>
    <w:rsid w:val="00444B3E"/>
    <w:rsid w:val="004450A9"/>
    <w:rsid w:val="004450F0"/>
    <w:rsid w:val="004453CB"/>
    <w:rsid w:val="004463FF"/>
    <w:rsid w:val="004466E0"/>
    <w:rsid w:val="00447099"/>
    <w:rsid w:val="0044747B"/>
    <w:rsid w:val="00447606"/>
    <w:rsid w:val="00447951"/>
    <w:rsid w:val="00447F91"/>
    <w:rsid w:val="004504FB"/>
    <w:rsid w:val="00450651"/>
    <w:rsid w:val="00450EC3"/>
    <w:rsid w:val="00451106"/>
    <w:rsid w:val="00452523"/>
    <w:rsid w:val="004528CD"/>
    <w:rsid w:val="00452ED5"/>
    <w:rsid w:val="00452F0B"/>
    <w:rsid w:val="00453700"/>
    <w:rsid w:val="0045429C"/>
    <w:rsid w:val="00454347"/>
    <w:rsid w:val="00454507"/>
    <w:rsid w:val="00454520"/>
    <w:rsid w:val="0045554E"/>
    <w:rsid w:val="004556E6"/>
    <w:rsid w:val="00455D02"/>
    <w:rsid w:val="0045611F"/>
    <w:rsid w:val="00456428"/>
    <w:rsid w:val="00457095"/>
    <w:rsid w:val="0045742A"/>
    <w:rsid w:val="004578AC"/>
    <w:rsid w:val="00460321"/>
    <w:rsid w:val="004605CA"/>
    <w:rsid w:val="004609C0"/>
    <w:rsid w:val="00460BF0"/>
    <w:rsid w:val="004613DA"/>
    <w:rsid w:val="00461FB1"/>
    <w:rsid w:val="0046298E"/>
    <w:rsid w:val="004629F9"/>
    <w:rsid w:val="00462C7F"/>
    <w:rsid w:val="0046301F"/>
    <w:rsid w:val="00463DAD"/>
    <w:rsid w:val="00463DD3"/>
    <w:rsid w:val="00463F67"/>
    <w:rsid w:val="00463FD6"/>
    <w:rsid w:val="0046402B"/>
    <w:rsid w:val="00464531"/>
    <w:rsid w:val="00464764"/>
    <w:rsid w:val="00464BC4"/>
    <w:rsid w:val="00465194"/>
    <w:rsid w:val="00465241"/>
    <w:rsid w:val="004659A0"/>
    <w:rsid w:val="004662BE"/>
    <w:rsid w:val="00466C01"/>
    <w:rsid w:val="00466F16"/>
    <w:rsid w:val="0046715D"/>
    <w:rsid w:val="00467468"/>
    <w:rsid w:val="0046768B"/>
    <w:rsid w:val="00467CCB"/>
    <w:rsid w:val="004703AA"/>
    <w:rsid w:val="004707E6"/>
    <w:rsid w:val="004707EA"/>
    <w:rsid w:val="00470AB7"/>
    <w:rsid w:val="00470BC7"/>
    <w:rsid w:val="004711AA"/>
    <w:rsid w:val="0047162A"/>
    <w:rsid w:val="0047181B"/>
    <w:rsid w:val="00471A93"/>
    <w:rsid w:val="00471D1E"/>
    <w:rsid w:val="00471DCD"/>
    <w:rsid w:val="00471F8F"/>
    <w:rsid w:val="00472DF4"/>
    <w:rsid w:val="00473C47"/>
    <w:rsid w:val="00473F40"/>
    <w:rsid w:val="0047402B"/>
    <w:rsid w:val="00474110"/>
    <w:rsid w:val="0047419D"/>
    <w:rsid w:val="00474350"/>
    <w:rsid w:val="004743F3"/>
    <w:rsid w:val="004748CF"/>
    <w:rsid w:val="004750D4"/>
    <w:rsid w:val="00475495"/>
    <w:rsid w:val="004754F6"/>
    <w:rsid w:val="004757D7"/>
    <w:rsid w:val="00475D12"/>
    <w:rsid w:val="00476469"/>
    <w:rsid w:val="00476A0C"/>
    <w:rsid w:val="00477688"/>
    <w:rsid w:val="00477A6B"/>
    <w:rsid w:val="00477CD6"/>
    <w:rsid w:val="00477F44"/>
    <w:rsid w:val="0048054C"/>
    <w:rsid w:val="00480692"/>
    <w:rsid w:val="00481660"/>
    <w:rsid w:val="00481836"/>
    <w:rsid w:val="00481B47"/>
    <w:rsid w:val="00482CC1"/>
    <w:rsid w:val="00482D78"/>
    <w:rsid w:val="00483302"/>
    <w:rsid w:val="004836CF"/>
    <w:rsid w:val="00483812"/>
    <w:rsid w:val="00483BA6"/>
    <w:rsid w:val="004847DC"/>
    <w:rsid w:val="00484AE4"/>
    <w:rsid w:val="004853B5"/>
    <w:rsid w:val="00485530"/>
    <w:rsid w:val="00485D15"/>
    <w:rsid w:val="00485DFD"/>
    <w:rsid w:val="00485E6C"/>
    <w:rsid w:val="00486031"/>
    <w:rsid w:val="004860BF"/>
    <w:rsid w:val="00486213"/>
    <w:rsid w:val="00486272"/>
    <w:rsid w:val="00486F79"/>
    <w:rsid w:val="00487425"/>
    <w:rsid w:val="004874EF"/>
    <w:rsid w:val="0048778E"/>
    <w:rsid w:val="0049044A"/>
    <w:rsid w:val="00490BC9"/>
    <w:rsid w:val="0049118C"/>
    <w:rsid w:val="00491986"/>
    <w:rsid w:val="00491AA2"/>
    <w:rsid w:val="00492CB6"/>
    <w:rsid w:val="0049317F"/>
    <w:rsid w:val="004944AF"/>
    <w:rsid w:val="0049512F"/>
    <w:rsid w:val="00495306"/>
    <w:rsid w:val="00495870"/>
    <w:rsid w:val="0049709A"/>
    <w:rsid w:val="004974BB"/>
    <w:rsid w:val="00497584"/>
    <w:rsid w:val="00497D26"/>
    <w:rsid w:val="004A0015"/>
    <w:rsid w:val="004A03A9"/>
    <w:rsid w:val="004A059F"/>
    <w:rsid w:val="004A0703"/>
    <w:rsid w:val="004A099B"/>
    <w:rsid w:val="004A0E06"/>
    <w:rsid w:val="004A0F6D"/>
    <w:rsid w:val="004A2483"/>
    <w:rsid w:val="004A28D1"/>
    <w:rsid w:val="004A2B52"/>
    <w:rsid w:val="004A33EF"/>
    <w:rsid w:val="004A38B3"/>
    <w:rsid w:val="004A3C30"/>
    <w:rsid w:val="004A3CEA"/>
    <w:rsid w:val="004A414B"/>
    <w:rsid w:val="004A42BF"/>
    <w:rsid w:val="004A4A67"/>
    <w:rsid w:val="004A4C27"/>
    <w:rsid w:val="004A4CC0"/>
    <w:rsid w:val="004A5452"/>
    <w:rsid w:val="004A601F"/>
    <w:rsid w:val="004A626F"/>
    <w:rsid w:val="004A630F"/>
    <w:rsid w:val="004A639C"/>
    <w:rsid w:val="004A6D62"/>
    <w:rsid w:val="004A7053"/>
    <w:rsid w:val="004A75FA"/>
    <w:rsid w:val="004A7AA6"/>
    <w:rsid w:val="004B0376"/>
    <w:rsid w:val="004B0609"/>
    <w:rsid w:val="004B063A"/>
    <w:rsid w:val="004B07D9"/>
    <w:rsid w:val="004B0ECE"/>
    <w:rsid w:val="004B111D"/>
    <w:rsid w:val="004B1535"/>
    <w:rsid w:val="004B20D1"/>
    <w:rsid w:val="004B2236"/>
    <w:rsid w:val="004B25E8"/>
    <w:rsid w:val="004B269C"/>
    <w:rsid w:val="004B2783"/>
    <w:rsid w:val="004B36E7"/>
    <w:rsid w:val="004B421C"/>
    <w:rsid w:val="004B42AA"/>
    <w:rsid w:val="004B438B"/>
    <w:rsid w:val="004B5623"/>
    <w:rsid w:val="004B5690"/>
    <w:rsid w:val="004B6031"/>
    <w:rsid w:val="004B67EA"/>
    <w:rsid w:val="004B6AE1"/>
    <w:rsid w:val="004B6FE8"/>
    <w:rsid w:val="004C0538"/>
    <w:rsid w:val="004C1AF2"/>
    <w:rsid w:val="004C1F78"/>
    <w:rsid w:val="004C2720"/>
    <w:rsid w:val="004C287D"/>
    <w:rsid w:val="004C2B86"/>
    <w:rsid w:val="004C2E81"/>
    <w:rsid w:val="004C3147"/>
    <w:rsid w:val="004C3CAB"/>
    <w:rsid w:val="004C3DC1"/>
    <w:rsid w:val="004C40AC"/>
    <w:rsid w:val="004C412D"/>
    <w:rsid w:val="004C4576"/>
    <w:rsid w:val="004C5196"/>
    <w:rsid w:val="004C524F"/>
    <w:rsid w:val="004C657B"/>
    <w:rsid w:val="004C69B0"/>
    <w:rsid w:val="004C6DF5"/>
    <w:rsid w:val="004D00E2"/>
    <w:rsid w:val="004D0650"/>
    <w:rsid w:val="004D0D46"/>
    <w:rsid w:val="004D1B79"/>
    <w:rsid w:val="004D1DE4"/>
    <w:rsid w:val="004D1F3B"/>
    <w:rsid w:val="004D26B2"/>
    <w:rsid w:val="004D2E38"/>
    <w:rsid w:val="004D2E45"/>
    <w:rsid w:val="004D4192"/>
    <w:rsid w:val="004D42B9"/>
    <w:rsid w:val="004D5F44"/>
    <w:rsid w:val="004D7B32"/>
    <w:rsid w:val="004D7F6E"/>
    <w:rsid w:val="004E0623"/>
    <w:rsid w:val="004E0BF4"/>
    <w:rsid w:val="004E0EA0"/>
    <w:rsid w:val="004E0EB0"/>
    <w:rsid w:val="004E1338"/>
    <w:rsid w:val="004E13C6"/>
    <w:rsid w:val="004E1590"/>
    <w:rsid w:val="004E166F"/>
    <w:rsid w:val="004E1865"/>
    <w:rsid w:val="004E1B66"/>
    <w:rsid w:val="004E1CE9"/>
    <w:rsid w:val="004E26E2"/>
    <w:rsid w:val="004E2CCD"/>
    <w:rsid w:val="004E2D83"/>
    <w:rsid w:val="004E3A1A"/>
    <w:rsid w:val="004E481E"/>
    <w:rsid w:val="004E4893"/>
    <w:rsid w:val="004E4CD5"/>
    <w:rsid w:val="004E4F3B"/>
    <w:rsid w:val="004E54D1"/>
    <w:rsid w:val="004E5F92"/>
    <w:rsid w:val="004E678D"/>
    <w:rsid w:val="004E6BFC"/>
    <w:rsid w:val="004E755D"/>
    <w:rsid w:val="004E7985"/>
    <w:rsid w:val="004F019E"/>
    <w:rsid w:val="004F0596"/>
    <w:rsid w:val="004F08E7"/>
    <w:rsid w:val="004F0A79"/>
    <w:rsid w:val="004F1378"/>
    <w:rsid w:val="004F141D"/>
    <w:rsid w:val="004F16D1"/>
    <w:rsid w:val="004F1F2E"/>
    <w:rsid w:val="004F280E"/>
    <w:rsid w:val="004F2BDA"/>
    <w:rsid w:val="004F38B0"/>
    <w:rsid w:val="004F3B01"/>
    <w:rsid w:val="004F4518"/>
    <w:rsid w:val="004F475A"/>
    <w:rsid w:val="004F4B56"/>
    <w:rsid w:val="004F5E43"/>
    <w:rsid w:val="004F6934"/>
    <w:rsid w:val="004F6941"/>
    <w:rsid w:val="004F6A0E"/>
    <w:rsid w:val="004F6A46"/>
    <w:rsid w:val="004F7159"/>
    <w:rsid w:val="004F7D70"/>
    <w:rsid w:val="0050003D"/>
    <w:rsid w:val="0050008D"/>
    <w:rsid w:val="005009B8"/>
    <w:rsid w:val="00500F34"/>
    <w:rsid w:val="00501300"/>
    <w:rsid w:val="00501E51"/>
    <w:rsid w:val="00502852"/>
    <w:rsid w:val="00502D9A"/>
    <w:rsid w:val="00503420"/>
    <w:rsid w:val="0050354F"/>
    <w:rsid w:val="00503B6C"/>
    <w:rsid w:val="00503D75"/>
    <w:rsid w:val="005040B1"/>
    <w:rsid w:val="00505800"/>
    <w:rsid w:val="00506A8E"/>
    <w:rsid w:val="00506B82"/>
    <w:rsid w:val="00506CC3"/>
    <w:rsid w:val="00507C30"/>
    <w:rsid w:val="005102F7"/>
    <w:rsid w:val="00510386"/>
    <w:rsid w:val="005104AC"/>
    <w:rsid w:val="00510B7C"/>
    <w:rsid w:val="005112CA"/>
    <w:rsid w:val="00511AA3"/>
    <w:rsid w:val="0051209A"/>
    <w:rsid w:val="0051250D"/>
    <w:rsid w:val="00515842"/>
    <w:rsid w:val="00515A68"/>
    <w:rsid w:val="00515F2A"/>
    <w:rsid w:val="0051653A"/>
    <w:rsid w:val="005173DA"/>
    <w:rsid w:val="00517654"/>
    <w:rsid w:val="00517718"/>
    <w:rsid w:val="005207D7"/>
    <w:rsid w:val="00521419"/>
    <w:rsid w:val="00521A27"/>
    <w:rsid w:val="0052284E"/>
    <w:rsid w:val="00522E56"/>
    <w:rsid w:val="00523469"/>
    <w:rsid w:val="00523A8D"/>
    <w:rsid w:val="00523AF4"/>
    <w:rsid w:val="00525283"/>
    <w:rsid w:val="00525980"/>
    <w:rsid w:val="00525B49"/>
    <w:rsid w:val="005267EE"/>
    <w:rsid w:val="00527E88"/>
    <w:rsid w:val="0053000B"/>
    <w:rsid w:val="005300EC"/>
    <w:rsid w:val="00530671"/>
    <w:rsid w:val="0053096F"/>
    <w:rsid w:val="00531087"/>
    <w:rsid w:val="005310C6"/>
    <w:rsid w:val="00532075"/>
    <w:rsid w:val="00532F0E"/>
    <w:rsid w:val="005331A5"/>
    <w:rsid w:val="00533572"/>
    <w:rsid w:val="00533911"/>
    <w:rsid w:val="00533C83"/>
    <w:rsid w:val="00533CE5"/>
    <w:rsid w:val="00533DA2"/>
    <w:rsid w:val="005345B6"/>
    <w:rsid w:val="0053477E"/>
    <w:rsid w:val="00534AC5"/>
    <w:rsid w:val="00534F38"/>
    <w:rsid w:val="00535170"/>
    <w:rsid w:val="0053569F"/>
    <w:rsid w:val="005369A1"/>
    <w:rsid w:val="00536BBB"/>
    <w:rsid w:val="00536F06"/>
    <w:rsid w:val="00537244"/>
    <w:rsid w:val="0053771F"/>
    <w:rsid w:val="005378B6"/>
    <w:rsid w:val="00537E40"/>
    <w:rsid w:val="00540175"/>
    <w:rsid w:val="00541000"/>
    <w:rsid w:val="00541D98"/>
    <w:rsid w:val="00542395"/>
    <w:rsid w:val="005424D0"/>
    <w:rsid w:val="00542ECA"/>
    <w:rsid w:val="00543C57"/>
    <w:rsid w:val="00544AC1"/>
    <w:rsid w:val="00544AF8"/>
    <w:rsid w:val="00544B0A"/>
    <w:rsid w:val="005452F8"/>
    <w:rsid w:val="0054538D"/>
    <w:rsid w:val="00545A48"/>
    <w:rsid w:val="00545A9D"/>
    <w:rsid w:val="00545C05"/>
    <w:rsid w:val="005461E5"/>
    <w:rsid w:val="005462E9"/>
    <w:rsid w:val="00546C1C"/>
    <w:rsid w:val="00546F9D"/>
    <w:rsid w:val="005472B9"/>
    <w:rsid w:val="005477D2"/>
    <w:rsid w:val="005478A3"/>
    <w:rsid w:val="00550C2D"/>
    <w:rsid w:val="00550CB8"/>
    <w:rsid w:val="00551A1F"/>
    <w:rsid w:val="005527DB"/>
    <w:rsid w:val="00553502"/>
    <w:rsid w:val="00553F68"/>
    <w:rsid w:val="00554091"/>
    <w:rsid w:val="0055476F"/>
    <w:rsid w:val="005547F8"/>
    <w:rsid w:val="00555043"/>
    <w:rsid w:val="0055516F"/>
    <w:rsid w:val="005557BA"/>
    <w:rsid w:val="00555C94"/>
    <w:rsid w:val="00556736"/>
    <w:rsid w:val="00556B24"/>
    <w:rsid w:val="005571DC"/>
    <w:rsid w:val="00557494"/>
    <w:rsid w:val="005574F9"/>
    <w:rsid w:val="0055793B"/>
    <w:rsid w:val="00557C70"/>
    <w:rsid w:val="00557CCA"/>
    <w:rsid w:val="00560374"/>
    <w:rsid w:val="00560AD6"/>
    <w:rsid w:val="00560B28"/>
    <w:rsid w:val="00561526"/>
    <w:rsid w:val="00561AFD"/>
    <w:rsid w:val="00561B3B"/>
    <w:rsid w:val="005630A2"/>
    <w:rsid w:val="005636D9"/>
    <w:rsid w:val="00563ADF"/>
    <w:rsid w:val="00563D56"/>
    <w:rsid w:val="0056413B"/>
    <w:rsid w:val="00564A34"/>
    <w:rsid w:val="00564A58"/>
    <w:rsid w:val="00564DAC"/>
    <w:rsid w:val="00565622"/>
    <w:rsid w:val="005661A7"/>
    <w:rsid w:val="0056685A"/>
    <w:rsid w:val="00566F00"/>
    <w:rsid w:val="00567539"/>
    <w:rsid w:val="00567885"/>
    <w:rsid w:val="00567C8C"/>
    <w:rsid w:val="00567E4B"/>
    <w:rsid w:val="00567E91"/>
    <w:rsid w:val="00567F9E"/>
    <w:rsid w:val="0057070E"/>
    <w:rsid w:val="00570AFB"/>
    <w:rsid w:val="00570B7E"/>
    <w:rsid w:val="005712C2"/>
    <w:rsid w:val="0057147F"/>
    <w:rsid w:val="00571815"/>
    <w:rsid w:val="005718DE"/>
    <w:rsid w:val="0057249C"/>
    <w:rsid w:val="00572672"/>
    <w:rsid w:val="005734AA"/>
    <w:rsid w:val="005743BB"/>
    <w:rsid w:val="00574A52"/>
    <w:rsid w:val="005755EF"/>
    <w:rsid w:val="00576449"/>
    <w:rsid w:val="00576B85"/>
    <w:rsid w:val="00576E08"/>
    <w:rsid w:val="00577003"/>
    <w:rsid w:val="00577323"/>
    <w:rsid w:val="0057768B"/>
    <w:rsid w:val="005778ED"/>
    <w:rsid w:val="0058037F"/>
    <w:rsid w:val="0058106A"/>
    <w:rsid w:val="005811CD"/>
    <w:rsid w:val="0058158D"/>
    <w:rsid w:val="00581BE8"/>
    <w:rsid w:val="00581D29"/>
    <w:rsid w:val="00581FC6"/>
    <w:rsid w:val="0058202B"/>
    <w:rsid w:val="005828EE"/>
    <w:rsid w:val="00582CAE"/>
    <w:rsid w:val="00583A51"/>
    <w:rsid w:val="00584487"/>
    <w:rsid w:val="00584684"/>
    <w:rsid w:val="0058626F"/>
    <w:rsid w:val="00586389"/>
    <w:rsid w:val="00586DC2"/>
    <w:rsid w:val="00586EAB"/>
    <w:rsid w:val="00590755"/>
    <w:rsid w:val="00590B18"/>
    <w:rsid w:val="00590EAA"/>
    <w:rsid w:val="0059141F"/>
    <w:rsid w:val="00591E32"/>
    <w:rsid w:val="005920AD"/>
    <w:rsid w:val="005924CD"/>
    <w:rsid w:val="0059337D"/>
    <w:rsid w:val="005935FF"/>
    <w:rsid w:val="005937EA"/>
    <w:rsid w:val="00593FED"/>
    <w:rsid w:val="0059453B"/>
    <w:rsid w:val="00594D30"/>
    <w:rsid w:val="005954A7"/>
    <w:rsid w:val="00595999"/>
    <w:rsid w:val="005963B8"/>
    <w:rsid w:val="00596B02"/>
    <w:rsid w:val="00597363"/>
    <w:rsid w:val="0059798D"/>
    <w:rsid w:val="00597EFE"/>
    <w:rsid w:val="005A0291"/>
    <w:rsid w:val="005A0479"/>
    <w:rsid w:val="005A0759"/>
    <w:rsid w:val="005A11C1"/>
    <w:rsid w:val="005A32DD"/>
    <w:rsid w:val="005A371A"/>
    <w:rsid w:val="005A3D63"/>
    <w:rsid w:val="005A3E1E"/>
    <w:rsid w:val="005A3E75"/>
    <w:rsid w:val="005A3EF8"/>
    <w:rsid w:val="005A3FF5"/>
    <w:rsid w:val="005A4DC1"/>
    <w:rsid w:val="005A611F"/>
    <w:rsid w:val="005A6607"/>
    <w:rsid w:val="005A6982"/>
    <w:rsid w:val="005A7CBF"/>
    <w:rsid w:val="005B017E"/>
    <w:rsid w:val="005B0382"/>
    <w:rsid w:val="005B04AD"/>
    <w:rsid w:val="005B0CAC"/>
    <w:rsid w:val="005B1050"/>
    <w:rsid w:val="005B1267"/>
    <w:rsid w:val="005B1333"/>
    <w:rsid w:val="005B1D61"/>
    <w:rsid w:val="005B219D"/>
    <w:rsid w:val="005B2238"/>
    <w:rsid w:val="005B2487"/>
    <w:rsid w:val="005B2700"/>
    <w:rsid w:val="005B2956"/>
    <w:rsid w:val="005B2AB9"/>
    <w:rsid w:val="005B2D23"/>
    <w:rsid w:val="005B3011"/>
    <w:rsid w:val="005B339F"/>
    <w:rsid w:val="005B37CE"/>
    <w:rsid w:val="005B3C27"/>
    <w:rsid w:val="005B444F"/>
    <w:rsid w:val="005B4B97"/>
    <w:rsid w:val="005B5063"/>
    <w:rsid w:val="005B526C"/>
    <w:rsid w:val="005B5DD1"/>
    <w:rsid w:val="005B668C"/>
    <w:rsid w:val="005B6BA3"/>
    <w:rsid w:val="005B6D32"/>
    <w:rsid w:val="005B6E8F"/>
    <w:rsid w:val="005B7B44"/>
    <w:rsid w:val="005C02A4"/>
    <w:rsid w:val="005C08AA"/>
    <w:rsid w:val="005C1C5B"/>
    <w:rsid w:val="005C1D94"/>
    <w:rsid w:val="005C1DED"/>
    <w:rsid w:val="005C22BC"/>
    <w:rsid w:val="005C22C5"/>
    <w:rsid w:val="005C2936"/>
    <w:rsid w:val="005C2FB0"/>
    <w:rsid w:val="005C3AC8"/>
    <w:rsid w:val="005C3FBD"/>
    <w:rsid w:val="005C418F"/>
    <w:rsid w:val="005C494D"/>
    <w:rsid w:val="005C4C84"/>
    <w:rsid w:val="005C5350"/>
    <w:rsid w:val="005C53CF"/>
    <w:rsid w:val="005C5DB7"/>
    <w:rsid w:val="005C64A0"/>
    <w:rsid w:val="005C69E7"/>
    <w:rsid w:val="005C6C53"/>
    <w:rsid w:val="005C6EF6"/>
    <w:rsid w:val="005C70DB"/>
    <w:rsid w:val="005C72B8"/>
    <w:rsid w:val="005C75BC"/>
    <w:rsid w:val="005C76CA"/>
    <w:rsid w:val="005C76DF"/>
    <w:rsid w:val="005C7959"/>
    <w:rsid w:val="005C7A73"/>
    <w:rsid w:val="005C7EC2"/>
    <w:rsid w:val="005D0DEC"/>
    <w:rsid w:val="005D259C"/>
    <w:rsid w:val="005D2A02"/>
    <w:rsid w:val="005D2B24"/>
    <w:rsid w:val="005D2CAB"/>
    <w:rsid w:val="005D332D"/>
    <w:rsid w:val="005D33EA"/>
    <w:rsid w:val="005D350D"/>
    <w:rsid w:val="005D3E04"/>
    <w:rsid w:val="005D3FDC"/>
    <w:rsid w:val="005D4222"/>
    <w:rsid w:val="005D4DA3"/>
    <w:rsid w:val="005D5037"/>
    <w:rsid w:val="005D5855"/>
    <w:rsid w:val="005D5D1D"/>
    <w:rsid w:val="005D6A0C"/>
    <w:rsid w:val="005D6DF3"/>
    <w:rsid w:val="005D7036"/>
    <w:rsid w:val="005D7C90"/>
    <w:rsid w:val="005E0A15"/>
    <w:rsid w:val="005E1191"/>
    <w:rsid w:val="005E16F3"/>
    <w:rsid w:val="005E1AF1"/>
    <w:rsid w:val="005E245A"/>
    <w:rsid w:val="005E2B22"/>
    <w:rsid w:val="005E3306"/>
    <w:rsid w:val="005E3C27"/>
    <w:rsid w:val="005E3C8B"/>
    <w:rsid w:val="005E3DF9"/>
    <w:rsid w:val="005E40B6"/>
    <w:rsid w:val="005E40F4"/>
    <w:rsid w:val="005E4A51"/>
    <w:rsid w:val="005E4BBC"/>
    <w:rsid w:val="005E4EED"/>
    <w:rsid w:val="005E51D4"/>
    <w:rsid w:val="005E54EA"/>
    <w:rsid w:val="005E5978"/>
    <w:rsid w:val="005E62B7"/>
    <w:rsid w:val="005E6326"/>
    <w:rsid w:val="005E69C6"/>
    <w:rsid w:val="005E71C3"/>
    <w:rsid w:val="005E722C"/>
    <w:rsid w:val="005E7D65"/>
    <w:rsid w:val="005E7F95"/>
    <w:rsid w:val="005F0BC8"/>
    <w:rsid w:val="005F183E"/>
    <w:rsid w:val="005F2164"/>
    <w:rsid w:val="005F3952"/>
    <w:rsid w:val="005F3C29"/>
    <w:rsid w:val="005F40C0"/>
    <w:rsid w:val="005F41DD"/>
    <w:rsid w:val="005F4450"/>
    <w:rsid w:val="005F4658"/>
    <w:rsid w:val="005F4783"/>
    <w:rsid w:val="005F48FC"/>
    <w:rsid w:val="005F58A2"/>
    <w:rsid w:val="005F5C54"/>
    <w:rsid w:val="005F6301"/>
    <w:rsid w:val="005F697D"/>
    <w:rsid w:val="005F7016"/>
    <w:rsid w:val="005F72C7"/>
    <w:rsid w:val="005F782D"/>
    <w:rsid w:val="005F7896"/>
    <w:rsid w:val="005F7B0C"/>
    <w:rsid w:val="0060020D"/>
    <w:rsid w:val="006006CE"/>
    <w:rsid w:val="00600D0F"/>
    <w:rsid w:val="006012A1"/>
    <w:rsid w:val="00601674"/>
    <w:rsid w:val="006020EF"/>
    <w:rsid w:val="00602DBD"/>
    <w:rsid w:val="00603115"/>
    <w:rsid w:val="00603300"/>
    <w:rsid w:val="00603D87"/>
    <w:rsid w:val="006049FC"/>
    <w:rsid w:val="00604A6F"/>
    <w:rsid w:val="006055BC"/>
    <w:rsid w:val="006069CF"/>
    <w:rsid w:val="00606BBE"/>
    <w:rsid w:val="006077B3"/>
    <w:rsid w:val="0061005E"/>
    <w:rsid w:val="00610B42"/>
    <w:rsid w:val="00611D92"/>
    <w:rsid w:val="00611DC5"/>
    <w:rsid w:val="00612001"/>
    <w:rsid w:val="006121BB"/>
    <w:rsid w:val="006122A8"/>
    <w:rsid w:val="0061277D"/>
    <w:rsid w:val="006127A3"/>
    <w:rsid w:val="00612C36"/>
    <w:rsid w:val="00612CE3"/>
    <w:rsid w:val="00612EA4"/>
    <w:rsid w:val="00612F83"/>
    <w:rsid w:val="0061300F"/>
    <w:rsid w:val="00613782"/>
    <w:rsid w:val="006143EF"/>
    <w:rsid w:val="0061452F"/>
    <w:rsid w:val="00614CF9"/>
    <w:rsid w:val="0061534C"/>
    <w:rsid w:val="0061565E"/>
    <w:rsid w:val="00615769"/>
    <w:rsid w:val="00615E87"/>
    <w:rsid w:val="00615F40"/>
    <w:rsid w:val="006160CB"/>
    <w:rsid w:val="00616175"/>
    <w:rsid w:val="00616806"/>
    <w:rsid w:val="00616B0B"/>
    <w:rsid w:val="00616F53"/>
    <w:rsid w:val="00617108"/>
    <w:rsid w:val="00617D5C"/>
    <w:rsid w:val="00617E5D"/>
    <w:rsid w:val="006203C0"/>
    <w:rsid w:val="0062072D"/>
    <w:rsid w:val="0062078F"/>
    <w:rsid w:val="00620811"/>
    <w:rsid w:val="0062086B"/>
    <w:rsid w:val="00620C07"/>
    <w:rsid w:val="00621505"/>
    <w:rsid w:val="006216EB"/>
    <w:rsid w:val="00621831"/>
    <w:rsid w:val="00621AB5"/>
    <w:rsid w:val="00621F2D"/>
    <w:rsid w:val="0062206A"/>
    <w:rsid w:val="00622692"/>
    <w:rsid w:val="00622F56"/>
    <w:rsid w:val="00623035"/>
    <w:rsid w:val="00623450"/>
    <w:rsid w:val="006235AB"/>
    <w:rsid w:val="0062398D"/>
    <w:rsid w:val="00623DAA"/>
    <w:rsid w:val="0062469F"/>
    <w:rsid w:val="00624715"/>
    <w:rsid w:val="0062512C"/>
    <w:rsid w:val="0062525D"/>
    <w:rsid w:val="00625885"/>
    <w:rsid w:val="0062728E"/>
    <w:rsid w:val="00627868"/>
    <w:rsid w:val="006278F2"/>
    <w:rsid w:val="00627BAA"/>
    <w:rsid w:val="00630AB7"/>
    <w:rsid w:val="00630EE2"/>
    <w:rsid w:val="006321BE"/>
    <w:rsid w:val="0063228B"/>
    <w:rsid w:val="00632450"/>
    <w:rsid w:val="00632639"/>
    <w:rsid w:val="00632C80"/>
    <w:rsid w:val="00632D60"/>
    <w:rsid w:val="00632E98"/>
    <w:rsid w:val="0063329F"/>
    <w:rsid w:val="00633A23"/>
    <w:rsid w:val="00634583"/>
    <w:rsid w:val="00634ABD"/>
    <w:rsid w:val="00634E7E"/>
    <w:rsid w:val="00634E9E"/>
    <w:rsid w:val="006364AE"/>
    <w:rsid w:val="0063658B"/>
    <w:rsid w:val="00636860"/>
    <w:rsid w:val="00636CDB"/>
    <w:rsid w:val="00636DBA"/>
    <w:rsid w:val="006373AC"/>
    <w:rsid w:val="00640610"/>
    <w:rsid w:val="006409B0"/>
    <w:rsid w:val="006427E0"/>
    <w:rsid w:val="00643571"/>
    <w:rsid w:val="006435A3"/>
    <w:rsid w:val="00643BEB"/>
    <w:rsid w:val="0064490B"/>
    <w:rsid w:val="00645244"/>
    <w:rsid w:val="00645579"/>
    <w:rsid w:val="00646E62"/>
    <w:rsid w:val="00647421"/>
    <w:rsid w:val="006474EC"/>
    <w:rsid w:val="00647BE5"/>
    <w:rsid w:val="006504D9"/>
    <w:rsid w:val="00650AD1"/>
    <w:rsid w:val="00651104"/>
    <w:rsid w:val="00651A7F"/>
    <w:rsid w:val="006528F8"/>
    <w:rsid w:val="006530E7"/>
    <w:rsid w:val="00653713"/>
    <w:rsid w:val="0065390C"/>
    <w:rsid w:val="00653CD8"/>
    <w:rsid w:val="006542AF"/>
    <w:rsid w:val="006542BE"/>
    <w:rsid w:val="00654520"/>
    <w:rsid w:val="00654B7B"/>
    <w:rsid w:val="00655B5F"/>
    <w:rsid w:val="00655DE1"/>
    <w:rsid w:val="00655E4B"/>
    <w:rsid w:val="006568A4"/>
    <w:rsid w:val="00656FD9"/>
    <w:rsid w:val="0065702E"/>
    <w:rsid w:val="00657124"/>
    <w:rsid w:val="00657A71"/>
    <w:rsid w:val="00657D56"/>
    <w:rsid w:val="00660077"/>
    <w:rsid w:val="00660FCE"/>
    <w:rsid w:val="0066198E"/>
    <w:rsid w:val="00661BDC"/>
    <w:rsid w:val="00661CD4"/>
    <w:rsid w:val="00662715"/>
    <w:rsid w:val="00662AF7"/>
    <w:rsid w:val="00662CD1"/>
    <w:rsid w:val="00662D25"/>
    <w:rsid w:val="006635F1"/>
    <w:rsid w:val="0066369A"/>
    <w:rsid w:val="006636DF"/>
    <w:rsid w:val="0066408D"/>
    <w:rsid w:val="0066451C"/>
    <w:rsid w:val="00664D87"/>
    <w:rsid w:val="00666031"/>
    <w:rsid w:val="00666B21"/>
    <w:rsid w:val="00667069"/>
    <w:rsid w:val="00667275"/>
    <w:rsid w:val="0066764B"/>
    <w:rsid w:val="00667704"/>
    <w:rsid w:val="006679E2"/>
    <w:rsid w:val="00667B73"/>
    <w:rsid w:val="00667BA1"/>
    <w:rsid w:val="006703FA"/>
    <w:rsid w:val="00671021"/>
    <w:rsid w:val="00671734"/>
    <w:rsid w:val="006720F0"/>
    <w:rsid w:val="00672A65"/>
    <w:rsid w:val="0067329F"/>
    <w:rsid w:val="0067394F"/>
    <w:rsid w:val="006742F1"/>
    <w:rsid w:val="0067467E"/>
    <w:rsid w:val="006749DF"/>
    <w:rsid w:val="00675239"/>
    <w:rsid w:val="00675867"/>
    <w:rsid w:val="006758EA"/>
    <w:rsid w:val="00676DC2"/>
    <w:rsid w:val="0067728D"/>
    <w:rsid w:val="0067764C"/>
    <w:rsid w:val="006800DE"/>
    <w:rsid w:val="006810DF"/>
    <w:rsid w:val="006817D9"/>
    <w:rsid w:val="006819EC"/>
    <w:rsid w:val="006820EA"/>
    <w:rsid w:val="00682250"/>
    <w:rsid w:val="00682E1E"/>
    <w:rsid w:val="0068304B"/>
    <w:rsid w:val="0068386E"/>
    <w:rsid w:val="00683B65"/>
    <w:rsid w:val="00683FFD"/>
    <w:rsid w:val="00684591"/>
    <w:rsid w:val="006845F7"/>
    <w:rsid w:val="006856E6"/>
    <w:rsid w:val="00686797"/>
    <w:rsid w:val="0068689C"/>
    <w:rsid w:val="006870C5"/>
    <w:rsid w:val="006872CE"/>
    <w:rsid w:val="0068769C"/>
    <w:rsid w:val="006876B7"/>
    <w:rsid w:val="00687FC4"/>
    <w:rsid w:val="0069096E"/>
    <w:rsid w:val="00690D91"/>
    <w:rsid w:val="006911E8"/>
    <w:rsid w:val="0069147B"/>
    <w:rsid w:val="0069159E"/>
    <w:rsid w:val="00692843"/>
    <w:rsid w:val="006928FB"/>
    <w:rsid w:val="0069301B"/>
    <w:rsid w:val="006933AA"/>
    <w:rsid w:val="006933EE"/>
    <w:rsid w:val="00694090"/>
    <w:rsid w:val="00694778"/>
    <w:rsid w:val="006949A7"/>
    <w:rsid w:val="00694F6D"/>
    <w:rsid w:val="006965AF"/>
    <w:rsid w:val="00696831"/>
    <w:rsid w:val="00696A25"/>
    <w:rsid w:val="00696F4A"/>
    <w:rsid w:val="00696F70"/>
    <w:rsid w:val="006972B4"/>
    <w:rsid w:val="00697516"/>
    <w:rsid w:val="006978B7"/>
    <w:rsid w:val="00697B87"/>
    <w:rsid w:val="006A0B48"/>
    <w:rsid w:val="006A20A8"/>
    <w:rsid w:val="006A260F"/>
    <w:rsid w:val="006A27C0"/>
    <w:rsid w:val="006A2C8E"/>
    <w:rsid w:val="006A307D"/>
    <w:rsid w:val="006A4276"/>
    <w:rsid w:val="006A4393"/>
    <w:rsid w:val="006A4FAF"/>
    <w:rsid w:val="006A5571"/>
    <w:rsid w:val="006A5F96"/>
    <w:rsid w:val="006A64D1"/>
    <w:rsid w:val="006A774B"/>
    <w:rsid w:val="006A7DE1"/>
    <w:rsid w:val="006B0172"/>
    <w:rsid w:val="006B03F3"/>
    <w:rsid w:val="006B0475"/>
    <w:rsid w:val="006B07D8"/>
    <w:rsid w:val="006B0976"/>
    <w:rsid w:val="006B0E4F"/>
    <w:rsid w:val="006B0EED"/>
    <w:rsid w:val="006B1255"/>
    <w:rsid w:val="006B1371"/>
    <w:rsid w:val="006B1563"/>
    <w:rsid w:val="006B18BD"/>
    <w:rsid w:val="006B28B7"/>
    <w:rsid w:val="006B2D69"/>
    <w:rsid w:val="006B38AA"/>
    <w:rsid w:val="006B3AD6"/>
    <w:rsid w:val="006B41A6"/>
    <w:rsid w:val="006B4898"/>
    <w:rsid w:val="006B4B55"/>
    <w:rsid w:val="006B4BCF"/>
    <w:rsid w:val="006B5BDD"/>
    <w:rsid w:val="006B6027"/>
    <w:rsid w:val="006B6724"/>
    <w:rsid w:val="006B6836"/>
    <w:rsid w:val="006B6DDF"/>
    <w:rsid w:val="006B71C8"/>
    <w:rsid w:val="006B7EEA"/>
    <w:rsid w:val="006B7F89"/>
    <w:rsid w:val="006C01CE"/>
    <w:rsid w:val="006C0277"/>
    <w:rsid w:val="006C0324"/>
    <w:rsid w:val="006C041A"/>
    <w:rsid w:val="006C046E"/>
    <w:rsid w:val="006C080E"/>
    <w:rsid w:val="006C0B96"/>
    <w:rsid w:val="006C11A1"/>
    <w:rsid w:val="006C1434"/>
    <w:rsid w:val="006C145D"/>
    <w:rsid w:val="006C193F"/>
    <w:rsid w:val="006C29F1"/>
    <w:rsid w:val="006C2CB1"/>
    <w:rsid w:val="006C3921"/>
    <w:rsid w:val="006C3B1D"/>
    <w:rsid w:val="006C4067"/>
    <w:rsid w:val="006C449E"/>
    <w:rsid w:val="006C467C"/>
    <w:rsid w:val="006C4BCA"/>
    <w:rsid w:val="006C4CBD"/>
    <w:rsid w:val="006C5494"/>
    <w:rsid w:val="006C56DD"/>
    <w:rsid w:val="006C5869"/>
    <w:rsid w:val="006C592F"/>
    <w:rsid w:val="006C5CC1"/>
    <w:rsid w:val="006C5D48"/>
    <w:rsid w:val="006C63D8"/>
    <w:rsid w:val="006C7198"/>
    <w:rsid w:val="006C7462"/>
    <w:rsid w:val="006C78D3"/>
    <w:rsid w:val="006C7D46"/>
    <w:rsid w:val="006C7EE5"/>
    <w:rsid w:val="006D0401"/>
    <w:rsid w:val="006D0C27"/>
    <w:rsid w:val="006D2114"/>
    <w:rsid w:val="006D292A"/>
    <w:rsid w:val="006D29BA"/>
    <w:rsid w:val="006D2A2A"/>
    <w:rsid w:val="006D2B62"/>
    <w:rsid w:val="006D2C49"/>
    <w:rsid w:val="006D2D13"/>
    <w:rsid w:val="006D30FB"/>
    <w:rsid w:val="006D337A"/>
    <w:rsid w:val="006D3EDB"/>
    <w:rsid w:val="006D425B"/>
    <w:rsid w:val="006D4BA5"/>
    <w:rsid w:val="006D5342"/>
    <w:rsid w:val="006D54AF"/>
    <w:rsid w:val="006D6622"/>
    <w:rsid w:val="006D6D82"/>
    <w:rsid w:val="006D7148"/>
    <w:rsid w:val="006D7F93"/>
    <w:rsid w:val="006E04F7"/>
    <w:rsid w:val="006E0AAD"/>
    <w:rsid w:val="006E0BF1"/>
    <w:rsid w:val="006E0C45"/>
    <w:rsid w:val="006E0D97"/>
    <w:rsid w:val="006E11DE"/>
    <w:rsid w:val="006E16F1"/>
    <w:rsid w:val="006E1CA6"/>
    <w:rsid w:val="006E1D41"/>
    <w:rsid w:val="006E2228"/>
    <w:rsid w:val="006E26D1"/>
    <w:rsid w:val="006E28C9"/>
    <w:rsid w:val="006E3293"/>
    <w:rsid w:val="006E33D2"/>
    <w:rsid w:val="006E410A"/>
    <w:rsid w:val="006E6022"/>
    <w:rsid w:val="006E60A3"/>
    <w:rsid w:val="006E6423"/>
    <w:rsid w:val="006E660D"/>
    <w:rsid w:val="006E6D3F"/>
    <w:rsid w:val="006F1B7B"/>
    <w:rsid w:val="006F1C20"/>
    <w:rsid w:val="006F1C9C"/>
    <w:rsid w:val="006F279B"/>
    <w:rsid w:val="006F2E8D"/>
    <w:rsid w:val="006F2FB4"/>
    <w:rsid w:val="006F30DB"/>
    <w:rsid w:val="006F330A"/>
    <w:rsid w:val="006F354A"/>
    <w:rsid w:val="006F3755"/>
    <w:rsid w:val="006F3A1C"/>
    <w:rsid w:val="006F3AD5"/>
    <w:rsid w:val="006F3C6D"/>
    <w:rsid w:val="006F4ED1"/>
    <w:rsid w:val="006F53C0"/>
    <w:rsid w:val="006F55C0"/>
    <w:rsid w:val="006F5E90"/>
    <w:rsid w:val="006F646B"/>
    <w:rsid w:val="006F754B"/>
    <w:rsid w:val="006F783B"/>
    <w:rsid w:val="006F7B02"/>
    <w:rsid w:val="0070024E"/>
    <w:rsid w:val="007004AC"/>
    <w:rsid w:val="007009B6"/>
    <w:rsid w:val="0070139F"/>
    <w:rsid w:val="00701AFE"/>
    <w:rsid w:val="00702731"/>
    <w:rsid w:val="00702A3B"/>
    <w:rsid w:val="00702AB3"/>
    <w:rsid w:val="00702AB7"/>
    <w:rsid w:val="007035DC"/>
    <w:rsid w:val="0070387F"/>
    <w:rsid w:val="00703F25"/>
    <w:rsid w:val="007044D3"/>
    <w:rsid w:val="00705B67"/>
    <w:rsid w:val="00705D69"/>
    <w:rsid w:val="00706664"/>
    <w:rsid w:val="0070724D"/>
    <w:rsid w:val="00707ADB"/>
    <w:rsid w:val="007100BC"/>
    <w:rsid w:val="00710566"/>
    <w:rsid w:val="00710773"/>
    <w:rsid w:val="00710C9D"/>
    <w:rsid w:val="00711114"/>
    <w:rsid w:val="007111B8"/>
    <w:rsid w:val="007114A6"/>
    <w:rsid w:val="00711E04"/>
    <w:rsid w:val="00712CCD"/>
    <w:rsid w:val="007130D2"/>
    <w:rsid w:val="00713BD7"/>
    <w:rsid w:val="00713D16"/>
    <w:rsid w:val="00714105"/>
    <w:rsid w:val="0071433A"/>
    <w:rsid w:val="007150C2"/>
    <w:rsid w:val="007157D0"/>
    <w:rsid w:val="0071587A"/>
    <w:rsid w:val="00716494"/>
    <w:rsid w:val="00716958"/>
    <w:rsid w:val="00716D92"/>
    <w:rsid w:val="00717F73"/>
    <w:rsid w:val="0072071B"/>
    <w:rsid w:val="00720975"/>
    <w:rsid w:val="00720A27"/>
    <w:rsid w:val="00720A49"/>
    <w:rsid w:val="00721192"/>
    <w:rsid w:val="007211D4"/>
    <w:rsid w:val="007219A3"/>
    <w:rsid w:val="00722071"/>
    <w:rsid w:val="00722336"/>
    <w:rsid w:val="0072257E"/>
    <w:rsid w:val="00722A3A"/>
    <w:rsid w:val="00722C27"/>
    <w:rsid w:val="007232FE"/>
    <w:rsid w:val="007238C1"/>
    <w:rsid w:val="0072472B"/>
    <w:rsid w:val="00724EF5"/>
    <w:rsid w:val="00725328"/>
    <w:rsid w:val="007257CC"/>
    <w:rsid w:val="00725842"/>
    <w:rsid w:val="007267EC"/>
    <w:rsid w:val="00726F75"/>
    <w:rsid w:val="0072703C"/>
    <w:rsid w:val="007272EF"/>
    <w:rsid w:val="007276E6"/>
    <w:rsid w:val="007303D9"/>
    <w:rsid w:val="00730C29"/>
    <w:rsid w:val="00730F34"/>
    <w:rsid w:val="00732236"/>
    <w:rsid w:val="00732394"/>
    <w:rsid w:val="00732AE4"/>
    <w:rsid w:val="00732F3C"/>
    <w:rsid w:val="0073321A"/>
    <w:rsid w:val="007332CA"/>
    <w:rsid w:val="007341A4"/>
    <w:rsid w:val="007345F9"/>
    <w:rsid w:val="0073473B"/>
    <w:rsid w:val="00734ACE"/>
    <w:rsid w:val="007351D8"/>
    <w:rsid w:val="00735483"/>
    <w:rsid w:val="00735853"/>
    <w:rsid w:val="00736507"/>
    <w:rsid w:val="00736BC9"/>
    <w:rsid w:val="00737FEF"/>
    <w:rsid w:val="00740169"/>
    <w:rsid w:val="007402FF"/>
    <w:rsid w:val="007403DA"/>
    <w:rsid w:val="0074050B"/>
    <w:rsid w:val="007409AF"/>
    <w:rsid w:val="007415F1"/>
    <w:rsid w:val="00741B0D"/>
    <w:rsid w:val="00741B28"/>
    <w:rsid w:val="00742115"/>
    <w:rsid w:val="00742D93"/>
    <w:rsid w:val="00742FAF"/>
    <w:rsid w:val="00743182"/>
    <w:rsid w:val="00743A9C"/>
    <w:rsid w:val="00743D7A"/>
    <w:rsid w:val="00744269"/>
    <w:rsid w:val="00744F98"/>
    <w:rsid w:val="00745AF6"/>
    <w:rsid w:val="00745EFA"/>
    <w:rsid w:val="00746401"/>
    <w:rsid w:val="0074692D"/>
    <w:rsid w:val="007474BA"/>
    <w:rsid w:val="0074792A"/>
    <w:rsid w:val="0074799E"/>
    <w:rsid w:val="00750076"/>
    <w:rsid w:val="00750BE0"/>
    <w:rsid w:val="00751CCD"/>
    <w:rsid w:val="00751F83"/>
    <w:rsid w:val="007520D4"/>
    <w:rsid w:val="00752554"/>
    <w:rsid w:val="007525B3"/>
    <w:rsid w:val="0075290F"/>
    <w:rsid w:val="0075328F"/>
    <w:rsid w:val="00753338"/>
    <w:rsid w:val="00753449"/>
    <w:rsid w:val="00753F23"/>
    <w:rsid w:val="007544C9"/>
    <w:rsid w:val="00754D20"/>
    <w:rsid w:val="0075512F"/>
    <w:rsid w:val="00755CDE"/>
    <w:rsid w:val="007560A0"/>
    <w:rsid w:val="00756253"/>
    <w:rsid w:val="00756C82"/>
    <w:rsid w:val="00756F3B"/>
    <w:rsid w:val="00756FDD"/>
    <w:rsid w:val="00757103"/>
    <w:rsid w:val="00760B87"/>
    <w:rsid w:val="00760D65"/>
    <w:rsid w:val="00761040"/>
    <w:rsid w:val="007616A7"/>
    <w:rsid w:val="00761AD5"/>
    <w:rsid w:val="00761CCA"/>
    <w:rsid w:val="00761CF1"/>
    <w:rsid w:val="0076235A"/>
    <w:rsid w:val="007627AF"/>
    <w:rsid w:val="00762842"/>
    <w:rsid w:val="00762E01"/>
    <w:rsid w:val="00763185"/>
    <w:rsid w:val="00763604"/>
    <w:rsid w:val="00763DCB"/>
    <w:rsid w:val="00763E1E"/>
    <w:rsid w:val="00764B15"/>
    <w:rsid w:val="00764F49"/>
    <w:rsid w:val="00765B4D"/>
    <w:rsid w:val="00765F8F"/>
    <w:rsid w:val="007660A2"/>
    <w:rsid w:val="0076783A"/>
    <w:rsid w:val="00767BF9"/>
    <w:rsid w:val="00767E8D"/>
    <w:rsid w:val="00767EC8"/>
    <w:rsid w:val="00770B8F"/>
    <w:rsid w:val="00770C3B"/>
    <w:rsid w:val="00770E74"/>
    <w:rsid w:val="0077143E"/>
    <w:rsid w:val="007714CD"/>
    <w:rsid w:val="00771A62"/>
    <w:rsid w:val="00771B64"/>
    <w:rsid w:val="007721AB"/>
    <w:rsid w:val="00772335"/>
    <w:rsid w:val="00772A94"/>
    <w:rsid w:val="00772CF4"/>
    <w:rsid w:val="00772E0A"/>
    <w:rsid w:val="0077335E"/>
    <w:rsid w:val="007733FB"/>
    <w:rsid w:val="00773AB6"/>
    <w:rsid w:val="007740E1"/>
    <w:rsid w:val="00775492"/>
    <w:rsid w:val="00775B1A"/>
    <w:rsid w:val="00776695"/>
    <w:rsid w:val="00776741"/>
    <w:rsid w:val="007773CD"/>
    <w:rsid w:val="00777755"/>
    <w:rsid w:val="00777B3E"/>
    <w:rsid w:val="00780CB9"/>
    <w:rsid w:val="007810CA"/>
    <w:rsid w:val="007814DD"/>
    <w:rsid w:val="00782310"/>
    <w:rsid w:val="007828DB"/>
    <w:rsid w:val="00782942"/>
    <w:rsid w:val="00784E5E"/>
    <w:rsid w:val="007851BF"/>
    <w:rsid w:val="007853A8"/>
    <w:rsid w:val="00785A97"/>
    <w:rsid w:val="00786711"/>
    <w:rsid w:val="0078684A"/>
    <w:rsid w:val="0078765F"/>
    <w:rsid w:val="00787716"/>
    <w:rsid w:val="00787A4B"/>
    <w:rsid w:val="00787E59"/>
    <w:rsid w:val="007900F0"/>
    <w:rsid w:val="0079012B"/>
    <w:rsid w:val="00790241"/>
    <w:rsid w:val="00790CA3"/>
    <w:rsid w:val="00790D37"/>
    <w:rsid w:val="00790DB0"/>
    <w:rsid w:val="00791390"/>
    <w:rsid w:val="00791996"/>
    <w:rsid w:val="00792123"/>
    <w:rsid w:val="00792185"/>
    <w:rsid w:val="00792361"/>
    <w:rsid w:val="00792655"/>
    <w:rsid w:val="0079343F"/>
    <w:rsid w:val="00793868"/>
    <w:rsid w:val="00793979"/>
    <w:rsid w:val="007941C7"/>
    <w:rsid w:val="0079426F"/>
    <w:rsid w:val="007947B6"/>
    <w:rsid w:val="00794827"/>
    <w:rsid w:val="007954CD"/>
    <w:rsid w:val="00795964"/>
    <w:rsid w:val="00795D07"/>
    <w:rsid w:val="007961D2"/>
    <w:rsid w:val="00796648"/>
    <w:rsid w:val="00796B98"/>
    <w:rsid w:val="0079708F"/>
    <w:rsid w:val="007970DA"/>
    <w:rsid w:val="007970E5"/>
    <w:rsid w:val="007975F8"/>
    <w:rsid w:val="00797C32"/>
    <w:rsid w:val="00797F01"/>
    <w:rsid w:val="007A014B"/>
    <w:rsid w:val="007A0994"/>
    <w:rsid w:val="007A0E8A"/>
    <w:rsid w:val="007A1653"/>
    <w:rsid w:val="007A1874"/>
    <w:rsid w:val="007A2C62"/>
    <w:rsid w:val="007A2C8B"/>
    <w:rsid w:val="007A2E5B"/>
    <w:rsid w:val="007A30FB"/>
    <w:rsid w:val="007A341C"/>
    <w:rsid w:val="007A38EE"/>
    <w:rsid w:val="007A3CE6"/>
    <w:rsid w:val="007A4B2F"/>
    <w:rsid w:val="007A4B82"/>
    <w:rsid w:val="007A4C0C"/>
    <w:rsid w:val="007A5820"/>
    <w:rsid w:val="007A5875"/>
    <w:rsid w:val="007A58E2"/>
    <w:rsid w:val="007A708C"/>
    <w:rsid w:val="007A7262"/>
    <w:rsid w:val="007A75A3"/>
    <w:rsid w:val="007A79D6"/>
    <w:rsid w:val="007A7D17"/>
    <w:rsid w:val="007B073A"/>
    <w:rsid w:val="007B112C"/>
    <w:rsid w:val="007B199B"/>
    <w:rsid w:val="007B2AE4"/>
    <w:rsid w:val="007B4F42"/>
    <w:rsid w:val="007B5023"/>
    <w:rsid w:val="007B574A"/>
    <w:rsid w:val="007B6036"/>
    <w:rsid w:val="007B65D9"/>
    <w:rsid w:val="007B6ADD"/>
    <w:rsid w:val="007B6B52"/>
    <w:rsid w:val="007B7227"/>
    <w:rsid w:val="007B74D5"/>
    <w:rsid w:val="007B75B6"/>
    <w:rsid w:val="007B76F3"/>
    <w:rsid w:val="007B78B6"/>
    <w:rsid w:val="007B7CE2"/>
    <w:rsid w:val="007C01A1"/>
    <w:rsid w:val="007C02DE"/>
    <w:rsid w:val="007C11D9"/>
    <w:rsid w:val="007C171A"/>
    <w:rsid w:val="007C1F36"/>
    <w:rsid w:val="007C2BC1"/>
    <w:rsid w:val="007C2E58"/>
    <w:rsid w:val="007C3277"/>
    <w:rsid w:val="007C3612"/>
    <w:rsid w:val="007C3A61"/>
    <w:rsid w:val="007C4493"/>
    <w:rsid w:val="007C463A"/>
    <w:rsid w:val="007C51D4"/>
    <w:rsid w:val="007C53E0"/>
    <w:rsid w:val="007C5F1F"/>
    <w:rsid w:val="007C60FE"/>
    <w:rsid w:val="007C730C"/>
    <w:rsid w:val="007C755C"/>
    <w:rsid w:val="007C7A81"/>
    <w:rsid w:val="007C7BB0"/>
    <w:rsid w:val="007D057D"/>
    <w:rsid w:val="007D09AE"/>
    <w:rsid w:val="007D0B71"/>
    <w:rsid w:val="007D1403"/>
    <w:rsid w:val="007D17E3"/>
    <w:rsid w:val="007D2712"/>
    <w:rsid w:val="007D28F9"/>
    <w:rsid w:val="007D2B19"/>
    <w:rsid w:val="007D3150"/>
    <w:rsid w:val="007D3515"/>
    <w:rsid w:val="007D3C09"/>
    <w:rsid w:val="007D42BB"/>
    <w:rsid w:val="007D45D4"/>
    <w:rsid w:val="007D58D3"/>
    <w:rsid w:val="007D58D4"/>
    <w:rsid w:val="007D6159"/>
    <w:rsid w:val="007D63A4"/>
    <w:rsid w:val="007D6A68"/>
    <w:rsid w:val="007D6C87"/>
    <w:rsid w:val="007D7063"/>
    <w:rsid w:val="007D7892"/>
    <w:rsid w:val="007E00BA"/>
    <w:rsid w:val="007E00F7"/>
    <w:rsid w:val="007E13B0"/>
    <w:rsid w:val="007E16A2"/>
    <w:rsid w:val="007E174D"/>
    <w:rsid w:val="007E1F55"/>
    <w:rsid w:val="007E2097"/>
    <w:rsid w:val="007E2517"/>
    <w:rsid w:val="007E263D"/>
    <w:rsid w:val="007E2C0E"/>
    <w:rsid w:val="007E2FAB"/>
    <w:rsid w:val="007E33D0"/>
    <w:rsid w:val="007E351E"/>
    <w:rsid w:val="007E3A09"/>
    <w:rsid w:val="007E422B"/>
    <w:rsid w:val="007E487B"/>
    <w:rsid w:val="007E5275"/>
    <w:rsid w:val="007E54B6"/>
    <w:rsid w:val="007E6444"/>
    <w:rsid w:val="007E64D8"/>
    <w:rsid w:val="007E6AB5"/>
    <w:rsid w:val="007E77A0"/>
    <w:rsid w:val="007E7C24"/>
    <w:rsid w:val="007F07C1"/>
    <w:rsid w:val="007F1032"/>
    <w:rsid w:val="007F12E3"/>
    <w:rsid w:val="007F1C96"/>
    <w:rsid w:val="007F228A"/>
    <w:rsid w:val="007F275D"/>
    <w:rsid w:val="007F3270"/>
    <w:rsid w:val="007F3519"/>
    <w:rsid w:val="007F39B8"/>
    <w:rsid w:val="007F4787"/>
    <w:rsid w:val="007F4A2E"/>
    <w:rsid w:val="007F5F6B"/>
    <w:rsid w:val="007F6329"/>
    <w:rsid w:val="007F6A23"/>
    <w:rsid w:val="007F6A7D"/>
    <w:rsid w:val="007F719C"/>
    <w:rsid w:val="0080053C"/>
    <w:rsid w:val="00801351"/>
    <w:rsid w:val="008016A8"/>
    <w:rsid w:val="00802B20"/>
    <w:rsid w:val="00802E52"/>
    <w:rsid w:val="00803117"/>
    <w:rsid w:val="008033C9"/>
    <w:rsid w:val="008049CB"/>
    <w:rsid w:val="008049D5"/>
    <w:rsid w:val="00804C30"/>
    <w:rsid w:val="0080505D"/>
    <w:rsid w:val="0080576C"/>
    <w:rsid w:val="008057ED"/>
    <w:rsid w:val="00805870"/>
    <w:rsid w:val="008073BA"/>
    <w:rsid w:val="00807873"/>
    <w:rsid w:val="00807903"/>
    <w:rsid w:val="0081086F"/>
    <w:rsid w:val="00811033"/>
    <w:rsid w:val="008111B1"/>
    <w:rsid w:val="00811EAE"/>
    <w:rsid w:val="00812CF9"/>
    <w:rsid w:val="00812F30"/>
    <w:rsid w:val="00813770"/>
    <w:rsid w:val="008142E0"/>
    <w:rsid w:val="008149D4"/>
    <w:rsid w:val="00814FA1"/>
    <w:rsid w:val="0081598F"/>
    <w:rsid w:val="0081600C"/>
    <w:rsid w:val="0081627B"/>
    <w:rsid w:val="00816634"/>
    <w:rsid w:val="00816A4E"/>
    <w:rsid w:val="00816D5E"/>
    <w:rsid w:val="00816FDE"/>
    <w:rsid w:val="00817410"/>
    <w:rsid w:val="008175CC"/>
    <w:rsid w:val="008201F2"/>
    <w:rsid w:val="00820371"/>
    <w:rsid w:val="0082172C"/>
    <w:rsid w:val="00821F1B"/>
    <w:rsid w:val="0082219B"/>
    <w:rsid w:val="0082263D"/>
    <w:rsid w:val="00822FA2"/>
    <w:rsid w:val="00823100"/>
    <w:rsid w:val="008238D2"/>
    <w:rsid w:val="008239B5"/>
    <w:rsid w:val="00824340"/>
    <w:rsid w:val="008243E5"/>
    <w:rsid w:val="00824428"/>
    <w:rsid w:val="00824482"/>
    <w:rsid w:val="0082493A"/>
    <w:rsid w:val="00824FF2"/>
    <w:rsid w:val="00825849"/>
    <w:rsid w:val="00825FFA"/>
    <w:rsid w:val="008268E2"/>
    <w:rsid w:val="00827D5E"/>
    <w:rsid w:val="00830949"/>
    <w:rsid w:val="00830E59"/>
    <w:rsid w:val="00831386"/>
    <w:rsid w:val="00832546"/>
    <w:rsid w:val="00832C2B"/>
    <w:rsid w:val="00833B3A"/>
    <w:rsid w:val="00833B7F"/>
    <w:rsid w:val="00833C2C"/>
    <w:rsid w:val="00833FE7"/>
    <w:rsid w:val="008341C4"/>
    <w:rsid w:val="00834579"/>
    <w:rsid w:val="00834714"/>
    <w:rsid w:val="00835373"/>
    <w:rsid w:val="0083573D"/>
    <w:rsid w:val="00836097"/>
    <w:rsid w:val="00836195"/>
    <w:rsid w:val="00836FD7"/>
    <w:rsid w:val="0083722C"/>
    <w:rsid w:val="008374B7"/>
    <w:rsid w:val="008374EB"/>
    <w:rsid w:val="00837802"/>
    <w:rsid w:val="00837A75"/>
    <w:rsid w:val="00837CA8"/>
    <w:rsid w:val="0084015A"/>
    <w:rsid w:val="00840A4B"/>
    <w:rsid w:val="008418D2"/>
    <w:rsid w:val="00841E2F"/>
    <w:rsid w:val="0084234F"/>
    <w:rsid w:val="0084266D"/>
    <w:rsid w:val="008428DD"/>
    <w:rsid w:val="00843529"/>
    <w:rsid w:val="00843DEA"/>
    <w:rsid w:val="00844536"/>
    <w:rsid w:val="00844682"/>
    <w:rsid w:val="00845EC4"/>
    <w:rsid w:val="0084601E"/>
    <w:rsid w:val="0084618E"/>
    <w:rsid w:val="008466E0"/>
    <w:rsid w:val="008470ED"/>
    <w:rsid w:val="00847157"/>
    <w:rsid w:val="00847919"/>
    <w:rsid w:val="00850140"/>
    <w:rsid w:val="00850DEC"/>
    <w:rsid w:val="00851B01"/>
    <w:rsid w:val="00852180"/>
    <w:rsid w:val="008525ED"/>
    <w:rsid w:val="00852824"/>
    <w:rsid w:val="008537E4"/>
    <w:rsid w:val="00853BF0"/>
    <w:rsid w:val="00853CED"/>
    <w:rsid w:val="00853D62"/>
    <w:rsid w:val="0085449D"/>
    <w:rsid w:val="008546E3"/>
    <w:rsid w:val="008548D7"/>
    <w:rsid w:val="00856499"/>
    <w:rsid w:val="008577EA"/>
    <w:rsid w:val="00860423"/>
    <w:rsid w:val="008608AF"/>
    <w:rsid w:val="00861A5B"/>
    <w:rsid w:val="00861F0E"/>
    <w:rsid w:val="00862012"/>
    <w:rsid w:val="00862098"/>
    <w:rsid w:val="008624C9"/>
    <w:rsid w:val="00862A9E"/>
    <w:rsid w:val="00863DB9"/>
    <w:rsid w:val="0086488D"/>
    <w:rsid w:val="00864970"/>
    <w:rsid w:val="00864F08"/>
    <w:rsid w:val="00865967"/>
    <w:rsid w:val="00865BC1"/>
    <w:rsid w:val="00865FCF"/>
    <w:rsid w:val="00865FD4"/>
    <w:rsid w:val="008663D3"/>
    <w:rsid w:val="00866920"/>
    <w:rsid w:val="00866953"/>
    <w:rsid w:val="00866A32"/>
    <w:rsid w:val="0086700E"/>
    <w:rsid w:val="00867754"/>
    <w:rsid w:val="008677A0"/>
    <w:rsid w:val="008677E9"/>
    <w:rsid w:val="00867CFE"/>
    <w:rsid w:val="00870123"/>
    <w:rsid w:val="0087075C"/>
    <w:rsid w:val="008709F1"/>
    <w:rsid w:val="00870BFD"/>
    <w:rsid w:val="00870D0A"/>
    <w:rsid w:val="00871008"/>
    <w:rsid w:val="00871031"/>
    <w:rsid w:val="0087134E"/>
    <w:rsid w:val="00871BE5"/>
    <w:rsid w:val="00871D8E"/>
    <w:rsid w:val="008724C3"/>
    <w:rsid w:val="00872CE8"/>
    <w:rsid w:val="00872ED3"/>
    <w:rsid w:val="00873735"/>
    <w:rsid w:val="00874D7A"/>
    <w:rsid w:val="00874FBE"/>
    <w:rsid w:val="008754F3"/>
    <w:rsid w:val="00876D07"/>
    <w:rsid w:val="008775C6"/>
    <w:rsid w:val="00877C1F"/>
    <w:rsid w:val="008803FD"/>
    <w:rsid w:val="008807A7"/>
    <w:rsid w:val="008818CD"/>
    <w:rsid w:val="00881C8F"/>
    <w:rsid w:val="0088263C"/>
    <w:rsid w:val="00883149"/>
    <w:rsid w:val="00883364"/>
    <w:rsid w:val="0088365F"/>
    <w:rsid w:val="0088367B"/>
    <w:rsid w:val="00884500"/>
    <w:rsid w:val="008854AD"/>
    <w:rsid w:val="00885BA3"/>
    <w:rsid w:val="00885C25"/>
    <w:rsid w:val="00885CC0"/>
    <w:rsid w:val="00886500"/>
    <w:rsid w:val="00886985"/>
    <w:rsid w:val="008869AA"/>
    <w:rsid w:val="00886B1B"/>
    <w:rsid w:val="0088701A"/>
    <w:rsid w:val="008873C8"/>
    <w:rsid w:val="00887C73"/>
    <w:rsid w:val="00890BBD"/>
    <w:rsid w:val="00890E65"/>
    <w:rsid w:val="008910BB"/>
    <w:rsid w:val="00891159"/>
    <w:rsid w:val="00891444"/>
    <w:rsid w:val="0089190B"/>
    <w:rsid w:val="00892EB0"/>
    <w:rsid w:val="008931EE"/>
    <w:rsid w:val="00893759"/>
    <w:rsid w:val="008941FD"/>
    <w:rsid w:val="00894482"/>
    <w:rsid w:val="00894A88"/>
    <w:rsid w:val="008950BD"/>
    <w:rsid w:val="00896033"/>
    <w:rsid w:val="008963EB"/>
    <w:rsid w:val="00896613"/>
    <w:rsid w:val="008967DC"/>
    <w:rsid w:val="00896868"/>
    <w:rsid w:val="00896CB5"/>
    <w:rsid w:val="00896E39"/>
    <w:rsid w:val="00896E96"/>
    <w:rsid w:val="008972DB"/>
    <w:rsid w:val="00897D74"/>
    <w:rsid w:val="00897DAA"/>
    <w:rsid w:val="008A06F9"/>
    <w:rsid w:val="008A0ADF"/>
    <w:rsid w:val="008A0FC1"/>
    <w:rsid w:val="008A184F"/>
    <w:rsid w:val="008A1BA2"/>
    <w:rsid w:val="008A1DE0"/>
    <w:rsid w:val="008A1FF6"/>
    <w:rsid w:val="008A2252"/>
    <w:rsid w:val="008A3466"/>
    <w:rsid w:val="008A347B"/>
    <w:rsid w:val="008A3F16"/>
    <w:rsid w:val="008A40C4"/>
    <w:rsid w:val="008A4668"/>
    <w:rsid w:val="008A4F09"/>
    <w:rsid w:val="008A5507"/>
    <w:rsid w:val="008A59DD"/>
    <w:rsid w:val="008A5BE5"/>
    <w:rsid w:val="008A5D65"/>
    <w:rsid w:val="008A61DF"/>
    <w:rsid w:val="008A6DFF"/>
    <w:rsid w:val="008A6F5B"/>
    <w:rsid w:val="008A7427"/>
    <w:rsid w:val="008A7CE1"/>
    <w:rsid w:val="008B1986"/>
    <w:rsid w:val="008B1A45"/>
    <w:rsid w:val="008B2426"/>
    <w:rsid w:val="008B25A8"/>
    <w:rsid w:val="008B30FE"/>
    <w:rsid w:val="008B4E82"/>
    <w:rsid w:val="008B68F1"/>
    <w:rsid w:val="008B7629"/>
    <w:rsid w:val="008B797A"/>
    <w:rsid w:val="008B7E64"/>
    <w:rsid w:val="008C075B"/>
    <w:rsid w:val="008C085A"/>
    <w:rsid w:val="008C0BC7"/>
    <w:rsid w:val="008C0E3B"/>
    <w:rsid w:val="008C0F3E"/>
    <w:rsid w:val="008C12D3"/>
    <w:rsid w:val="008C1E61"/>
    <w:rsid w:val="008C2827"/>
    <w:rsid w:val="008C291E"/>
    <w:rsid w:val="008C2CD3"/>
    <w:rsid w:val="008C3098"/>
    <w:rsid w:val="008C31B1"/>
    <w:rsid w:val="008C33E2"/>
    <w:rsid w:val="008C34C1"/>
    <w:rsid w:val="008C37BB"/>
    <w:rsid w:val="008C3A25"/>
    <w:rsid w:val="008C3B44"/>
    <w:rsid w:val="008C4DA6"/>
    <w:rsid w:val="008C51C3"/>
    <w:rsid w:val="008C53D5"/>
    <w:rsid w:val="008C5502"/>
    <w:rsid w:val="008C5B22"/>
    <w:rsid w:val="008C5CDC"/>
    <w:rsid w:val="008C74BE"/>
    <w:rsid w:val="008C76BB"/>
    <w:rsid w:val="008C77C3"/>
    <w:rsid w:val="008C7A5E"/>
    <w:rsid w:val="008D0290"/>
    <w:rsid w:val="008D0765"/>
    <w:rsid w:val="008D0849"/>
    <w:rsid w:val="008D15B5"/>
    <w:rsid w:val="008D19B0"/>
    <w:rsid w:val="008D1F63"/>
    <w:rsid w:val="008D34D2"/>
    <w:rsid w:val="008D37B8"/>
    <w:rsid w:val="008D39B7"/>
    <w:rsid w:val="008D5799"/>
    <w:rsid w:val="008D616B"/>
    <w:rsid w:val="008D6298"/>
    <w:rsid w:val="008D668D"/>
    <w:rsid w:val="008D6BEA"/>
    <w:rsid w:val="008D71A2"/>
    <w:rsid w:val="008D7670"/>
    <w:rsid w:val="008D78B7"/>
    <w:rsid w:val="008D7B5F"/>
    <w:rsid w:val="008E18A2"/>
    <w:rsid w:val="008E1F41"/>
    <w:rsid w:val="008E1F9B"/>
    <w:rsid w:val="008E2243"/>
    <w:rsid w:val="008E236F"/>
    <w:rsid w:val="008E3205"/>
    <w:rsid w:val="008E32A5"/>
    <w:rsid w:val="008E3F40"/>
    <w:rsid w:val="008E4922"/>
    <w:rsid w:val="008E49C1"/>
    <w:rsid w:val="008E4F9D"/>
    <w:rsid w:val="008E5297"/>
    <w:rsid w:val="008E6789"/>
    <w:rsid w:val="008E68CF"/>
    <w:rsid w:val="008E6924"/>
    <w:rsid w:val="008E6ECE"/>
    <w:rsid w:val="008E7AB6"/>
    <w:rsid w:val="008E7B2C"/>
    <w:rsid w:val="008F047C"/>
    <w:rsid w:val="008F0700"/>
    <w:rsid w:val="008F0855"/>
    <w:rsid w:val="008F13AA"/>
    <w:rsid w:val="008F15DE"/>
    <w:rsid w:val="008F197F"/>
    <w:rsid w:val="008F19BE"/>
    <w:rsid w:val="008F1C0B"/>
    <w:rsid w:val="008F1FDE"/>
    <w:rsid w:val="008F2303"/>
    <w:rsid w:val="008F23F2"/>
    <w:rsid w:val="008F39C0"/>
    <w:rsid w:val="008F3B36"/>
    <w:rsid w:val="008F3BE0"/>
    <w:rsid w:val="008F4869"/>
    <w:rsid w:val="008F4BC0"/>
    <w:rsid w:val="008F50FC"/>
    <w:rsid w:val="008F5DCC"/>
    <w:rsid w:val="008F61E2"/>
    <w:rsid w:val="008F6345"/>
    <w:rsid w:val="008F7A1C"/>
    <w:rsid w:val="009009C1"/>
    <w:rsid w:val="00900E00"/>
    <w:rsid w:val="0090186C"/>
    <w:rsid w:val="0090195B"/>
    <w:rsid w:val="0090224A"/>
    <w:rsid w:val="00902722"/>
    <w:rsid w:val="009032B3"/>
    <w:rsid w:val="00903798"/>
    <w:rsid w:val="009037BE"/>
    <w:rsid w:val="00904233"/>
    <w:rsid w:val="009046C3"/>
    <w:rsid w:val="00904B20"/>
    <w:rsid w:val="00904E20"/>
    <w:rsid w:val="00904EE6"/>
    <w:rsid w:val="009060A0"/>
    <w:rsid w:val="00906460"/>
    <w:rsid w:val="009065E7"/>
    <w:rsid w:val="009067DC"/>
    <w:rsid w:val="00906C63"/>
    <w:rsid w:val="00906EC4"/>
    <w:rsid w:val="009074C8"/>
    <w:rsid w:val="00907D68"/>
    <w:rsid w:val="00910498"/>
    <w:rsid w:val="009107C2"/>
    <w:rsid w:val="00910BE7"/>
    <w:rsid w:val="009114FA"/>
    <w:rsid w:val="0091229D"/>
    <w:rsid w:val="00912677"/>
    <w:rsid w:val="00912BC5"/>
    <w:rsid w:val="00912F79"/>
    <w:rsid w:val="00913084"/>
    <w:rsid w:val="0091420F"/>
    <w:rsid w:val="00914478"/>
    <w:rsid w:val="00914A02"/>
    <w:rsid w:val="00914F85"/>
    <w:rsid w:val="009150CD"/>
    <w:rsid w:val="00915235"/>
    <w:rsid w:val="0091560E"/>
    <w:rsid w:val="00915E2C"/>
    <w:rsid w:val="00915FAE"/>
    <w:rsid w:val="00916792"/>
    <w:rsid w:val="00916CDC"/>
    <w:rsid w:val="0091764C"/>
    <w:rsid w:val="009179D8"/>
    <w:rsid w:val="009206BA"/>
    <w:rsid w:val="00920862"/>
    <w:rsid w:val="00920D58"/>
    <w:rsid w:val="00921250"/>
    <w:rsid w:val="00921626"/>
    <w:rsid w:val="00921F84"/>
    <w:rsid w:val="00922363"/>
    <w:rsid w:val="009226F9"/>
    <w:rsid w:val="0092296D"/>
    <w:rsid w:val="00922C3D"/>
    <w:rsid w:val="0092398B"/>
    <w:rsid w:val="00923C76"/>
    <w:rsid w:val="00923D70"/>
    <w:rsid w:val="0092403A"/>
    <w:rsid w:val="00924B82"/>
    <w:rsid w:val="00925E7A"/>
    <w:rsid w:val="009266F3"/>
    <w:rsid w:val="00926E9E"/>
    <w:rsid w:val="00927726"/>
    <w:rsid w:val="009277F7"/>
    <w:rsid w:val="00927F64"/>
    <w:rsid w:val="00930AC9"/>
    <w:rsid w:val="00930DA7"/>
    <w:rsid w:val="00931CA4"/>
    <w:rsid w:val="00931D3F"/>
    <w:rsid w:val="00931F56"/>
    <w:rsid w:val="00932EB6"/>
    <w:rsid w:val="00932F72"/>
    <w:rsid w:val="0093314F"/>
    <w:rsid w:val="009332E1"/>
    <w:rsid w:val="009337D6"/>
    <w:rsid w:val="00934489"/>
    <w:rsid w:val="0093611E"/>
    <w:rsid w:val="009366BF"/>
    <w:rsid w:val="00937A1A"/>
    <w:rsid w:val="00937A77"/>
    <w:rsid w:val="009405AF"/>
    <w:rsid w:val="00940CA7"/>
    <w:rsid w:val="00940DD7"/>
    <w:rsid w:val="00941196"/>
    <w:rsid w:val="0094129C"/>
    <w:rsid w:val="0094161D"/>
    <w:rsid w:val="00941C48"/>
    <w:rsid w:val="00942426"/>
    <w:rsid w:val="009427E5"/>
    <w:rsid w:val="00942A20"/>
    <w:rsid w:val="00943707"/>
    <w:rsid w:val="00943ED7"/>
    <w:rsid w:val="009447CF"/>
    <w:rsid w:val="00944CA8"/>
    <w:rsid w:val="00944DE9"/>
    <w:rsid w:val="0094537C"/>
    <w:rsid w:val="009456D4"/>
    <w:rsid w:val="00945D26"/>
    <w:rsid w:val="00947212"/>
    <w:rsid w:val="00947AEE"/>
    <w:rsid w:val="00950551"/>
    <w:rsid w:val="009511AA"/>
    <w:rsid w:val="00951884"/>
    <w:rsid w:val="00953137"/>
    <w:rsid w:val="009541C6"/>
    <w:rsid w:val="009544BE"/>
    <w:rsid w:val="009551C9"/>
    <w:rsid w:val="009551F6"/>
    <w:rsid w:val="00955771"/>
    <w:rsid w:val="009559D4"/>
    <w:rsid w:val="00955F48"/>
    <w:rsid w:val="009566E5"/>
    <w:rsid w:val="00956FB7"/>
    <w:rsid w:val="009571D6"/>
    <w:rsid w:val="009573D0"/>
    <w:rsid w:val="00957E9B"/>
    <w:rsid w:val="0096066E"/>
    <w:rsid w:val="009608E6"/>
    <w:rsid w:val="00960FA3"/>
    <w:rsid w:val="009610E8"/>
    <w:rsid w:val="0096167B"/>
    <w:rsid w:val="00961E59"/>
    <w:rsid w:val="00961FCA"/>
    <w:rsid w:val="009620A6"/>
    <w:rsid w:val="009625AA"/>
    <w:rsid w:val="009627E1"/>
    <w:rsid w:val="009628D1"/>
    <w:rsid w:val="00963BD2"/>
    <w:rsid w:val="009647F1"/>
    <w:rsid w:val="00964946"/>
    <w:rsid w:val="00964C08"/>
    <w:rsid w:val="00964CB2"/>
    <w:rsid w:val="00965ED6"/>
    <w:rsid w:val="00966645"/>
    <w:rsid w:val="009671FF"/>
    <w:rsid w:val="00967B96"/>
    <w:rsid w:val="00970339"/>
    <w:rsid w:val="00970518"/>
    <w:rsid w:val="009705F6"/>
    <w:rsid w:val="00970A2A"/>
    <w:rsid w:val="009718A7"/>
    <w:rsid w:val="009719F1"/>
    <w:rsid w:val="00971A53"/>
    <w:rsid w:val="009722D7"/>
    <w:rsid w:val="009723DD"/>
    <w:rsid w:val="009725E8"/>
    <w:rsid w:val="00972812"/>
    <w:rsid w:val="0097306A"/>
    <w:rsid w:val="00973B34"/>
    <w:rsid w:val="00973C85"/>
    <w:rsid w:val="009759B5"/>
    <w:rsid w:val="00975C8B"/>
    <w:rsid w:val="0097749A"/>
    <w:rsid w:val="009776B7"/>
    <w:rsid w:val="00977E8B"/>
    <w:rsid w:val="009804B7"/>
    <w:rsid w:val="0098083C"/>
    <w:rsid w:val="00980D55"/>
    <w:rsid w:val="00981829"/>
    <w:rsid w:val="009819DA"/>
    <w:rsid w:val="00981E97"/>
    <w:rsid w:val="00982743"/>
    <w:rsid w:val="00982EC7"/>
    <w:rsid w:val="00983314"/>
    <w:rsid w:val="00983A02"/>
    <w:rsid w:val="00983CBD"/>
    <w:rsid w:val="0098593B"/>
    <w:rsid w:val="0099050F"/>
    <w:rsid w:val="00990577"/>
    <w:rsid w:val="0099079F"/>
    <w:rsid w:val="0099103F"/>
    <w:rsid w:val="00991726"/>
    <w:rsid w:val="00991A81"/>
    <w:rsid w:val="00991E57"/>
    <w:rsid w:val="00992586"/>
    <w:rsid w:val="00992596"/>
    <w:rsid w:val="0099271B"/>
    <w:rsid w:val="009928DB"/>
    <w:rsid w:val="00992DA4"/>
    <w:rsid w:val="00992E8D"/>
    <w:rsid w:val="00992FD2"/>
    <w:rsid w:val="009937D7"/>
    <w:rsid w:val="00993955"/>
    <w:rsid w:val="00993DDA"/>
    <w:rsid w:val="00993F96"/>
    <w:rsid w:val="00994D44"/>
    <w:rsid w:val="009952F2"/>
    <w:rsid w:val="00995B50"/>
    <w:rsid w:val="00995C73"/>
    <w:rsid w:val="00995DFD"/>
    <w:rsid w:val="00996231"/>
    <w:rsid w:val="009962A7"/>
    <w:rsid w:val="00996C83"/>
    <w:rsid w:val="0099792D"/>
    <w:rsid w:val="009A008F"/>
    <w:rsid w:val="009A01C4"/>
    <w:rsid w:val="009A094D"/>
    <w:rsid w:val="009A1918"/>
    <w:rsid w:val="009A191E"/>
    <w:rsid w:val="009A200C"/>
    <w:rsid w:val="009A23AA"/>
    <w:rsid w:val="009A2CCA"/>
    <w:rsid w:val="009A2E19"/>
    <w:rsid w:val="009A2E47"/>
    <w:rsid w:val="009A2ED6"/>
    <w:rsid w:val="009A368D"/>
    <w:rsid w:val="009A36CB"/>
    <w:rsid w:val="009A3762"/>
    <w:rsid w:val="009A4265"/>
    <w:rsid w:val="009A4338"/>
    <w:rsid w:val="009A4EC6"/>
    <w:rsid w:val="009A4FDE"/>
    <w:rsid w:val="009A50E8"/>
    <w:rsid w:val="009A5218"/>
    <w:rsid w:val="009A538E"/>
    <w:rsid w:val="009A59FB"/>
    <w:rsid w:val="009A623F"/>
    <w:rsid w:val="009A640A"/>
    <w:rsid w:val="009A6492"/>
    <w:rsid w:val="009A64EB"/>
    <w:rsid w:val="009A65B9"/>
    <w:rsid w:val="009A79E6"/>
    <w:rsid w:val="009A7C7C"/>
    <w:rsid w:val="009B0A5A"/>
    <w:rsid w:val="009B1B04"/>
    <w:rsid w:val="009B2732"/>
    <w:rsid w:val="009B2C20"/>
    <w:rsid w:val="009B3306"/>
    <w:rsid w:val="009B5165"/>
    <w:rsid w:val="009B5629"/>
    <w:rsid w:val="009B6333"/>
    <w:rsid w:val="009B696D"/>
    <w:rsid w:val="009B737A"/>
    <w:rsid w:val="009B748E"/>
    <w:rsid w:val="009B755A"/>
    <w:rsid w:val="009B78F5"/>
    <w:rsid w:val="009C07D5"/>
    <w:rsid w:val="009C0FC5"/>
    <w:rsid w:val="009C14A0"/>
    <w:rsid w:val="009C16F2"/>
    <w:rsid w:val="009C2138"/>
    <w:rsid w:val="009C277E"/>
    <w:rsid w:val="009C36AB"/>
    <w:rsid w:val="009C3B19"/>
    <w:rsid w:val="009C4015"/>
    <w:rsid w:val="009C4106"/>
    <w:rsid w:val="009C4AD0"/>
    <w:rsid w:val="009C51B3"/>
    <w:rsid w:val="009C7398"/>
    <w:rsid w:val="009C782A"/>
    <w:rsid w:val="009C7D5B"/>
    <w:rsid w:val="009D079B"/>
    <w:rsid w:val="009D0DFF"/>
    <w:rsid w:val="009D1C5F"/>
    <w:rsid w:val="009D2199"/>
    <w:rsid w:val="009D2C72"/>
    <w:rsid w:val="009D3234"/>
    <w:rsid w:val="009D3E41"/>
    <w:rsid w:val="009D487B"/>
    <w:rsid w:val="009D4A5E"/>
    <w:rsid w:val="009D4DD5"/>
    <w:rsid w:val="009D508E"/>
    <w:rsid w:val="009D57C7"/>
    <w:rsid w:val="009D582A"/>
    <w:rsid w:val="009D5A89"/>
    <w:rsid w:val="009D5E85"/>
    <w:rsid w:val="009D5E89"/>
    <w:rsid w:val="009D643B"/>
    <w:rsid w:val="009D644C"/>
    <w:rsid w:val="009D6AB4"/>
    <w:rsid w:val="009D6AF2"/>
    <w:rsid w:val="009D7498"/>
    <w:rsid w:val="009D7C8D"/>
    <w:rsid w:val="009D7F0E"/>
    <w:rsid w:val="009E037D"/>
    <w:rsid w:val="009E07A1"/>
    <w:rsid w:val="009E08D1"/>
    <w:rsid w:val="009E0E03"/>
    <w:rsid w:val="009E13BD"/>
    <w:rsid w:val="009E1538"/>
    <w:rsid w:val="009E1851"/>
    <w:rsid w:val="009E1C82"/>
    <w:rsid w:val="009E1F5C"/>
    <w:rsid w:val="009E3920"/>
    <w:rsid w:val="009E3BA9"/>
    <w:rsid w:val="009E3C13"/>
    <w:rsid w:val="009E3D3C"/>
    <w:rsid w:val="009E4544"/>
    <w:rsid w:val="009E479C"/>
    <w:rsid w:val="009E5621"/>
    <w:rsid w:val="009E6279"/>
    <w:rsid w:val="009F01F6"/>
    <w:rsid w:val="009F0548"/>
    <w:rsid w:val="009F0D78"/>
    <w:rsid w:val="009F2127"/>
    <w:rsid w:val="009F2409"/>
    <w:rsid w:val="009F24D3"/>
    <w:rsid w:val="009F2EB8"/>
    <w:rsid w:val="009F34ED"/>
    <w:rsid w:val="009F3BF0"/>
    <w:rsid w:val="009F3D05"/>
    <w:rsid w:val="009F4FEA"/>
    <w:rsid w:val="009F5185"/>
    <w:rsid w:val="009F54B7"/>
    <w:rsid w:val="009F6047"/>
    <w:rsid w:val="009F6FEF"/>
    <w:rsid w:val="009F7637"/>
    <w:rsid w:val="009F767E"/>
    <w:rsid w:val="00A0026E"/>
    <w:rsid w:val="00A00352"/>
    <w:rsid w:val="00A02783"/>
    <w:rsid w:val="00A02CE4"/>
    <w:rsid w:val="00A02D23"/>
    <w:rsid w:val="00A02F67"/>
    <w:rsid w:val="00A02FD5"/>
    <w:rsid w:val="00A038B3"/>
    <w:rsid w:val="00A04105"/>
    <w:rsid w:val="00A04210"/>
    <w:rsid w:val="00A04B06"/>
    <w:rsid w:val="00A04BE6"/>
    <w:rsid w:val="00A04F3A"/>
    <w:rsid w:val="00A06A7F"/>
    <w:rsid w:val="00A06E34"/>
    <w:rsid w:val="00A07112"/>
    <w:rsid w:val="00A077A9"/>
    <w:rsid w:val="00A104F8"/>
    <w:rsid w:val="00A10649"/>
    <w:rsid w:val="00A115E7"/>
    <w:rsid w:val="00A1162C"/>
    <w:rsid w:val="00A12694"/>
    <w:rsid w:val="00A12C70"/>
    <w:rsid w:val="00A12ED7"/>
    <w:rsid w:val="00A134C7"/>
    <w:rsid w:val="00A138C3"/>
    <w:rsid w:val="00A13FCF"/>
    <w:rsid w:val="00A14669"/>
    <w:rsid w:val="00A14C98"/>
    <w:rsid w:val="00A1534D"/>
    <w:rsid w:val="00A17693"/>
    <w:rsid w:val="00A17772"/>
    <w:rsid w:val="00A2186F"/>
    <w:rsid w:val="00A21990"/>
    <w:rsid w:val="00A21A94"/>
    <w:rsid w:val="00A224DC"/>
    <w:rsid w:val="00A22950"/>
    <w:rsid w:val="00A23167"/>
    <w:rsid w:val="00A231CC"/>
    <w:rsid w:val="00A2357F"/>
    <w:rsid w:val="00A255EC"/>
    <w:rsid w:val="00A25C70"/>
    <w:rsid w:val="00A26028"/>
    <w:rsid w:val="00A26097"/>
    <w:rsid w:val="00A2728C"/>
    <w:rsid w:val="00A277CF"/>
    <w:rsid w:val="00A30CDB"/>
    <w:rsid w:val="00A30E85"/>
    <w:rsid w:val="00A32112"/>
    <w:rsid w:val="00A32422"/>
    <w:rsid w:val="00A3273F"/>
    <w:rsid w:val="00A32B8E"/>
    <w:rsid w:val="00A339AB"/>
    <w:rsid w:val="00A33EBB"/>
    <w:rsid w:val="00A34025"/>
    <w:rsid w:val="00A34032"/>
    <w:rsid w:val="00A34AD5"/>
    <w:rsid w:val="00A34F6C"/>
    <w:rsid w:val="00A35211"/>
    <w:rsid w:val="00A3542C"/>
    <w:rsid w:val="00A36A6D"/>
    <w:rsid w:val="00A36F9F"/>
    <w:rsid w:val="00A37979"/>
    <w:rsid w:val="00A407DF"/>
    <w:rsid w:val="00A4121C"/>
    <w:rsid w:val="00A41259"/>
    <w:rsid w:val="00A41A55"/>
    <w:rsid w:val="00A422B1"/>
    <w:rsid w:val="00A424BD"/>
    <w:rsid w:val="00A42822"/>
    <w:rsid w:val="00A429EA"/>
    <w:rsid w:val="00A42CEC"/>
    <w:rsid w:val="00A43ECC"/>
    <w:rsid w:val="00A4417C"/>
    <w:rsid w:val="00A44A87"/>
    <w:rsid w:val="00A45530"/>
    <w:rsid w:val="00A455A7"/>
    <w:rsid w:val="00A4592C"/>
    <w:rsid w:val="00A46B03"/>
    <w:rsid w:val="00A470D3"/>
    <w:rsid w:val="00A47579"/>
    <w:rsid w:val="00A47781"/>
    <w:rsid w:val="00A477CB"/>
    <w:rsid w:val="00A477CC"/>
    <w:rsid w:val="00A47E13"/>
    <w:rsid w:val="00A500CA"/>
    <w:rsid w:val="00A503BD"/>
    <w:rsid w:val="00A50658"/>
    <w:rsid w:val="00A51002"/>
    <w:rsid w:val="00A51669"/>
    <w:rsid w:val="00A516CE"/>
    <w:rsid w:val="00A5173F"/>
    <w:rsid w:val="00A51A9A"/>
    <w:rsid w:val="00A53C02"/>
    <w:rsid w:val="00A54148"/>
    <w:rsid w:val="00A5516B"/>
    <w:rsid w:val="00A5545D"/>
    <w:rsid w:val="00A570E4"/>
    <w:rsid w:val="00A57342"/>
    <w:rsid w:val="00A573B8"/>
    <w:rsid w:val="00A576A6"/>
    <w:rsid w:val="00A601E0"/>
    <w:rsid w:val="00A60DE4"/>
    <w:rsid w:val="00A610C5"/>
    <w:rsid w:val="00A615A1"/>
    <w:rsid w:val="00A6274B"/>
    <w:rsid w:val="00A62C74"/>
    <w:rsid w:val="00A62CAF"/>
    <w:rsid w:val="00A62CEB"/>
    <w:rsid w:val="00A638D7"/>
    <w:rsid w:val="00A6390B"/>
    <w:rsid w:val="00A63D0D"/>
    <w:rsid w:val="00A6498F"/>
    <w:rsid w:val="00A65C52"/>
    <w:rsid w:val="00A65DB0"/>
    <w:rsid w:val="00A65E6B"/>
    <w:rsid w:val="00A65E87"/>
    <w:rsid w:val="00A66244"/>
    <w:rsid w:val="00A6710F"/>
    <w:rsid w:val="00A678B2"/>
    <w:rsid w:val="00A701C5"/>
    <w:rsid w:val="00A71C01"/>
    <w:rsid w:val="00A71E8A"/>
    <w:rsid w:val="00A71EEA"/>
    <w:rsid w:val="00A72B21"/>
    <w:rsid w:val="00A72CF8"/>
    <w:rsid w:val="00A73A7B"/>
    <w:rsid w:val="00A7425A"/>
    <w:rsid w:val="00A747CA"/>
    <w:rsid w:val="00A7515D"/>
    <w:rsid w:val="00A752A7"/>
    <w:rsid w:val="00A75536"/>
    <w:rsid w:val="00A75723"/>
    <w:rsid w:val="00A75FBB"/>
    <w:rsid w:val="00A765BC"/>
    <w:rsid w:val="00A76FF4"/>
    <w:rsid w:val="00A77015"/>
    <w:rsid w:val="00A778D7"/>
    <w:rsid w:val="00A77A7A"/>
    <w:rsid w:val="00A80A7C"/>
    <w:rsid w:val="00A80F92"/>
    <w:rsid w:val="00A81075"/>
    <w:rsid w:val="00A8142B"/>
    <w:rsid w:val="00A81C9D"/>
    <w:rsid w:val="00A81F57"/>
    <w:rsid w:val="00A82308"/>
    <w:rsid w:val="00A83E63"/>
    <w:rsid w:val="00A84084"/>
    <w:rsid w:val="00A8422D"/>
    <w:rsid w:val="00A84344"/>
    <w:rsid w:val="00A854BF"/>
    <w:rsid w:val="00A85694"/>
    <w:rsid w:val="00A85AE8"/>
    <w:rsid w:val="00A85FAE"/>
    <w:rsid w:val="00A86C57"/>
    <w:rsid w:val="00A86CC5"/>
    <w:rsid w:val="00A87FE3"/>
    <w:rsid w:val="00A9001B"/>
    <w:rsid w:val="00A9045D"/>
    <w:rsid w:val="00A9080A"/>
    <w:rsid w:val="00A909F2"/>
    <w:rsid w:val="00A90E7A"/>
    <w:rsid w:val="00A91233"/>
    <w:rsid w:val="00A91CBB"/>
    <w:rsid w:val="00A9290F"/>
    <w:rsid w:val="00A93471"/>
    <w:rsid w:val="00A944FA"/>
    <w:rsid w:val="00A94694"/>
    <w:rsid w:val="00A95A7B"/>
    <w:rsid w:val="00A95E4B"/>
    <w:rsid w:val="00A95E7F"/>
    <w:rsid w:val="00A96486"/>
    <w:rsid w:val="00A96767"/>
    <w:rsid w:val="00A9681E"/>
    <w:rsid w:val="00A97864"/>
    <w:rsid w:val="00AA0FBC"/>
    <w:rsid w:val="00AA0FDF"/>
    <w:rsid w:val="00AA2411"/>
    <w:rsid w:val="00AA2653"/>
    <w:rsid w:val="00AA2D5A"/>
    <w:rsid w:val="00AA2F1B"/>
    <w:rsid w:val="00AA3300"/>
    <w:rsid w:val="00AA36D5"/>
    <w:rsid w:val="00AA47CF"/>
    <w:rsid w:val="00AA4B70"/>
    <w:rsid w:val="00AA4F3B"/>
    <w:rsid w:val="00AA62ED"/>
    <w:rsid w:val="00AA63D2"/>
    <w:rsid w:val="00AA6F19"/>
    <w:rsid w:val="00AA72D6"/>
    <w:rsid w:val="00AA7490"/>
    <w:rsid w:val="00AB0413"/>
    <w:rsid w:val="00AB06D9"/>
    <w:rsid w:val="00AB09DB"/>
    <w:rsid w:val="00AB0B38"/>
    <w:rsid w:val="00AB0D9F"/>
    <w:rsid w:val="00AB16D4"/>
    <w:rsid w:val="00AB19B2"/>
    <w:rsid w:val="00AB29F9"/>
    <w:rsid w:val="00AB2FF9"/>
    <w:rsid w:val="00AB3014"/>
    <w:rsid w:val="00AB3EE3"/>
    <w:rsid w:val="00AB5648"/>
    <w:rsid w:val="00AB58EE"/>
    <w:rsid w:val="00AB6855"/>
    <w:rsid w:val="00AB7B9F"/>
    <w:rsid w:val="00AB7EBB"/>
    <w:rsid w:val="00AC1135"/>
    <w:rsid w:val="00AC18FA"/>
    <w:rsid w:val="00AC2440"/>
    <w:rsid w:val="00AC26ED"/>
    <w:rsid w:val="00AC2759"/>
    <w:rsid w:val="00AC2A64"/>
    <w:rsid w:val="00AC2FB2"/>
    <w:rsid w:val="00AC314D"/>
    <w:rsid w:val="00AC39A3"/>
    <w:rsid w:val="00AC3DB2"/>
    <w:rsid w:val="00AC3E1E"/>
    <w:rsid w:val="00AC52A3"/>
    <w:rsid w:val="00AC5A17"/>
    <w:rsid w:val="00AC6FD6"/>
    <w:rsid w:val="00AC769D"/>
    <w:rsid w:val="00AC791F"/>
    <w:rsid w:val="00AC7A69"/>
    <w:rsid w:val="00AC7BFD"/>
    <w:rsid w:val="00AC7F04"/>
    <w:rsid w:val="00AC7F24"/>
    <w:rsid w:val="00AD027D"/>
    <w:rsid w:val="00AD03B9"/>
    <w:rsid w:val="00AD04D8"/>
    <w:rsid w:val="00AD0512"/>
    <w:rsid w:val="00AD0D8D"/>
    <w:rsid w:val="00AD0EAF"/>
    <w:rsid w:val="00AD0F3B"/>
    <w:rsid w:val="00AD13CB"/>
    <w:rsid w:val="00AD16F9"/>
    <w:rsid w:val="00AD1D2C"/>
    <w:rsid w:val="00AD25F0"/>
    <w:rsid w:val="00AD2C60"/>
    <w:rsid w:val="00AD2CA8"/>
    <w:rsid w:val="00AD3090"/>
    <w:rsid w:val="00AD44C9"/>
    <w:rsid w:val="00AD5178"/>
    <w:rsid w:val="00AD5329"/>
    <w:rsid w:val="00AD5359"/>
    <w:rsid w:val="00AD5770"/>
    <w:rsid w:val="00AD5912"/>
    <w:rsid w:val="00AD6B2F"/>
    <w:rsid w:val="00AD6D99"/>
    <w:rsid w:val="00AD6F66"/>
    <w:rsid w:val="00AD721D"/>
    <w:rsid w:val="00AD78BB"/>
    <w:rsid w:val="00AD7A15"/>
    <w:rsid w:val="00AE0ABF"/>
    <w:rsid w:val="00AE0C69"/>
    <w:rsid w:val="00AE0CE8"/>
    <w:rsid w:val="00AE13A6"/>
    <w:rsid w:val="00AE1594"/>
    <w:rsid w:val="00AE27C7"/>
    <w:rsid w:val="00AE28AA"/>
    <w:rsid w:val="00AE2BB4"/>
    <w:rsid w:val="00AE49AD"/>
    <w:rsid w:val="00AE5403"/>
    <w:rsid w:val="00AE5638"/>
    <w:rsid w:val="00AE5EF4"/>
    <w:rsid w:val="00AE6400"/>
    <w:rsid w:val="00AF06FD"/>
    <w:rsid w:val="00AF0DA0"/>
    <w:rsid w:val="00AF120E"/>
    <w:rsid w:val="00AF1517"/>
    <w:rsid w:val="00AF157A"/>
    <w:rsid w:val="00AF16DA"/>
    <w:rsid w:val="00AF16EE"/>
    <w:rsid w:val="00AF1DB1"/>
    <w:rsid w:val="00AF23B5"/>
    <w:rsid w:val="00AF2468"/>
    <w:rsid w:val="00AF30E1"/>
    <w:rsid w:val="00AF41DA"/>
    <w:rsid w:val="00AF4B40"/>
    <w:rsid w:val="00AF50D5"/>
    <w:rsid w:val="00AF5DD8"/>
    <w:rsid w:val="00AF625A"/>
    <w:rsid w:val="00AF6262"/>
    <w:rsid w:val="00AF6D0C"/>
    <w:rsid w:val="00AF7BD3"/>
    <w:rsid w:val="00AF7CCE"/>
    <w:rsid w:val="00B00071"/>
    <w:rsid w:val="00B00956"/>
    <w:rsid w:val="00B00E80"/>
    <w:rsid w:val="00B015D1"/>
    <w:rsid w:val="00B01607"/>
    <w:rsid w:val="00B016E7"/>
    <w:rsid w:val="00B019F1"/>
    <w:rsid w:val="00B019F6"/>
    <w:rsid w:val="00B01B2C"/>
    <w:rsid w:val="00B0378E"/>
    <w:rsid w:val="00B03C44"/>
    <w:rsid w:val="00B03F8F"/>
    <w:rsid w:val="00B04E6C"/>
    <w:rsid w:val="00B05B4F"/>
    <w:rsid w:val="00B05F21"/>
    <w:rsid w:val="00B061AB"/>
    <w:rsid w:val="00B06587"/>
    <w:rsid w:val="00B0677E"/>
    <w:rsid w:val="00B067F5"/>
    <w:rsid w:val="00B06A20"/>
    <w:rsid w:val="00B06D0B"/>
    <w:rsid w:val="00B07011"/>
    <w:rsid w:val="00B070E4"/>
    <w:rsid w:val="00B07556"/>
    <w:rsid w:val="00B076BD"/>
    <w:rsid w:val="00B111B6"/>
    <w:rsid w:val="00B11708"/>
    <w:rsid w:val="00B11DB6"/>
    <w:rsid w:val="00B1207F"/>
    <w:rsid w:val="00B122FA"/>
    <w:rsid w:val="00B1247D"/>
    <w:rsid w:val="00B12B5A"/>
    <w:rsid w:val="00B1301E"/>
    <w:rsid w:val="00B131B3"/>
    <w:rsid w:val="00B13283"/>
    <w:rsid w:val="00B133A7"/>
    <w:rsid w:val="00B136A8"/>
    <w:rsid w:val="00B13788"/>
    <w:rsid w:val="00B13811"/>
    <w:rsid w:val="00B1399D"/>
    <w:rsid w:val="00B13E9C"/>
    <w:rsid w:val="00B14361"/>
    <w:rsid w:val="00B16ABE"/>
    <w:rsid w:val="00B17D66"/>
    <w:rsid w:val="00B204BB"/>
    <w:rsid w:val="00B20536"/>
    <w:rsid w:val="00B2094B"/>
    <w:rsid w:val="00B2124D"/>
    <w:rsid w:val="00B21F72"/>
    <w:rsid w:val="00B226B8"/>
    <w:rsid w:val="00B22CAF"/>
    <w:rsid w:val="00B22EBE"/>
    <w:rsid w:val="00B23957"/>
    <w:rsid w:val="00B24440"/>
    <w:rsid w:val="00B2548C"/>
    <w:rsid w:val="00B2578A"/>
    <w:rsid w:val="00B25858"/>
    <w:rsid w:val="00B25FEF"/>
    <w:rsid w:val="00B268C1"/>
    <w:rsid w:val="00B269E4"/>
    <w:rsid w:val="00B26BB0"/>
    <w:rsid w:val="00B26C56"/>
    <w:rsid w:val="00B26C6B"/>
    <w:rsid w:val="00B26D04"/>
    <w:rsid w:val="00B2713F"/>
    <w:rsid w:val="00B2748D"/>
    <w:rsid w:val="00B279FA"/>
    <w:rsid w:val="00B311E0"/>
    <w:rsid w:val="00B3132D"/>
    <w:rsid w:val="00B3152E"/>
    <w:rsid w:val="00B31B63"/>
    <w:rsid w:val="00B321C1"/>
    <w:rsid w:val="00B32586"/>
    <w:rsid w:val="00B32E18"/>
    <w:rsid w:val="00B32EA4"/>
    <w:rsid w:val="00B3409B"/>
    <w:rsid w:val="00B34407"/>
    <w:rsid w:val="00B34411"/>
    <w:rsid w:val="00B34A76"/>
    <w:rsid w:val="00B35A2A"/>
    <w:rsid w:val="00B36700"/>
    <w:rsid w:val="00B379CB"/>
    <w:rsid w:val="00B37F31"/>
    <w:rsid w:val="00B4083A"/>
    <w:rsid w:val="00B408EA"/>
    <w:rsid w:val="00B408FC"/>
    <w:rsid w:val="00B42291"/>
    <w:rsid w:val="00B42449"/>
    <w:rsid w:val="00B42B9B"/>
    <w:rsid w:val="00B42D20"/>
    <w:rsid w:val="00B434D1"/>
    <w:rsid w:val="00B435DF"/>
    <w:rsid w:val="00B439CA"/>
    <w:rsid w:val="00B44223"/>
    <w:rsid w:val="00B447A1"/>
    <w:rsid w:val="00B44AFD"/>
    <w:rsid w:val="00B45A20"/>
    <w:rsid w:val="00B45E8D"/>
    <w:rsid w:val="00B461F3"/>
    <w:rsid w:val="00B4671F"/>
    <w:rsid w:val="00B46C8B"/>
    <w:rsid w:val="00B476D3"/>
    <w:rsid w:val="00B4795C"/>
    <w:rsid w:val="00B509CB"/>
    <w:rsid w:val="00B51847"/>
    <w:rsid w:val="00B51A9D"/>
    <w:rsid w:val="00B51C9A"/>
    <w:rsid w:val="00B51E45"/>
    <w:rsid w:val="00B5225E"/>
    <w:rsid w:val="00B52661"/>
    <w:rsid w:val="00B535D9"/>
    <w:rsid w:val="00B53913"/>
    <w:rsid w:val="00B541BF"/>
    <w:rsid w:val="00B544DD"/>
    <w:rsid w:val="00B55928"/>
    <w:rsid w:val="00B568A9"/>
    <w:rsid w:val="00B608B4"/>
    <w:rsid w:val="00B61ECD"/>
    <w:rsid w:val="00B61FA3"/>
    <w:rsid w:val="00B62000"/>
    <w:rsid w:val="00B62695"/>
    <w:rsid w:val="00B6286D"/>
    <w:rsid w:val="00B6325F"/>
    <w:rsid w:val="00B636CC"/>
    <w:rsid w:val="00B63C18"/>
    <w:rsid w:val="00B645D3"/>
    <w:rsid w:val="00B64B29"/>
    <w:rsid w:val="00B64C6D"/>
    <w:rsid w:val="00B6571D"/>
    <w:rsid w:val="00B65B60"/>
    <w:rsid w:val="00B65F9D"/>
    <w:rsid w:val="00B66447"/>
    <w:rsid w:val="00B66DE0"/>
    <w:rsid w:val="00B6756C"/>
    <w:rsid w:val="00B678B1"/>
    <w:rsid w:val="00B67C31"/>
    <w:rsid w:val="00B70A0A"/>
    <w:rsid w:val="00B70A14"/>
    <w:rsid w:val="00B71308"/>
    <w:rsid w:val="00B71892"/>
    <w:rsid w:val="00B73B25"/>
    <w:rsid w:val="00B747F0"/>
    <w:rsid w:val="00B747F4"/>
    <w:rsid w:val="00B74FD2"/>
    <w:rsid w:val="00B750F3"/>
    <w:rsid w:val="00B75A2B"/>
    <w:rsid w:val="00B75BA4"/>
    <w:rsid w:val="00B75D0D"/>
    <w:rsid w:val="00B76085"/>
    <w:rsid w:val="00B7624D"/>
    <w:rsid w:val="00B76700"/>
    <w:rsid w:val="00B7675B"/>
    <w:rsid w:val="00B768E6"/>
    <w:rsid w:val="00B775EC"/>
    <w:rsid w:val="00B77A22"/>
    <w:rsid w:val="00B77B44"/>
    <w:rsid w:val="00B80014"/>
    <w:rsid w:val="00B80138"/>
    <w:rsid w:val="00B801E6"/>
    <w:rsid w:val="00B80705"/>
    <w:rsid w:val="00B80D5E"/>
    <w:rsid w:val="00B82380"/>
    <w:rsid w:val="00B82399"/>
    <w:rsid w:val="00B8312B"/>
    <w:rsid w:val="00B84195"/>
    <w:rsid w:val="00B84206"/>
    <w:rsid w:val="00B84584"/>
    <w:rsid w:val="00B84E7E"/>
    <w:rsid w:val="00B8519F"/>
    <w:rsid w:val="00B858AF"/>
    <w:rsid w:val="00B8631F"/>
    <w:rsid w:val="00B8646D"/>
    <w:rsid w:val="00B8686A"/>
    <w:rsid w:val="00B86CAA"/>
    <w:rsid w:val="00B90554"/>
    <w:rsid w:val="00B908B1"/>
    <w:rsid w:val="00B91C3A"/>
    <w:rsid w:val="00B91D78"/>
    <w:rsid w:val="00B923B5"/>
    <w:rsid w:val="00B92CDC"/>
    <w:rsid w:val="00B933FE"/>
    <w:rsid w:val="00B93ADB"/>
    <w:rsid w:val="00B93DB3"/>
    <w:rsid w:val="00B95EA9"/>
    <w:rsid w:val="00B95F95"/>
    <w:rsid w:val="00B962D0"/>
    <w:rsid w:val="00B969FB"/>
    <w:rsid w:val="00B96D54"/>
    <w:rsid w:val="00B9741C"/>
    <w:rsid w:val="00B97597"/>
    <w:rsid w:val="00B977CE"/>
    <w:rsid w:val="00B979F9"/>
    <w:rsid w:val="00BA0657"/>
    <w:rsid w:val="00BA0A9E"/>
    <w:rsid w:val="00BA10E3"/>
    <w:rsid w:val="00BA1CD2"/>
    <w:rsid w:val="00BA246F"/>
    <w:rsid w:val="00BA25D1"/>
    <w:rsid w:val="00BA3295"/>
    <w:rsid w:val="00BA3BEB"/>
    <w:rsid w:val="00BA3C13"/>
    <w:rsid w:val="00BA3D2F"/>
    <w:rsid w:val="00BA4730"/>
    <w:rsid w:val="00BA49AA"/>
    <w:rsid w:val="00BA4C01"/>
    <w:rsid w:val="00BA55AF"/>
    <w:rsid w:val="00BA5805"/>
    <w:rsid w:val="00BA5BF3"/>
    <w:rsid w:val="00BA63E5"/>
    <w:rsid w:val="00BA688F"/>
    <w:rsid w:val="00BA6A7F"/>
    <w:rsid w:val="00BA7349"/>
    <w:rsid w:val="00BA74E2"/>
    <w:rsid w:val="00BA7AEF"/>
    <w:rsid w:val="00BB08B1"/>
    <w:rsid w:val="00BB09CB"/>
    <w:rsid w:val="00BB0CE9"/>
    <w:rsid w:val="00BB10F2"/>
    <w:rsid w:val="00BB1411"/>
    <w:rsid w:val="00BB171C"/>
    <w:rsid w:val="00BB1CF3"/>
    <w:rsid w:val="00BB229A"/>
    <w:rsid w:val="00BB280F"/>
    <w:rsid w:val="00BB2C66"/>
    <w:rsid w:val="00BB2E70"/>
    <w:rsid w:val="00BB3506"/>
    <w:rsid w:val="00BB3780"/>
    <w:rsid w:val="00BB38FF"/>
    <w:rsid w:val="00BB3DD4"/>
    <w:rsid w:val="00BB4117"/>
    <w:rsid w:val="00BB4368"/>
    <w:rsid w:val="00BB437D"/>
    <w:rsid w:val="00BB4685"/>
    <w:rsid w:val="00BB5540"/>
    <w:rsid w:val="00BB6175"/>
    <w:rsid w:val="00BB6E92"/>
    <w:rsid w:val="00BB6FC8"/>
    <w:rsid w:val="00BB71E0"/>
    <w:rsid w:val="00BB748D"/>
    <w:rsid w:val="00BB7B0E"/>
    <w:rsid w:val="00BC05F3"/>
    <w:rsid w:val="00BC15CF"/>
    <w:rsid w:val="00BC25B7"/>
    <w:rsid w:val="00BC2BD4"/>
    <w:rsid w:val="00BC2CD3"/>
    <w:rsid w:val="00BC3050"/>
    <w:rsid w:val="00BC3399"/>
    <w:rsid w:val="00BC33F6"/>
    <w:rsid w:val="00BC46C4"/>
    <w:rsid w:val="00BC4744"/>
    <w:rsid w:val="00BC4C6B"/>
    <w:rsid w:val="00BC4D0A"/>
    <w:rsid w:val="00BC6C92"/>
    <w:rsid w:val="00BC6DF6"/>
    <w:rsid w:val="00BC6EF0"/>
    <w:rsid w:val="00BC7153"/>
    <w:rsid w:val="00BC7254"/>
    <w:rsid w:val="00BD0362"/>
    <w:rsid w:val="00BD047E"/>
    <w:rsid w:val="00BD0590"/>
    <w:rsid w:val="00BD061B"/>
    <w:rsid w:val="00BD0F61"/>
    <w:rsid w:val="00BD1202"/>
    <w:rsid w:val="00BD133B"/>
    <w:rsid w:val="00BD13C8"/>
    <w:rsid w:val="00BD1A60"/>
    <w:rsid w:val="00BD1CBB"/>
    <w:rsid w:val="00BD221B"/>
    <w:rsid w:val="00BD2720"/>
    <w:rsid w:val="00BD2CD8"/>
    <w:rsid w:val="00BD2D00"/>
    <w:rsid w:val="00BD2D26"/>
    <w:rsid w:val="00BD3400"/>
    <w:rsid w:val="00BD3568"/>
    <w:rsid w:val="00BD36DB"/>
    <w:rsid w:val="00BD3A28"/>
    <w:rsid w:val="00BD4049"/>
    <w:rsid w:val="00BD42AF"/>
    <w:rsid w:val="00BD4CCA"/>
    <w:rsid w:val="00BD4CF3"/>
    <w:rsid w:val="00BD4FC2"/>
    <w:rsid w:val="00BD59BF"/>
    <w:rsid w:val="00BD59E7"/>
    <w:rsid w:val="00BD5FEE"/>
    <w:rsid w:val="00BD612D"/>
    <w:rsid w:val="00BD615D"/>
    <w:rsid w:val="00BD7538"/>
    <w:rsid w:val="00BD79CF"/>
    <w:rsid w:val="00BD7AAA"/>
    <w:rsid w:val="00BD7B13"/>
    <w:rsid w:val="00BD7E98"/>
    <w:rsid w:val="00BE0011"/>
    <w:rsid w:val="00BE0227"/>
    <w:rsid w:val="00BE034E"/>
    <w:rsid w:val="00BE08FD"/>
    <w:rsid w:val="00BE0AF4"/>
    <w:rsid w:val="00BE11EF"/>
    <w:rsid w:val="00BE16E3"/>
    <w:rsid w:val="00BE288A"/>
    <w:rsid w:val="00BE2D44"/>
    <w:rsid w:val="00BE2DAA"/>
    <w:rsid w:val="00BE2ED4"/>
    <w:rsid w:val="00BE3141"/>
    <w:rsid w:val="00BE31AF"/>
    <w:rsid w:val="00BE346F"/>
    <w:rsid w:val="00BE36D3"/>
    <w:rsid w:val="00BE3F8B"/>
    <w:rsid w:val="00BE4281"/>
    <w:rsid w:val="00BE4599"/>
    <w:rsid w:val="00BE59A4"/>
    <w:rsid w:val="00BE5AF8"/>
    <w:rsid w:val="00BE5BBC"/>
    <w:rsid w:val="00BE5DFF"/>
    <w:rsid w:val="00BE6232"/>
    <w:rsid w:val="00BE6F97"/>
    <w:rsid w:val="00BE702F"/>
    <w:rsid w:val="00BE7CA1"/>
    <w:rsid w:val="00BF0D46"/>
    <w:rsid w:val="00BF0F8C"/>
    <w:rsid w:val="00BF12D0"/>
    <w:rsid w:val="00BF156B"/>
    <w:rsid w:val="00BF227C"/>
    <w:rsid w:val="00BF27E1"/>
    <w:rsid w:val="00BF3D2F"/>
    <w:rsid w:val="00BF42CA"/>
    <w:rsid w:val="00BF43DF"/>
    <w:rsid w:val="00BF4DB6"/>
    <w:rsid w:val="00BF4E36"/>
    <w:rsid w:val="00BF4E55"/>
    <w:rsid w:val="00BF50C0"/>
    <w:rsid w:val="00BF6382"/>
    <w:rsid w:val="00BF667C"/>
    <w:rsid w:val="00BF69F0"/>
    <w:rsid w:val="00BF6D2D"/>
    <w:rsid w:val="00C0061B"/>
    <w:rsid w:val="00C011CA"/>
    <w:rsid w:val="00C01D59"/>
    <w:rsid w:val="00C01E72"/>
    <w:rsid w:val="00C0205E"/>
    <w:rsid w:val="00C02166"/>
    <w:rsid w:val="00C02552"/>
    <w:rsid w:val="00C02748"/>
    <w:rsid w:val="00C02DD4"/>
    <w:rsid w:val="00C03BC5"/>
    <w:rsid w:val="00C03DF6"/>
    <w:rsid w:val="00C040A5"/>
    <w:rsid w:val="00C04111"/>
    <w:rsid w:val="00C041ED"/>
    <w:rsid w:val="00C045C0"/>
    <w:rsid w:val="00C04690"/>
    <w:rsid w:val="00C0475F"/>
    <w:rsid w:val="00C04BF9"/>
    <w:rsid w:val="00C05032"/>
    <w:rsid w:val="00C05093"/>
    <w:rsid w:val="00C0515E"/>
    <w:rsid w:val="00C0572A"/>
    <w:rsid w:val="00C057C2"/>
    <w:rsid w:val="00C05ED7"/>
    <w:rsid w:val="00C0617A"/>
    <w:rsid w:val="00C07280"/>
    <w:rsid w:val="00C07BA7"/>
    <w:rsid w:val="00C1054F"/>
    <w:rsid w:val="00C10825"/>
    <w:rsid w:val="00C10977"/>
    <w:rsid w:val="00C10D8D"/>
    <w:rsid w:val="00C12018"/>
    <w:rsid w:val="00C13FF4"/>
    <w:rsid w:val="00C14CCF"/>
    <w:rsid w:val="00C15004"/>
    <w:rsid w:val="00C1515D"/>
    <w:rsid w:val="00C15CF2"/>
    <w:rsid w:val="00C15D7A"/>
    <w:rsid w:val="00C15E2D"/>
    <w:rsid w:val="00C15EC7"/>
    <w:rsid w:val="00C1636B"/>
    <w:rsid w:val="00C16F04"/>
    <w:rsid w:val="00C17438"/>
    <w:rsid w:val="00C174D3"/>
    <w:rsid w:val="00C17825"/>
    <w:rsid w:val="00C17C0F"/>
    <w:rsid w:val="00C17F40"/>
    <w:rsid w:val="00C20459"/>
    <w:rsid w:val="00C20539"/>
    <w:rsid w:val="00C20E1C"/>
    <w:rsid w:val="00C20E42"/>
    <w:rsid w:val="00C20EFA"/>
    <w:rsid w:val="00C210C7"/>
    <w:rsid w:val="00C21D63"/>
    <w:rsid w:val="00C21E0B"/>
    <w:rsid w:val="00C223B7"/>
    <w:rsid w:val="00C22635"/>
    <w:rsid w:val="00C226FE"/>
    <w:rsid w:val="00C22757"/>
    <w:rsid w:val="00C228D8"/>
    <w:rsid w:val="00C22D04"/>
    <w:rsid w:val="00C22EC8"/>
    <w:rsid w:val="00C22FB1"/>
    <w:rsid w:val="00C2322B"/>
    <w:rsid w:val="00C239EE"/>
    <w:rsid w:val="00C24D1A"/>
    <w:rsid w:val="00C2510E"/>
    <w:rsid w:val="00C2514C"/>
    <w:rsid w:val="00C262A2"/>
    <w:rsid w:val="00C2736C"/>
    <w:rsid w:val="00C27E2B"/>
    <w:rsid w:val="00C27F59"/>
    <w:rsid w:val="00C30064"/>
    <w:rsid w:val="00C326D0"/>
    <w:rsid w:val="00C32EB5"/>
    <w:rsid w:val="00C33B3A"/>
    <w:rsid w:val="00C34566"/>
    <w:rsid w:val="00C34957"/>
    <w:rsid w:val="00C34A16"/>
    <w:rsid w:val="00C34A71"/>
    <w:rsid w:val="00C35248"/>
    <w:rsid w:val="00C357A2"/>
    <w:rsid w:val="00C361A3"/>
    <w:rsid w:val="00C367D3"/>
    <w:rsid w:val="00C36CBC"/>
    <w:rsid w:val="00C37727"/>
    <w:rsid w:val="00C379E8"/>
    <w:rsid w:val="00C37E0F"/>
    <w:rsid w:val="00C37FE0"/>
    <w:rsid w:val="00C4061D"/>
    <w:rsid w:val="00C4250C"/>
    <w:rsid w:val="00C42DEE"/>
    <w:rsid w:val="00C434A3"/>
    <w:rsid w:val="00C44027"/>
    <w:rsid w:val="00C44CE5"/>
    <w:rsid w:val="00C455AD"/>
    <w:rsid w:val="00C45A01"/>
    <w:rsid w:val="00C45F0C"/>
    <w:rsid w:val="00C45F25"/>
    <w:rsid w:val="00C4695B"/>
    <w:rsid w:val="00C46A46"/>
    <w:rsid w:val="00C472A8"/>
    <w:rsid w:val="00C472D1"/>
    <w:rsid w:val="00C47455"/>
    <w:rsid w:val="00C47725"/>
    <w:rsid w:val="00C4787C"/>
    <w:rsid w:val="00C47C39"/>
    <w:rsid w:val="00C47F22"/>
    <w:rsid w:val="00C47F58"/>
    <w:rsid w:val="00C50175"/>
    <w:rsid w:val="00C50903"/>
    <w:rsid w:val="00C50CAC"/>
    <w:rsid w:val="00C51052"/>
    <w:rsid w:val="00C51326"/>
    <w:rsid w:val="00C51FEA"/>
    <w:rsid w:val="00C5227A"/>
    <w:rsid w:val="00C52748"/>
    <w:rsid w:val="00C52E49"/>
    <w:rsid w:val="00C539B5"/>
    <w:rsid w:val="00C53D12"/>
    <w:rsid w:val="00C54E86"/>
    <w:rsid w:val="00C54EC4"/>
    <w:rsid w:val="00C55511"/>
    <w:rsid w:val="00C55DD1"/>
    <w:rsid w:val="00C61173"/>
    <w:rsid w:val="00C61AD4"/>
    <w:rsid w:val="00C61C6F"/>
    <w:rsid w:val="00C61F4A"/>
    <w:rsid w:val="00C624DC"/>
    <w:rsid w:val="00C62508"/>
    <w:rsid w:val="00C630D0"/>
    <w:rsid w:val="00C63443"/>
    <w:rsid w:val="00C637D8"/>
    <w:rsid w:val="00C63BA0"/>
    <w:rsid w:val="00C64240"/>
    <w:rsid w:val="00C6437C"/>
    <w:rsid w:val="00C64C9F"/>
    <w:rsid w:val="00C64D43"/>
    <w:rsid w:val="00C64F11"/>
    <w:rsid w:val="00C65961"/>
    <w:rsid w:val="00C65DE7"/>
    <w:rsid w:val="00C6601D"/>
    <w:rsid w:val="00C66763"/>
    <w:rsid w:val="00C66822"/>
    <w:rsid w:val="00C66A6C"/>
    <w:rsid w:val="00C671A3"/>
    <w:rsid w:val="00C67CFA"/>
    <w:rsid w:val="00C701DA"/>
    <w:rsid w:val="00C705AD"/>
    <w:rsid w:val="00C70C7B"/>
    <w:rsid w:val="00C70E2A"/>
    <w:rsid w:val="00C71281"/>
    <w:rsid w:val="00C714C2"/>
    <w:rsid w:val="00C71782"/>
    <w:rsid w:val="00C718E1"/>
    <w:rsid w:val="00C7205D"/>
    <w:rsid w:val="00C723E1"/>
    <w:rsid w:val="00C72A68"/>
    <w:rsid w:val="00C72BE4"/>
    <w:rsid w:val="00C72EC3"/>
    <w:rsid w:val="00C730C1"/>
    <w:rsid w:val="00C7357C"/>
    <w:rsid w:val="00C73E72"/>
    <w:rsid w:val="00C7422E"/>
    <w:rsid w:val="00C749CB"/>
    <w:rsid w:val="00C752B8"/>
    <w:rsid w:val="00C75F7D"/>
    <w:rsid w:val="00C76AB9"/>
    <w:rsid w:val="00C76E8D"/>
    <w:rsid w:val="00C770D3"/>
    <w:rsid w:val="00C772AE"/>
    <w:rsid w:val="00C77524"/>
    <w:rsid w:val="00C776BB"/>
    <w:rsid w:val="00C77B9D"/>
    <w:rsid w:val="00C80165"/>
    <w:rsid w:val="00C801E5"/>
    <w:rsid w:val="00C807F1"/>
    <w:rsid w:val="00C80FC8"/>
    <w:rsid w:val="00C81E89"/>
    <w:rsid w:val="00C82AAC"/>
    <w:rsid w:val="00C8329C"/>
    <w:rsid w:val="00C84056"/>
    <w:rsid w:val="00C84D2E"/>
    <w:rsid w:val="00C85181"/>
    <w:rsid w:val="00C85A82"/>
    <w:rsid w:val="00C86638"/>
    <w:rsid w:val="00C869FA"/>
    <w:rsid w:val="00C86A43"/>
    <w:rsid w:val="00C86FC1"/>
    <w:rsid w:val="00C87AA2"/>
    <w:rsid w:val="00C913FD"/>
    <w:rsid w:val="00C91449"/>
    <w:rsid w:val="00C91C0D"/>
    <w:rsid w:val="00C921EF"/>
    <w:rsid w:val="00C9221A"/>
    <w:rsid w:val="00C92963"/>
    <w:rsid w:val="00C9296F"/>
    <w:rsid w:val="00C9314B"/>
    <w:rsid w:val="00C935EA"/>
    <w:rsid w:val="00C936D4"/>
    <w:rsid w:val="00C93D32"/>
    <w:rsid w:val="00C9417F"/>
    <w:rsid w:val="00C941FF"/>
    <w:rsid w:val="00C94C2B"/>
    <w:rsid w:val="00C95107"/>
    <w:rsid w:val="00C9518A"/>
    <w:rsid w:val="00C95439"/>
    <w:rsid w:val="00C95ACC"/>
    <w:rsid w:val="00C95E23"/>
    <w:rsid w:val="00C95ECB"/>
    <w:rsid w:val="00C96802"/>
    <w:rsid w:val="00C96CEA"/>
    <w:rsid w:val="00C97119"/>
    <w:rsid w:val="00C9712E"/>
    <w:rsid w:val="00C97FF1"/>
    <w:rsid w:val="00CA076B"/>
    <w:rsid w:val="00CA07BD"/>
    <w:rsid w:val="00CA086C"/>
    <w:rsid w:val="00CA1DEC"/>
    <w:rsid w:val="00CA2C5C"/>
    <w:rsid w:val="00CA2D5C"/>
    <w:rsid w:val="00CA2D98"/>
    <w:rsid w:val="00CA360E"/>
    <w:rsid w:val="00CA3679"/>
    <w:rsid w:val="00CA3E92"/>
    <w:rsid w:val="00CA3F51"/>
    <w:rsid w:val="00CA493D"/>
    <w:rsid w:val="00CA4CDC"/>
    <w:rsid w:val="00CA61FB"/>
    <w:rsid w:val="00CA6470"/>
    <w:rsid w:val="00CA6570"/>
    <w:rsid w:val="00CA6920"/>
    <w:rsid w:val="00CA6B97"/>
    <w:rsid w:val="00CA6CDE"/>
    <w:rsid w:val="00CA78D8"/>
    <w:rsid w:val="00CA7BD4"/>
    <w:rsid w:val="00CB0270"/>
    <w:rsid w:val="00CB0924"/>
    <w:rsid w:val="00CB0E3A"/>
    <w:rsid w:val="00CB1685"/>
    <w:rsid w:val="00CB1AD6"/>
    <w:rsid w:val="00CB1F59"/>
    <w:rsid w:val="00CB2F9A"/>
    <w:rsid w:val="00CB3318"/>
    <w:rsid w:val="00CB340F"/>
    <w:rsid w:val="00CB36F6"/>
    <w:rsid w:val="00CB3B3F"/>
    <w:rsid w:val="00CB3FA0"/>
    <w:rsid w:val="00CB41DD"/>
    <w:rsid w:val="00CB4B70"/>
    <w:rsid w:val="00CB4EBB"/>
    <w:rsid w:val="00CB5C05"/>
    <w:rsid w:val="00CB5D44"/>
    <w:rsid w:val="00CB68AA"/>
    <w:rsid w:val="00CB7C33"/>
    <w:rsid w:val="00CC01BD"/>
    <w:rsid w:val="00CC0A90"/>
    <w:rsid w:val="00CC1425"/>
    <w:rsid w:val="00CC1B59"/>
    <w:rsid w:val="00CC2401"/>
    <w:rsid w:val="00CC259A"/>
    <w:rsid w:val="00CC2648"/>
    <w:rsid w:val="00CC2C55"/>
    <w:rsid w:val="00CC3001"/>
    <w:rsid w:val="00CC37FC"/>
    <w:rsid w:val="00CC4D38"/>
    <w:rsid w:val="00CC5364"/>
    <w:rsid w:val="00CC6361"/>
    <w:rsid w:val="00CC70EB"/>
    <w:rsid w:val="00CC7562"/>
    <w:rsid w:val="00CD0836"/>
    <w:rsid w:val="00CD0A1C"/>
    <w:rsid w:val="00CD0D96"/>
    <w:rsid w:val="00CD0F03"/>
    <w:rsid w:val="00CD1318"/>
    <w:rsid w:val="00CD1B16"/>
    <w:rsid w:val="00CD1FAC"/>
    <w:rsid w:val="00CD2182"/>
    <w:rsid w:val="00CD2698"/>
    <w:rsid w:val="00CD2771"/>
    <w:rsid w:val="00CD2C8F"/>
    <w:rsid w:val="00CD2D30"/>
    <w:rsid w:val="00CD3705"/>
    <w:rsid w:val="00CD3F57"/>
    <w:rsid w:val="00CD40AB"/>
    <w:rsid w:val="00CD4D2F"/>
    <w:rsid w:val="00CD4F2A"/>
    <w:rsid w:val="00CD5136"/>
    <w:rsid w:val="00CD5D7A"/>
    <w:rsid w:val="00CD622C"/>
    <w:rsid w:val="00CD6611"/>
    <w:rsid w:val="00CD6666"/>
    <w:rsid w:val="00CD6AA8"/>
    <w:rsid w:val="00CD6AB0"/>
    <w:rsid w:val="00CD6EFC"/>
    <w:rsid w:val="00CD76B1"/>
    <w:rsid w:val="00CE0955"/>
    <w:rsid w:val="00CE0FC2"/>
    <w:rsid w:val="00CE101E"/>
    <w:rsid w:val="00CE1251"/>
    <w:rsid w:val="00CE1533"/>
    <w:rsid w:val="00CE161A"/>
    <w:rsid w:val="00CE1BC3"/>
    <w:rsid w:val="00CE1D1C"/>
    <w:rsid w:val="00CE1F19"/>
    <w:rsid w:val="00CE2D21"/>
    <w:rsid w:val="00CE321B"/>
    <w:rsid w:val="00CE32C8"/>
    <w:rsid w:val="00CE34AB"/>
    <w:rsid w:val="00CE361F"/>
    <w:rsid w:val="00CE3771"/>
    <w:rsid w:val="00CE37EC"/>
    <w:rsid w:val="00CE3D39"/>
    <w:rsid w:val="00CE4523"/>
    <w:rsid w:val="00CE5250"/>
    <w:rsid w:val="00CE575C"/>
    <w:rsid w:val="00CE5E48"/>
    <w:rsid w:val="00CE7B96"/>
    <w:rsid w:val="00CF065B"/>
    <w:rsid w:val="00CF08DE"/>
    <w:rsid w:val="00CF0E32"/>
    <w:rsid w:val="00CF0EF0"/>
    <w:rsid w:val="00CF1191"/>
    <w:rsid w:val="00CF16D3"/>
    <w:rsid w:val="00CF2334"/>
    <w:rsid w:val="00CF369B"/>
    <w:rsid w:val="00CF3779"/>
    <w:rsid w:val="00CF4339"/>
    <w:rsid w:val="00CF43F4"/>
    <w:rsid w:val="00CF4412"/>
    <w:rsid w:val="00CF5166"/>
    <w:rsid w:val="00CF54DC"/>
    <w:rsid w:val="00CF59CF"/>
    <w:rsid w:val="00CF5D1A"/>
    <w:rsid w:val="00CF5E56"/>
    <w:rsid w:val="00CF65EC"/>
    <w:rsid w:val="00CF66A6"/>
    <w:rsid w:val="00CF690C"/>
    <w:rsid w:val="00CF770E"/>
    <w:rsid w:val="00CF7F40"/>
    <w:rsid w:val="00D01029"/>
    <w:rsid w:val="00D025CC"/>
    <w:rsid w:val="00D02659"/>
    <w:rsid w:val="00D02C42"/>
    <w:rsid w:val="00D02FC8"/>
    <w:rsid w:val="00D03D6C"/>
    <w:rsid w:val="00D047FF"/>
    <w:rsid w:val="00D05257"/>
    <w:rsid w:val="00D05335"/>
    <w:rsid w:val="00D05AC6"/>
    <w:rsid w:val="00D06355"/>
    <w:rsid w:val="00D06653"/>
    <w:rsid w:val="00D067D5"/>
    <w:rsid w:val="00D06CBC"/>
    <w:rsid w:val="00D06F17"/>
    <w:rsid w:val="00D06FD7"/>
    <w:rsid w:val="00D071E2"/>
    <w:rsid w:val="00D073E6"/>
    <w:rsid w:val="00D1054C"/>
    <w:rsid w:val="00D1060D"/>
    <w:rsid w:val="00D1087A"/>
    <w:rsid w:val="00D1155C"/>
    <w:rsid w:val="00D11B6D"/>
    <w:rsid w:val="00D12A92"/>
    <w:rsid w:val="00D12AA5"/>
    <w:rsid w:val="00D12B56"/>
    <w:rsid w:val="00D12E84"/>
    <w:rsid w:val="00D132D2"/>
    <w:rsid w:val="00D1339B"/>
    <w:rsid w:val="00D1367C"/>
    <w:rsid w:val="00D146F3"/>
    <w:rsid w:val="00D14762"/>
    <w:rsid w:val="00D15A4E"/>
    <w:rsid w:val="00D15D57"/>
    <w:rsid w:val="00D15E74"/>
    <w:rsid w:val="00D177BB"/>
    <w:rsid w:val="00D21272"/>
    <w:rsid w:val="00D216DD"/>
    <w:rsid w:val="00D21DBE"/>
    <w:rsid w:val="00D2254D"/>
    <w:rsid w:val="00D244E6"/>
    <w:rsid w:val="00D24708"/>
    <w:rsid w:val="00D248E4"/>
    <w:rsid w:val="00D2497E"/>
    <w:rsid w:val="00D24C61"/>
    <w:rsid w:val="00D24D3F"/>
    <w:rsid w:val="00D2596A"/>
    <w:rsid w:val="00D26687"/>
    <w:rsid w:val="00D26897"/>
    <w:rsid w:val="00D26B77"/>
    <w:rsid w:val="00D27019"/>
    <w:rsid w:val="00D27F5B"/>
    <w:rsid w:val="00D30536"/>
    <w:rsid w:val="00D31FD4"/>
    <w:rsid w:val="00D330BC"/>
    <w:rsid w:val="00D33916"/>
    <w:rsid w:val="00D33A23"/>
    <w:rsid w:val="00D33A7B"/>
    <w:rsid w:val="00D34056"/>
    <w:rsid w:val="00D341E1"/>
    <w:rsid w:val="00D349C3"/>
    <w:rsid w:val="00D34BEA"/>
    <w:rsid w:val="00D35D02"/>
    <w:rsid w:val="00D35EE0"/>
    <w:rsid w:val="00D3603D"/>
    <w:rsid w:val="00D361D3"/>
    <w:rsid w:val="00D36873"/>
    <w:rsid w:val="00D368DD"/>
    <w:rsid w:val="00D36ADA"/>
    <w:rsid w:val="00D36E0F"/>
    <w:rsid w:val="00D374CA"/>
    <w:rsid w:val="00D37E58"/>
    <w:rsid w:val="00D4006C"/>
    <w:rsid w:val="00D402AD"/>
    <w:rsid w:val="00D40351"/>
    <w:rsid w:val="00D407F2"/>
    <w:rsid w:val="00D407F3"/>
    <w:rsid w:val="00D4093B"/>
    <w:rsid w:val="00D40EEA"/>
    <w:rsid w:val="00D4136D"/>
    <w:rsid w:val="00D41609"/>
    <w:rsid w:val="00D41781"/>
    <w:rsid w:val="00D417B4"/>
    <w:rsid w:val="00D4182F"/>
    <w:rsid w:val="00D43547"/>
    <w:rsid w:val="00D44054"/>
    <w:rsid w:val="00D440E7"/>
    <w:rsid w:val="00D44163"/>
    <w:rsid w:val="00D44661"/>
    <w:rsid w:val="00D4471F"/>
    <w:rsid w:val="00D457A7"/>
    <w:rsid w:val="00D458E5"/>
    <w:rsid w:val="00D4622E"/>
    <w:rsid w:val="00D46DB4"/>
    <w:rsid w:val="00D47DDC"/>
    <w:rsid w:val="00D504EE"/>
    <w:rsid w:val="00D508DB"/>
    <w:rsid w:val="00D50CD9"/>
    <w:rsid w:val="00D50DFA"/>
    <w:rsid w:val="00D51A2D"/>
    <w:rsid w:val="00D51E1B"/>
    <w:rsid w:val="00D51ED9"/>
    <w:rsid w:val="00D5224A"/>
    <w:rsid w:val="00D524E6"/>
    <w:rsid w:val="00D524ED"/>
    <w:rsid w:val="00D52CC7"/>
    <w:rsid w:val="00D52D40"/>
    <w:rsid w:val="00D53E43"/>
    <w:rsid w:val="00D54055"/>
    <w:rsid w:val="00D54179"/>
    <w:rsid w:val="00D54BDE"/>
    <w:rsid w:val="00D552CE"/>
    <w:rsid w:val="00D558C8"/>
    <w:rsid w:val="00D55FB0"/>
    <w:rsid w:val="00D5628E"/>
    <w:rsid w:val="00D566E5"/>
    <w:rsid w:val="00D569F5"/>
    <w:rsid w:val="00D571DB"/>
    <w:rsid w:val="00D57483"/>
    <w:rsid w:val="00D579B9"/>
    <w:rsid w:val="00D57B19"/>
    <w:rsid w:val="00D57CF5"/>
    <w:rsid w:val="00D57D47"/>
    <w:rsid w:val="00D60F64"/>
    <w:rsid w:val="00D6145F"/>
    <w:rsid w:val="00D6148F"/>
    <w:rsid w:val="00D61C53"/>
    <w:rsid w:val="00D6244F"/>
    <w:rsid w:val="00D62897"/>
    <w:rsid w:val="00D629CE"/>
    <w:rsid w:val="00D62B91"/>
    <w:rsid w:val="00D630CF"/>
    <w:rsid w:val="00D63642"/>
    <w:rsid w:val="00D63D52"/>
    <w:rsid w:val="00D63DFD"/>
    <w:rsid w:val="00D63F2A"/>
    <w:rsid w:val="00D63FF7"/>
    <w:rsid w:val="00D6436A"/>
    <w:rsid w:val="00D657CF"/>
    <w:rsid w:val="00D65B63"/>
    <w:rsid w:val="00D664A5"/>
    <w:rsid w:val="00D6694F"/>
    <w:rsid w:val="00D6720F"/>
    <w:rsid w:val="00D676F4"/>
    <w:rsid w:val="00D715BE"/>
    <w:rsid w:val="00D71CF1"/>
    <w:rsid w:val="00D7203C"/>
    <w:rsid w:val="00D72508"/>
    <w:rsid w:val="00D72AC4"/>
    <w:rsid w:val="00D73053"/>
    <w:rsid w:val="00D73749"/>
    <w:rsid w:val="00D737B0"/>
    <w:rsid w:val="00D737C3"/>
    <w:rsid w:val="00D73896"/>
    <w:rsid w:val="00D73E82"/>
    <w:rsid w:val="00D73EBB"/>
    <w:rsid w:val="00D74424"/>
    <w:rsid w:val="00D74E48"/>
    <w:rsid w:val="00D74F57"/>
    <w:rsid w:val="00D75440"/>
    <w:rsid w:val="00D75BA1"/>
    <w:rsid w:val="00D75F64"/>
    <w:rsid w:val="00D76821"/>
    <w:rsid w:val="00D76E97"/>
    <w:rsid w:val="00D77639"/>
    <w:rsid w:val="00D778FA"/>
    <w:rsid w:val="00D77D94"/>
    <w:rsid w:val="00D80075"/>
    <w:rsid w:val="00D80157"/>
    <w:rsid w:val="00D80596"/>
    <w:rsid w:val="00D81144"/>
    <w:rsid w:val="00D81461"/>
    <w:rsid w:val="00D8202A"/>
    <w:rsid w:val="00D821FD"/>
    <w:rsid w:val="00D825B4"/>
    <w:rsid w:val="00D8264D"/>
    <w:rsid w:val="00D82AF6"/>
    <w:rsid w:val="00D83260"/>
    <w:rsid w:val="00D834FC"/>
    <w:rsid w:val="00D83FB9"/>
    <w:rsid w:val="00D83FFC"/>
    <w:rsid w:val="00D84054"/>
    <w:rsid w:val="00D843A4"/>
    <w:rsid w:val="00D86A64"/>
    <w:rsid w:val="00D8716F"/>
    <w:rsid w:val="00D874D3"/>
    <w:rsid w:val="00D875B3"/>
    <w:rsid w:val="00D87E05"/>
    <w:rsid w:val="00D87F7C"/>
    <w:rsid w:val="00D9004C"/>
    <w:rsid w:val="00D9153A"/>
    <w:rsid w:val="00D916CE"/>
    <w:rsid w:val="00D92992"/>
    <w:rsid w:val="00D9300A"/>
    <w:rsid w:val="00D931F2"/>
    <w:rsid w:val="00D93641"/>
    <w:rsid w:val="00D939F5"/>
    <w:rsid w:val="00D93BF5"/>
    <w:rsid w:val="00D94434"/>
    <w:rsid w:val="00D94509"/>
    <w:rsid w:val="00D94C4E"/>
    <w:rsid w:val="00D94C7A"/>
    <w:rsid w:val="00D94E74"/>
    <w:rsid w:val="00D94FA1"/>
    <w:rsid w:val="00D95328"/>
    <w:rsid w:val="00D95E37"/>
    <w:rsid w:val="00D969C3"/>
    <w:rsid w:val="00D97083"/>
    <w:rsid w:val="00D97F77"/>
    <w:rsid w:val="00D97FC6"/>
    <w:rsid w:val="00DA0390"/>
    <w:rsid w:val="00DA0457"/>
    <w:rsid w:val="00DA0E89"/>
    <w:rsid w:val="00DA12BA"/>
    <w:rsid w:val="00DA1884"/>
    <w:rsid w:val="00DA2195"/>
    <w:rsid w:val="00DA2DF1"/>
    <w:rsid w:val="00DA448E"/>
    <w:rsid w:val="00DA4BA6"/>
    <w:rsid w:val="00DA52C8"/>
    <w:rsid w:val="00DA5C32"/>
    <w:rsid w:val="00DA78EC"/>
    <w:rsid w:val="00DA7A12"/>
    <w:rsid w:val="00DB084E"/>
    <w:rsid w:val="00DB1A1C"/>
    <w:rsid w:val="00DB22D0"/>
    <w:rsid w:val="00DB261E"/>
    <w:rsid w:val="00DB2954"/>
    <w:rsid w:val="00DB3302"/>
    <w:rsid w:val="00DB3B07"/>
    <w:rsid w:val="00DB480E"/>
    <w:rsid w:val="00DB6725"/>
    <w:rsid w:val="00DB6944"/>
    <w:rsid w:val="00DB6C8D"/>
    <w:rsid w:val="00DB7960"/>
    <w:rsid w:val="00DB7C3B"/>
    <w:rsid w:val="00DB7C4B"/>
    <w:rsid w:val="00DC0823"/>
    <w:rsid w:val="00DC0B79"/>
    <w:rsid w:val="00DC111B"/>
    <w:rsid w:val="00DC130C"/>
    <w:rsid w:val="00DC16F4"/>
    <w:rsid w:val="00DC2469"/>
    <w:rsid w:val="00DC305D"/>
    <w:rsid w:val="00DC3D0C"/>
    <w:rsid w:val="00DC3DA9"/>
    <w:rsid w:val="00DC41CE"/>
    <w:rsid w:val="00DC49F4"/>
    <w:rsid w:val="00DC4AC0"/>
    <w:rsid w:val="00DC4D5C"/>
    <w:rsid w:val="00DC759F"/>
    <w:rsid w:val="00DC7738"/>
    <w:rsid w:val="00DC7993"/>
    <w:rsid w:val="00DC7DCB"/>
    <w:rsid w:val="00DD0473"/>
    <w:rsid w:val="00DD0914"/>
    <w:rsid w:val="00DD152C"/>
    <w:rsid w:val="00DD1B46"/>
    <w:rsid w:val="00DD2DEE"/>
    <w:rsid w:val="00DD32F3"/>
    <w:rsid w:val="00DD3666"/>
    <w:rsid w:val="00DD3961"/>
    <w:rsid w:val="00DD43DA"/>
    <w:rsid w:val="00DD60E4"/>
    <w:rsid w:val="00DD6129"/>
    <w:rsid w:val="00DD6247"/>
    <w:rsid w:val="00DD6383"/>
    <w:rsid w:val="00DD65FC"/>
    <w:rsid w:val="00DD6782"/>
    <w:rsid w:val="00DD6CE5"/>
    <w:rsid w:val="00DD6DC1"/>
    <w:rsid w:val="00DD73DB"/>
    <w:rsid w:val="00DD7597"/>
    <w:rsid w:val="00DD7FC7"/>
    <w:rsid w:val="00DE05AF"/>
    <w:rsid w:val="00DE0834"/>
    <w:rsid w:val="00DE0EC0"/>
    <w:rsid w:val="00DE0F5E"/>
    <w:rsid w:val="00DE2453"/>
    <w:rsid w:val="00DE288A"/>
    <w:rsid w:val="00DE2F71"/>
    <w:rsid w:val="00DE4FE7"/>
    <w:rsid w:val="00DE5262"/>
    <w:rsid w:val="00DE5721"/>
    <w:rsid w:val="00DE59FC"/>
    <w:rsid w:val="00DE6452"/>
    <w:rsid w:val="00DE66D1"/>
    <w:rsid w:val="00DF00FA"/>
    <w:rsid w:val="00DF0982"/>
    <w:rsid w:val="00DF0ED4"/>
    <w:rsid w:val="00DF1167"/>
    <w:rsid w:val="00DF1250"/>
    <w:rsid w:val="00DF1348"/>
    <w:rsid w:val="00DF13C7"/>
    <w:rsid w:val="00DF17AE"/>
    <w:rsid w:val="00DF1C82"/>
    <w:rsid w:val="00DF248A"/>
    <w:rsid w:val="00DF2F6E"/>
    <w:rsid w:val="00DF3438"/>
    <w:rsid w:val="00DF3D67"/>
    <w:rsid w:val="00DF3E04"/>
    <w:rsid w:val="00DF4094"/>
    <w:rsid w:val="00DF412D"/>
    <w:rsid w:val="00DF4B28"/>
    <w:rsid w:val="00DF4BDC"/>
    <w:rsid w:val="00DF4FA3"/>
    <w:rsid w:val="00DF5120"/>
    <w:rsid w:val="00DF515D"/>
    <w:rsid w:val="00DF57CA"/>
    <w:rsid w:val="00DF5A95"/>
    <w:rsid w:val="00DF6142"/>
    <w:rsid w:val="00DF62CE"/>
    <w:rsid w:val="00DF6BFD"/>
    <w:rsid w:val="00DF7185"/>
    <w:rsid w:val="00DF7A33"/>
    <w:rsid w:val="00E0005A"/>
    <w:rsid w:val="00E0048A"/>
    <w:rsid w:val="00E004A7"/>
    <w:rsid w:val="00E00EA8"/>
    <w:rsid w:val="00E01700"/>
    <w:rsid w:val="00E017E0"/>
    <w:rsid w:val="00E01C0F"/>
    <w:rsid w:val="00E01ED0"/>
    <w:rsid w:val="00E01F8F"/>
    <w:rsid w:val="00E02A28"/>
    <w:rsid w:val="00E02BC7"/>
    <w:rsid w:val="00E02D06"/>
    <w:rsid w:val="00E02E75"/>
    <w:rsid w:val="00E033B0"/>
    <w:rsid w:val="00E03B05"/>
    <w:rsid w:val="00E03B77"/>
    <w:rsid w:val="00E04155"/>
    <w:rsid w:val="00E04638"/>
    <w:rsid w:val="00E046E4"/>
    <w:rsid w:val="00E04A24"/>
    <w:rsid w:val="00E055CB"/>
    <w:rsid w:val="00E05CE9"/>
    <w:rsid w:val="00E06A1E"/>
    <w:rsid w:val="00E06C7D"/>
    <w:rsid w:val="00E0706C"/>
    <w:rsid w:val="00E07071"/>
    <w:rsid w:val="00E070E7"/>
    <w:rsid w:val="00E07224"/>
    <w:rsid w:val="00E0748D"/>
    <w:rsid w:val="00E07873"/>
    <w:rsid w:val="00E07C73"/>
    <w:rsid w:val="00E105C6"/>
    <w:rsid w:val="00E11EDB"/>
    <w:rsid w:val="00E11F44"/>
    <w:rsid w:val="00E11F95"/>
    <w:rsid w:val="00E12599"/>
    <w:rsid w:val="00E12F8D"/>
    <w:rsid w:val="00E13425"/>
    <w:rsid w:val="00E14339"/>
    <w:rsid w:val="00E146C6"/>
    <w:rsid w:val="00E1472B"/>
    <w:rsid w:val="00E148C1"/>
    <w:rsid w:val="00E14918"/>
    <w:rsid w:val="00E15A12"/>
    <w:rsid w:val="00E15BA8"/>
    <w:rsid w:val="00E15D40"/>
    <w:rsid w:val="00E16366"/>
    <w:rsid w:val="00E1640A"/>
    <w:rsid w:val="00E16660"/>
    <w:rsid w:val="00E16ABF"/>
    <w:rsid w:val="00E16B64"/>
    <w:rsid w:val="00E16C23"/>
    <w:rsid w:val="00E20A32"/>
    <w:rsid w:val="00E20C6A"/>
    <w:rsid w:val="00E20E74"/>
    <w:rsid w:val="00E214F0"/>
    <w:rsid w:val="00E22045"/>
    <w:rsid w:val="00E225C2"/>
    <w:rsid w:val="00E22EA7"/>
    <w:rsid w:val="00E23072"/>
    <w:rsid w:val="00E230DB"/>
    <w:rsid w:val="00E238E9"/>
    <w:rsid w:val="00E24425"/>
    <w:rsid w:val="00E24D40"/>
    <w:rsid w:val="00E25484"/>
    <w:rsid w:val="00E2549B"/>
    <w:rsid w:val="00E25C3C"/>
    <w:rsid w:val="00E25EFD"/>
    <w:rsid w:val="00E25FAE"/>
    <w:rsid w:val="00E26148"/>
    <w:rsid w:val="00E267A0"/>
    <w:rsid w:val="00E26973"/>
    <w:rsid w:val="00E26AE6"/>
    <w:rsid w:val="00E26EB8"/>
    <w:rsid w:val="00E27C5C"/>
    <w:rsid w:val="00E27CBB"/>
    <w:rsid w:val="00E27F5F"/>
    <w:rsid w:val="00E30267"/>
    <w:rsid w:val="00E304C8"/>
    <w:rsid w:val="00E30CA2"/>
    <w:rsid w:val="00E31193"/>
    <w:rsid w:val="00E31525"/>
    <w:rsid w:val="00E317FE"/>
    <w:rsid w:val="00E31956"/>
    <w:rsid w:val="00E3221E"/>
    <w:rsid w:val="00E32284"/>
    <w:rsid w:val="00E3296D"/>
    <w:rsid w:val="00E33435"/>
    <w:rsid w:val="00E33895"/>
    <w:rsid w:val="00E34613"/>
    <w:rsid w:val="00E3510B"/>
    <w:rsid w:val="00E356B0"/>
    <w:rsid w:val="00E35A3F"/>
    <w:rsid w:val="00E35ABC"/>
    <w:rsid w:val="00E35AC4"/>
    <w:rsid w:val="00E364EA"/>
    <w:rsid w:val="00E3657E"/>
    <w:rsid w:val="00E365D0"/>
    <w:rsid w:val="00E36E73"/>
    <w:rsid w:val="00E37632"/>
    <w:rsid w:val="00E4009D"/>
    <w:rsid w:val="00E42027"/>
    <w:rsid w:val="00E428A9"/>
    <w:rsid w:val="00E42AE0"/>
    <w:rsid w:val="00E42FEB"/>
    <w:rsid w:val="00E4316D"/>
    <w:rsid w:val="00E446E9"/>
    <w:rsid w:val="00E449B2"/>
    <w:rsid w:val="00E45DC1"/>
    <w:rsid w:val="00E4611A"/>
    <w:rsid w:val="00E47D0A"/>
    <w:rsid w:val="00E47DD2"/>
    <w:rsid w:val="00E50E6C"/>
    <w:rsid w:val="00E516E5"/>
    <w:rsid w:val="00E51F16"/>
    <w:rsid w:val="00E52860"/>
    <w:rsid w:val="00E52BEF"/>
    <w:rsid w:val="00E53386"/>
    <w:rsid w:val="00E5410E"/>
    <w:rsid w:val="00E54C0E"/>
    <w:rsid w:val="00E553E2"/>
    <w:rsid w:val="00E55EA9"/>
    <w:rsid w:val="00E562B6"/>
    <w:rsid w:val="00E5719F"/>
    <w:rsid w:val="00E57832"/>
    <w:rsid w:val="00E578DD"/>
    <w:rsid w:val="00E602D2"/>
    <w:rsid w:val="00E60ABF"/>
    <w:rsid w:val="00E610CE"/>
    <w:rsid w:val="00E611EF"/>
    <w:rsid w:val="00E61265"/>
    <w:rsid w:val="00E6186E"/>
    <w:rsid w:val="00E61B62"/>
    <w:rsid w:val="00E61D0D"/>
    <w:rsid w:val="00E62736"/>
    <w:rsid w:val="00E62EC8"/>
    <w:rsid w:val="00E63248"/>
    <w:rsid w:val="00E635C7"/>
    <w:rsid w:val="00E649AC"/>
    <w:rsid w:val="00E64A03"/>
    <w:rsid w:val="00E64A59"/>
    <w:rsid w:val="00E64CC5"/>
    <w:rsid w:val="00E6558F"/>
    <w:rsid w:val="00E65B53"/>
    <w:rsid w:val="00E662CA"/>
    <w:rsid w:val="00E667D6"/>
    <w:rsid w:val="00E672AC"/>
    <w:rsid w:val="00E6762B"/>
    <w:rsid w:val="00E678B6"/>
    <w:rsid w:val="00E6799E"/>
    <w:rsid w:val="00E67BA5"/>
    <w:rsid w:val="00E67DD6"/>
    <w:rsid w:val="00E70719"/>
    <w:rsid w:val="00E7171F"/>
    <w:rsid w:val="00E71A82"/>
    <w:rsid w:val="00E72FE8"/>
    <w:rsid w:val="00E74541"/>
    <w:rsid w:val="00E74D1C"/>
    <w:rsid w:val="00E74E45"/>
    <w:rsid w:val="00E753E2"/>
    <w:rsid w:val="00E75868"/>
    <w:rsid w:val="00E75952"/>
    <w:rsid w:val="00E75E4F"/>
    <w:rsid w:val="00E765B9"/>
    <w:rsid w:val="00E7675B"/>
    <w:rsid w:val="00E76F7C"/>
    <w:rsid w:val="00E77C64"/>
    <w:rsid w:val="00E77CB0"/>
    <w:rsid w:val="00E77DD7"/>
    <w:rsid w:val="00E815D8"/>
    <w:rsid w:val="00E81C55"/>
    <w:rsid w:val="00E81FC9"/>
    <w:rsid w:val="00E82F6A"/>
    <w:rsid w:val="00E8326B"/>
    <w:rsid w:val="00E8331D"/>
    <w:rsid w:val="00E836DD"/>
    <w:rsid w:val="00E839AF"/>
    <w:rsid w:val="00E8448C"/>
    <w:rsid w:val="00E8490E"/>
    <w:rsid w:val="00E84F90"/>
    <w:rsid w:val="00E853DE"/>
    <w:rsid w:val="00E855E1"/>
    <w:rsid w:val="00E862D3"/>
    <w:rsid w:val="00E875E0"/>
    <w:rsid w:val="00E90186"/>
    <w:rsid w:val="00E901AC"/>
    <w:rsid w:val="00E909F6"/>
    <w:rsid w:val="00E90C6E"/>
    <w:rsid w:val="00E90D73"/>
    <w:rsid w:val="00E91863"/>
    <w:rsid w:val="00E92004"/>
    <w:rsid w:val="00E92101"/>
    <w:rsid w:val="00E92296"/>
    <w:rsid w:val="00E928AC"/>
    <w:rsid w:val="00E93090"/>
    <w:rsid w:val="00E93B34"/>
    <w:rsid w:val="00E94030"/>
    <w:rsid w:val="00E94301"/>
    <w:rsid w:val="00E9461E"/>
    <w:rsid w:val="00E953D1"/>
    <w:rsid w:val="00E95A24"/>
    <w:rsid w:val="00E95B6A"/>
    <w:rsid w:val="00E95D81"/>
    <w:rsid w:val="00E960BC"/>
    <w:rsid w:val="00E96602"/>
    <w:rsid w:val="00E977BC"/>
    <w:rsid w:val="00E97A36"/>
    <w:rsid w:val="00EA01F5"/>
    <w:rsid w:val="00EA0E17"/>
    <w:rsid w:val="00EA1173"/>
    <w:rsid w:val="00EA130E"/>
    <w:rsid w:val="00EA1391"/>
    <w:rsid w:val="00EA2B9D"/>
    <w:rsid w:val="00EA2DD7"/>
    <w:rsid w:val="00EA2E61"/>
    <w:rsid w:val="00EA3359"/>
    <w:rsid w:val="00EA3360"/>
    <w:rsid w:val="00EA3916"/>
    <w:rsid w:val="00EA3966"/>
    <w:rsid w:val="00EA3AAD"/>
    <w:rsid w:val="00EA3C14"/>
    <w:rsid w:val="00EA3CB2"/>
    <w:rsid w:val="00EA3E31"/>
    <w:rsid w:val="00EA4041"/>
    <w:rsid w:val="00EA57CD"/>
    <w:rsid w:val="00EB00CA"/>
    <w:rsid w:val="00EB06D9"/>
    <w:rsid w:val="00EB0E4B"/>
    <w:rsid w:val="00EB19A5"/>
    <w:rsid w:val="00EB2053"/>
    <w:rsid w:val="00EB2661"/>
    <w:rsid w:val="00EB2BEF"/>
    <w:rsid w:val="00EB2C22"/>
    <w:rsid w:val="00EB319F"/>
    <w:rsid w:val="00EB32C1"/>
    <w:rsid w:val="00EB3A37"/>
    <w:rsid w:val="00EB3DBF"/>
    <w:rsid w:val="00EB4B12"/>
    <w:rsid w:val="00EB4D18"/>
    <w:rsid w:val="00EB4F2F"/>
    <w:rsid w:val="00EB5DF7"/>
    <w:rsid w:val="00EB60AB"/>
    <w:rsid w:val="00EB628E"/>
    <w:rsid w:val="00EB72B7"/>
    <w:rsid w:val="00EC0212"/>
    <w:rsid w:val="00EC03A8"/>
    <w:rsid w:val="00EC03BC"/>
    <w:rsid w:val="00EC04D2"/>
    <w:rsid w:val="00EC0921"/>
    <w:rsid w:val="00EC1089"/>
    <w:rsid w:val="00EC141A"/>
    <w:rsid w:val="00EC1F74"/>
    <w:rsid w:val="00EC2295"/>
    <w:rsid w:val="00EC270E"/>
    <w:rsid w:val="00EC29D6"/>
    <w:rsid w:val="00EC2FC0"/>
    <w:rsid w:val="00EC3023"/>
    <w:rsid w:val="00EC34A2"/>
    <w:rsid w:val="00EC3BF5"/>
    <w:rsid w:val="00EC3DD3"/>
    <w:rsid w:val="00EC516C"/>
    <w:rsid w:val="00EC51C6"/>
    <w:rsid w:val="00EC53C8"/>
    <w:rsid w:val="00EC5815"/>
    <w:rsid w:val="00EC58EF"/>
    <w:rsid w:val="00EC5EB9"/>
    <w:rsid w:val="00EC6529"/>
    <w:rsid w:val="00EC663D"/>
    <w:rsid w:val="00EC6BD0"/>
    <w:rsid w:val="00EC6BED"/>
    <w:rsid w:val="00EC6C9C"/>
    <w:rsid w:val="00EC6E71"/>
    <w:rsid w:val="00ED0625"/>
    <w:rsid w:val="00ED0D6D"/>
    <w:rsid w:val="00ED1019"/>
    <w:rsid w:val="00ED1761"/>
    <w:rsid w:val="00ED24BF"/>
    <w:rsid w:val="00ED2874"/>
    <w:rsid w:val="00ED2AC6"/>
    <w:rsid w:val="00ED2B4D"/>
    <w:rsid w:val="00ED2BF1"/>
    <w:rsid w:val="00ED2DF5"/>
    <w:rsid w:val="00ED33F4"/>
    <w:rsid w:val="00ED4546"/>
    <w:rsid w:val="00ED4782"/>
    <w:rsid w:val="00ED48DE"/>
    <w:rsid w:val="00ED503D"/>
    <w:rsid w:val="00ED5A0B"/>
    <w:rsid w:val="00ED5BAB"/>
    <w:rsid w:val="00ED631C"/>
    <w:rsid w:val="00ED6459"/>
    <w:rsid w:val="00ED6742"/>
    <w:rsid w:val="00ED73DE"/>
    <w:rsid w:val="00ED742E"/>
    <w:rsid w:val="00ED7C57"/>
    <w:rsid w:val="00EE0266"/>
    <w:rsid w:val="00EE0320"/>
    <w:rsid w:val="00EE0412"/>
    <w:rsid w:val="00EE1066"/>
    <w:rsid w:val="00EE1551"/>
    <w:rsid w:val="00EE20F2"/>
    <w:rsid w:val="00EE2296"/>
    <w:rsid w:val="00EE23CA"/>
    <w:rsid w:val="00EE2C89"/>
    <w:rsid w:val="00EE3560"/>
    <w:rsid w:val="00EE3726"/>
    <w:rsid w:val="00EE4D67"/>
    <w:rsid w:val="00EE5DD3"/>
    <w:rsid w:val="00EE6208"/>
    <w:rsid w:val="00EE6678"/>
    <w:rsid w:val="00EE6A80"/>
    <w:rsid w:val="00EE6E65"/>
    <w:rsid w:val="00EE6FCF"/>
    <w:rsid w:val="00EE7157"/>
    <w:rsid w:val="00EE743F"/>
    <w:rsid w:val="00EE7A2D"/>
    <w:rsid w:val="00EF099E"/>
    <w:rsid w:val="00EF0D91"/>
    <w:rsid w:val="00EF109C"/>
    <w:rsid w:val="00EF11F7"/>
    <w:rsid w:val="00EF1628"/>
    <w:rsid w:val="00EF21E9"/>
    <w:rsid w:val="00EF3375"/>
    <w:rsid w:val="00EF364A"/>
    <w:rsid w:val="00EF4018"/>
    <w:rsid w:val="00EF413E"/>
    <w:rsid w:val="00EF4A4B"/>
    <w:rsid w:val="00EF4C69"/>
    <w:rsid w:val="00EF4EFB"/>
    <w:rsid w:val="00EF54D7"/>
    <w:rsid w:val="00EF583B"/>
    <w:rsid w:val="00EF5B1C"/>
    <w:rsid w:val="00EF6480"/>
    <w:rsid w:val="00EF6919"/>
    <w:rsid w:val="00EF6E6E"/>
    <w:rsid w:val="00EF781E"/>
    <w:rsid w:val="00EF7ED6"/>
    <w:rsid w:val="00F00419"/>
    <w:rsid w:val="00F01522"/>
    <w:rsid w:val="00F01589"/>
    <w:rsid w:val="00F01D30"/>
    <w:rsid w:val="00F02653"/>
    <w:rsid w:val="00F03306"/>
    <w:rsid w:val="00F03368"/>
    <w:rsid w:val="00F03EB4"/>
    <w:rsid w:val="00F0441B"/>
    <w:rsid w:val="00F0463E"/>
    <w:rsid w:val="00F0494C"/>
    <w:rsid w:val="00F04AAA"/>
    <w:rsid w:val="00F04FA2"/>
    <w:rsid w:val="00F054C0"/>
    <w:rsid w:val="00F05513"/>
    <w:rsid w:val="00F06590"/>
    <w:rsid w:val="00F065BF"/>
    <w:rsid w:val="00F065D3"/>
    <w:rsid w:val="00F0678B"/>
    <w:rsid w:val="00F0681F"/>
    <w:rsid w:val="00F0714E"/>
    <w:rsid w:val="00F074B6"/>
    <w:rsid w:val="00F0753F"/>
    <w:rsid w:val="00F10941"/>
    <w:rsid w:val="00F10C14"/>
    <w:rsid w:val="00F10FCE"/>
    <w:rsid w:val="00F1199D"/>
    <w:rsid w:val="00F12435"/>
    <w:rsid w:val="00F12DF9"/>
    <w:rsid w:val="00F1313B"/>
    <w:rsid w:val="00F1361C"/>
    <w:rsid w:val="00F14284"/>
    <w:rsid w:val="00F144B8"/>
    <w:rsid w:val="00F14EA4"/>
    <w:rsid w:val="00F153B2"/>
    <w:rsid w:val="00F15970"/>
    <w:rsid w:val="00F16141"/>
    <w:rsid w:val="00F16A38"/>
    <w:rsid w:val="00F16D3F"/>
    <w:rsid w:val="00F16E1C"/>
    <w:rsid w:val="00F170E3"/>
    <w:rsid w:val="00F1741E"/>
    <w:rsid w:val="00F17C5A"/>
    <w:rsid w:val="00F20170"/>
    <w:rsid w:val="00F20293"/>
    <w:rsid w:val="00F20323"/>
    <w:rsid w:val="00F203E2"/>
    <w:rsid w:val="00F206E1"/>
    <w:rsid w:val="00F2080B"/>
    <w:rsid w:val="00F2147C"/>
    <w:rsid w:val="00F21956"/>
    <w:rsid w:val="00F21FD9"/>
    <w:rsid w:val="00F2234C"/>
    <w:rsid w:val="00F223C3"/>
    <w:rsid w:val="00F22669"/>
    <w:rsid w:val="00F23316"/>
    <w:rsid w:val="00F23350"/>
    <w:rsid w:val="00F23763"/>
    <w:rsid w:val="00F240A1"/>
    <w:rsid w:val="00F246C4"/>
    <w:rsid w:val="00F24B3D"/>
    <w:rsid w:val="00F24C76"/>
    <w:rsid w:val="00F24E7F"/>
    <w:rsid w:val="00F24F41"/>
    <w:rsid w:val="00F24FBA"/>
    <w:rsid w:val="00F251CB"/>
    <w:rsid w:val="00F257C0"/>
    <w:rsid w:val="00F25AE4"/>
    <w:rsid w:val="00F25B61"/>
    <w:rsid w:val="00F25FC6"/>
    <w:rsid w:val="00F2641D"/>
    <w:rsid w:val="00F26915"/>
    <w:rsid w:val="00F26DD7"/>
    <w:rsid w:val="00F274FA"/>
    <w:rsid w:val="00F2776B"/>
    <w:rsid w:val="00F27C1E"/>
    <w:rsid w:val="00F300A5"/>
    <w:rsid w:val="00F30464"/>
    <w:rsid w:val="00F308E6"/>
    <w:rsid w:val="00F30CBF"/>
    <w:rsid w:val="00F30FF0"/>
    <w:rsid w:val="00F312CC"/>
    <w:rsid w:val="00F31E15"/>
    <w:rsid w:val="00F32C52"/>
    <w:rsid w:val="00F3304D"/>
    <w:rsid w:val="00F333A5"/>
    <w:rsid w:val="00F33BC6"/>
    <w:rsid w:val="00F34028"/>
    <w:rsid w:val="00F3405F"/>
    <w:rsid w:val="00F3410F"/>
    <w:rsid w:val="00F3457B"/>
    <w:rsid w:val="00F3463D"/>
    <w:rsid w:val="00F34709"/>
    <w:rsid w:val="00F350A9"/>
    <w:rsid w:val="00F36531"/>
    <w:rsid w:val="00F372C9"/>
    <w:rsid w:val="00F4005E"/>
    <w:rsid w:val="00F403F4"/>
    <w:rsid w:val="00F4042F"/>
    <w:rsid w:val="00F40D47"/>
    <w:rsid w:val="00F410E5"/>
    <w:rsid w:val="00F410FB"/>
    <w:rsid w:val="00F41621"/>
    <w:rsid w:val="00F4187B"/>
    <w:rsid w:val="00F42447"/>
    <w:rsid w:val="00F427E8"/>
    <w:rsid w:val="00F428F2"/>
    <w:rsid w:val="00F42DFA"/>
    <w:rsid w:val="00F431D1"/>
    <w:rsid w:val="00F43AD0"/>
    <w:rsid w:val="00F43ADF"/>
    <w:rsid w:val="00F44C6C"/>
    <w:rsid w:val="00F44CB8"/>
    <w:rsid w:val="00F44EE9"/>
    <w:rsid w:val="00F44FE7"/>
    <w:rsid w:val="00F45025"/>
    <w:rsid w:val="00F4531A"/>
    <w:rsid w:val="00F45B3F"/>
    <w:rsid w:val="00F45CE7"/>
    <w:rsid w:val="00F45D1A"/>
    <w:rsid w:val="00F467B1"/>
    <w:rsid w:val="00F46F35"/>
    <w:rsid w:val="00F46FDB"/>
    <w:rsid w:val="00F47195"/>
    <w:rsid w:val="00F471AB"/>
    <w:rsid w:val="00F5008F"/>
    <w:rsid w:val="00F5025C"/>
    <w:rsid w:val="00F50784"/>
    <w:rsid w:val="00F5146F"/>
    <w:rsid w:val="00F51BB8"/>
    <w:rsid w:val="00F523DA"/>
    <w:rsid w:val="00F525B3"/>
    <w:rsid w:val="00F52CDF"/>
    <w:rsid w:val="00F52DA7"/>
    <w:rsid w:val="00F531CC"/>
    <w:rsid w:val="00F53E1A"/>
    <w:rsid w:val="00F554B3"/>
    <w:rsid w:val="00F56387"/>
    <w:rsid w:val="00F5642E"/>
    <w:rsid w:val="00F56D15"/>
    <w:rsid w:val="00F572B6"/>
    <w:rsid w:val="00F57A16"/>
    <w:rsid w:val="00F600F3"/>
    <w:rsid w:val="00F6022E"/>
    <w:rsid w:val="00F60E80"/>
    <w:rsid w:val="00F610D7"/>
    <w:rsid w:val="00F6124A"/>
    <w:rsid w:val="00F6126D"/>
    <w:rsid w:val="00F61272"/>
    <w:rsid w:val="00F61ACD"/>
    <w:rsid w:val="00F61B48"/>
    <w:rsid w:val="00F627FF"/>
    <w:rsid w:val="00F62C75"/>
    <w:rsid w:val="00F62CEE"/>
    <w:rsid w:val="00F62F0B"/>
    <w:rsid w:val="00F6417D"/>
    <w:rsid w:val="00F643F0"/>
    <w:rsid w:val="00F645BB"/>
    <w:rsid w:val="00F6464B"/>
    <w:rsid w:val="00F64E62"/>
    <w:rsid w:val="00F65C45"/>
    <w:rsid w:val="00F664D6"/>
    <w:rsid w:val="00F671F5"/>
    <w:rsid w:val="00F67797"/>
    <w:rsid w:val="00F67B05"/>
    <w:rsid w:val="00F67C0C"/>
    <w:rsid w:val="00F703A1"/>
    <w:rsid w:val="00F7064C"/>
    <w:rsid w:val="00F7161D"/>
    <w:rsid w:val="00F717BD"/>
    <w:rsid w:val="00F71D8B"/>
    <w:rsid w:val="00F724E6"/>
    <w:rsid w:val="00F73979"/>
    <w:rsid w:val="00F73D17"/>
    <w:rsid w:val="00F74CFA"/>
    <w:rsid w:val="00F75055"/>
    <w:rsid w:val="00F75405"/>
    <w:rsid w:val="00F7548A"/>
    <w:rsid w:val="00F75594"/>
    <w:rsid w:val="00F76339"/>
    <w:rsid w:val="00F76B79"/>
    <w:rsid w:val="00F7730F"/>
    <w:rsid w:val="00F776A4"/>
    <w:rsid w:val="00F77F38"/>
    <w:rsid w:val="00F8080C"/>
    <w:rsid w:val="00F80868"/>
    <w:rsid w:val="00F80FAD"/>
    <w:rsid w:val="00F8130A"/>
    <w:rsid w:val="00F8138E"/>
    <w:rsid w:val="00F81DAF"/>
    <w:rsid w:val="00F820BF"/>
    <w:rsid w:val="00F824FF"/>
    <w:rsid w:val="00F8273B"/>
    <w:rsid w:val="00F82BF9"/>
    <w:rsid w:val="00F82CBE"/>
    <w:rsid w:val="00F83FCA"/>
    <w:rsid w:val="00F8419D"/>
    <w:rsid w:val="00F844F8"/>
    <w:rsid w:val="00F84753"/>
    <w:rsid w:val="00F84B93"/>
    <w:rsid w:val="00F855B3"/>
    <w:rsid w:val="00F85662"/>
    <w:rsid w:val="00F85BB6"/>
    <w:rsid w:val="00F85C20"/>
    <w:rsid w:val="00F85C73"/>
    <w:rsid w:val="00F86245"/>
    <w:rsid w:val="00F86686"/>
    <w:rsid w:val="00F86F4F"/>
    <w:rsid w:val="00F8775F"/>
    <w:rsid w:val="00F877D0"/>
    <w:rsid w:val="00F87BBF"/>
    <w:rsid w:val="00F905CB"/>
    <w:rsid w:val="00F908BC"/>
    <w:rsid w:val="00F90CC4"/>
    <w:rsid w:val="00F90E31"/>
    <w:rsid w:val="00F90F4E"/>
    <w:rsid w:val="00F91B02"/>
    <w:rsid w:val="00F91BA5"/>
    <w:rsid w:val="00F91BDC"/>
    <w:rsid w:val="00F91D25"/>
    <w:rsid w:val="00F92138"/>
    <w:rsid w:val="00F9227B"/>
    <w:rsid w:val="00F923BE"/>
    <w:rsid w:val="00F92E19"/>
    <w:rsid w:val="00F93227"/>
    <w:rsid w:val="00F93566"/>
    <w:rsid w:val="00F935DA"/>
    <w:rsid w:val="00F93D7A"/>
    <w:rsid w:val="00F94CBA"/>
    <w:rsid w:val="00F954A0"/>
    <w:rsid w:val="00F95686"/>
    <w:rsid w:val="00F95DA8"/>
    <w:rsid w:val="00F96268"/>
    <w:rsid w:val="00F96994"/>
    <w:rsid w:val="00F972EC"/>
    <w:rsid w:val="00F9734C"/>
    <w:rsid w:val="00F97CC0"/>
    <w:rsid w:val="00FA13C9"/>
    <w:rsid w:val="00FA1466"/>
    <w:rsid w:val="00FA1BBC"/>
    <w:rsid w:val="00FA20D0"/>
    <w:rsid w:val="00FA21D2"/>
    <w:rsid w:val="00FA22CE"/>
    <w:rsid w:val="00FA23DC"/>
    <w:rsid w:val="00FA2ADD"/>
    <w:rsid w:val="00FA2BFB"/>
    <w:rsid w:val="00FA3669"/>
    <w:rsid w:val="00FA3746"/>
    <w:rsid w:val="00FA3A79"/>
    <w:rsid w:val="00FA3C6C"/>
    <w:rsid w:val="00FA3FBC"/>
    <w:rsid w:val="00FA48BF"/>
    <w:rsid w:val="00FA4DB3"/>
    <w:rsid w:val="00FA4E14"/>
    <w:rsid w:val="00FA5518"/>
    <w:rsid w:val="00FA5BFB"/>
    <w:rsid w:val="00FA5DDC"/>
    <w:rsid w:val="00FA600C"/>
    <w:rsid w:val="00FA613E"/>
    <w:rsid w:val="00FA616E"/>
    <w:rsid w:val="00FA6E44"/>
    <w:rsid w:val="00FA6F56"/>
    <w:rsid w:val="00FA719B"/>
    <w:rsid w:val="00FA7547"/>
    <w:rsid w:val="00FA7D12"/>
    <w:rsid w:val="00FB0424"/>
    <w:rsid w:val="00FB094C"/>
    <w:rsid w:val="00FB12B9"/>
    <w:rsid w:val="00FB2A69"/>
    <w:rsid w:val="00FB3B24"/>
    <w:rsid w:val="00FB41DF"/>
    <w:rsid w:val="00FB45A7"/>
    <w:rsid w:val="00FB46AB"/>
    <w:rsid w:val="00FB4906"/>
    <w:rsid w:val="00FB4A0C"/>
    <w:rsid w:val="00FB5C66"/>
    <w:rsid w:val="00FB60A7"/>
    <w:rsid w:val="00FB668A"/>
    <w:rsid w:val="00FB75AB"/>
    <w:rsid w:val="00FB7674"/>
    <w:rsid w:val="00FC0E03"/>
    <w:rsid w:val="00FC10E5"/>
    <w:rsid w:val="00FC118E"/>
    <w:rsid w:val="00FC17B1"/>
    <w:rsid w:val="00FC1F26"/>
    <w:rsid w:val="00FC2140"/>
    <w:rsid w:val="00FC21BC"/>
    <w:rsid w:val="00FC2469"/>
    <w:rsid w:val="00FC2F12"/>
    <w:rsid w:val="00FC343C"/>
    <w:rsid w:val="00FC3942"/>
    <w:rsid w:val="00FC3A6F"/>
    <w:rsid w:val="00FC3ADE"/>
    <w:rsid w:val="00FC426A"/>
    <w:rsid w:val="00FC4950"/>
    <w:rsid w:val="00FC4B3D"/>
    <w:rsid w:val="00FC4E5D"/>
    <w:rsid w:val="00FC5507"/>
    <w:rsid w:val="00FC60A7"/>
    <w:rsid w:val="00FC622A"/>
    <w:rsid w:val="00FC6F49"/>
    <w:rsid w:val="00FC6FD8"/>
    <w:rsid w:val="00FC7727"/>
    <w:rsid w:val="00FD0546"/>
    <w:rsid w:val="00FD0628"/>
    <w:rsid w:val="00FD0926"/>
    <w:rsid w:val="00FD1554"/>
    <w:rsid w:val="00FD19CE"/>
    <w:rsid w:val="00FD1FDF"/>
    <w:rsid w:val="00FD2ABB"/>
    <w:rsid w:val="00FD2D65"/>
    <w:rsid w:val="00FD2EC7"/>
    <w:rsid w:val="00FD35AB"/>
    <w:rsid w:val="00FD3657"/>
    <w:rsid w:val="00FD49C1"/>
    <w:rsid w:val="00FD63F3"/>
    <w:rsid w:val="00FD66CD"/>
    <w:rsid w:val="00FD6752"/>
    <w:rsid w:val="00FD684D"/>
    <w:rsid w:val="00FD732C"/>
    <w:rsid w:val="00FD79D9"/>
    <w:rsid w:val="00FD7BE8"/>
    <w:rsid w:val="00FE0E43"/>
    <w:rsid w:val="00FE1073"/>
    <w:rsid w:val="00FE1475"/>
    <w:rsid w:val="00FE1FD5"/>
    <w:rsid w:val="00FE211B"/>
    <w:rsid w:val="00FE2A06"/>
    <w:rsid w:val="00FE32D6"/>
    <w:rsid w:val="00FE4695"/>
    <w:rsid w:val="00FE4B23"/>
    <w:rsid w:val="00FE4CDC"/>
    <w:rsid w:val="00FE524C"/>
    <w:rsid w:val="00FE5578"/>
    <w:rsid w:val="00FE56AC"/>
    <w:rsid w:val="00FE625F"/>
    <w:rsid w:val="00FE64B4"/>
    <w:rsid w:val="00FE7FE8"/>
    <w:rsid w:val="00FF0104"/>
    <w:rsid w:val="00FF1006"/>
    <w:rsid w:val="00FF1193"/>
    <w:rsid w:val="00FF1B34"/>
    <w:rsid w:val="00FF2039"/>
    <w:rsid w:val="00FF2133"/>
    <w:rsid w:val="00FF234E"/>
    <w:rsid w:val="00FF2B1C"/>
    <w:rsid w:val="00FF30C2"/>
    <w:rsid w:val="00FF31BB"/>
    <w:rsid w:val="00FF367E"/>
    <w:rsid w:val="00FF3999"/>
    <w:rsid w:val="00FF3D00"/>
    <w:rsid w:val="00FF3F0A"/>
    <w:rsid w:val="00FF4945"/>
    <w:rsid w:val="00FF590A"/>
    <w:rsid w:val="00FF621B"/>
    <w:rsid w:val="00FF6452"/>
    <w:rsid w:val="00FF6AE1"/>
    <w:rsid w:val="00FF6B0A"/>
    <w:rsid w:val="00FF7159"/>
    <w:rsid w:val="00FF7232"/>
    <w:rsid w:val="00FF7888"/>
    <w:rsid w:val="00FF7ADF"/>
    <w:rsid w:val="01010408"/>
    <w:rsid w:val="010D1B04"/>
    <w:rsid w:val="01182E5E"/>
    <w:rsid w:val="014E1D9C"/>
    <w:rsid w:val="014E74CE"/>
    <w:rsid w:val="01A44E05"/>
    <w:rsid w:val="01C950CF"/>
    <w:rsid w:val="01D0713D"/>
    <w:rsid w:val="01E2096B"/>
    <w:rsid w:val="020948F0"/>
    <w:rsid w:val="022A41BD"/>
    <w:rsid w:val="022A726D"/>
    <w:rsid w:val="02400466"/>
    <w:rsid w:val="0240076B"/>
    <w:rsid w:val="02592ED3"/>
    <w:rsid w:val="027235C6"/>
    <w:rsid w:val="02734792"/>
    <w:rsid w:val="028A6A7F"/>
    <w:rsid w:val="028F4A0E"/>
    <w:rsid w:val="02BD5424"/>
    <w:rsid w:val="02C372DA"/>
    <w:rsid w:val="02D2752A"/>
    <w:rsid w:val="02E306BB"/>
    <w:rsid w:val="031F7BD4"/>
    <w:rsid w:val="033E3951"/>
    <w:rsid w:val="0376146E"/>
    <w:rsid w:val="03A24B3D"/>
    <w:rsid w:val="03BF4015"/>
    <w:rsid w:val="03CB4DA1"/>
    <w:rsid w:val="03CC5E9B"/>
    <w:rsid w:val="03F60609"/>
    <w:rsid w:val="0406315B"/>
    <w:rsid w:val="04152C7F"/>
    <w:rsid w:val="042428BE"/>
    <w:rsid w:val="0457632B"/>
    <w:rsid w:val="048E2D7E"/>
    <w:rsid w:val="04961737"/>
    <w:rsid w:val="04A266D7"/>
    <w:rsid w:val="04A94609"/>
    <w:rsid w:val="04AB79F6"/>
    <w:rsid w:val="04AC3195"/>
    <w:rsid w:val="04F72AA5"/>
    <w:rsid w:val="04FA2030"/>
    <w:rsid w:val="05005AEC"/>
    <w:rsid w:val="053B19B8"/>
    <w:rsid w:val="056C0F61"/>
    <w:rsid w:val="056F2664"/>
    <w:rsid w:val="058E5378"/>
    <w:rsid w:val="05B51880"/>
    <w:rsid w:val="05EB2576"/>
    <w:rsid w:val="05ED4C45"/>
    <w:rsid w:val="0602632F"/>
    <w:rsid w:val="06090B04"/>
    <w:rsid w:val="06177710"/>
    <w:rsid w:val="062D7A9E"/>
    <w:rsid w:val="06645407"/>
    <w:rsid w:val="06982D53"/>
    <w:rsid w:val="06A7361C"/>
    <w:rsid w:val="06B111DE"/>
    <w:rsid w:val="06C13682"/>
    <w:rsid w:val="06CB566C"/>
    <w:rsid w:val="07106873"/>
    <w:rsid w:val="07190AB8"/>
    <w:rsid w:val="07547E58"/>
    <w:rsid w:val="07683F41"/>
    <w:rsid w:val="07796893"/>
    <w:rsid w:val="07AC1341"/>
    <w:rsid w:val="07AE2415"/>
    <w:rsid w:val="07CB2743"/>
    <w:rsid w:val="08313CE6"/>
    <w:rsid w:val="08345A39"/>
    <w:rsid w:val="08C72DD2"/>
    <w:rsid w:val="094952B9"/>
    <w:rsid w:val="0985356F"/>
    <w:rsid w:val="09CB3C76"/>
    <w:rsid w:val="09D22855"/>
    <w:rsid w:val="0A0645AE"/>
    <w:rsid w:val="0A07110A"/>
    <w:rsid w:val="0A181BE2"/>
    <w:rsid w:val="0A1C72DC"/>
    <w:rsid w:val="0A2D04B6"/>
    <w:rsid w:val="0A380E25"/>
    <w:rsid w:val="0A715EB2"/>
    <w:rsid w:val="0A871636"/>
    <w:rsid w:val="0A9457B6"/>
    <w:rsid w:val="0ABB6AD4"/>
    <w:rsid w:val="0AC83B84"/>
    <w:rsid w:val="0AD72BEA"/>
    <w:rsid w:val="0ADE34B6"/>
    <w:rsid w:val="0B1227DE"/>
    <w:rsid w:val="0B223116"/>
    <w:rsid w:val="0B302FFB"/>
    <w:rsid w:val="0B5D3A8D"/>
    <w:rsid w:val="0B6939EF"/>
    <w:rsid w:val="0B705727"/>
    <w:rsid w:val="0B7802A7"/>
    <w:rsid w:val="0B7D412A"/>
    <w:rsid w:val="0B990439"/>
    <w:rsid w:val="0BDA132E"/>
    <w:rsid w:val="0BE02F1D"/>
    <w:rsid w:val="0BE74AA2"/>
    <w:rsid w:val="0C0235CF"/>
    <w:rsid w:val="0C421E32"/>
    <w:rsid w:val="0C6D2E47"/>
    <w:rsid w:val="0C70680B"/>
    <w:rsid w:val="0C774C5E"/>
    <w:rsid w:val="0CAA3477"/>
    <w:rsid w:val="0CB40335"/>
    <w:rsid w:val="0CB645CC"/>
    <w:rsid w:val="0CBF0AF4"/>
    <w:rsid w:val="0CD13630"/>
    <w:rsid w:val="0D391E83"/>
    <w:rsid w:val="0D5B5533"/>
    <w:rsid w:val="0D630173"/>
    <w:rsid w:val="0D735E74"/>
    <w:rsid w:val="0DD73809"/>
    <w:rsid w:val="0DDD2C05"/>
    <w:rsid w:val="0E012A71"/>
    <w:rsid w:val="0E7406FE"/>
    <w:rsid w:val="0E93368C"/>
    <w:rsid w:val="0EC73979"/>
    <w:rsid w:val="0ECA47C9"/>
    <w:rsid w:val="0EFC06C6"/>
    <w:rsid w:val="0F362943"/>
    <w:rsid w:val="0F3966E9"/>
    <w:rsid w:val="0F3B1476"/>
    <w:rsid w:val="0F465E8A"/>
    <w:rsid w:val="0F46796D"/>
    <w:rsid w:val="0F8B3FA3"/>
    <w:rsid w:val="0F952A90"/>
    <w:rsid w:val="0FAA0772"/>
    <w:rsid w:val="0FDE7567"/>
    <w:rsid w:val="0FE00754"/>
    <w:rsid w:val="0FEC65BB"/>
    <w:rsid w:val="10375562"/>
    <w:rsid w:val="1066352A"/>
    <w:rsid w:val="1093704A"/>
    <w:rsid w:val="109D405D"/>
    <w:rsid w:val="10CE5DDE"/>
    <w:rsid w:val="10DF60E9"/>
    <w:rsid w:val="10E41F09"/>
    <w:rsid w:val="112A0357"/>
    <w:rsid w:val="112F5B47"/>
    <w:rsid w:val="114A4AB8"/>
    <w:rsid w:val="11640B4C"/>
    <w:rsid w:val="119E2BBE"/>
    <w:rsid w:val="11BC0106"/>
    <w:rsid w:val="1201596E"/>
    <w:rsid w:val="120C60CF"/>
    <w:rsid w:val="12141777"/>
    <w:rsid w:val="121A2F40"/>
    <w:rsid w:val="122F6075"/>
    <w:rsid w:val="126A11B6"/>
    <w:rsid w:val="12A829B4"/>
    <w:rsid w:val="12EE5E3F"/>
    <w:rsid w:val="131D6AF2"/>
    <w:rsid w:val="131E47E0"/>
    <w:rsid w:val="13320E81"/>
    <w:rsid w:val="134D3BF6"/>
    <w:rsid w:val="134D624E"/>
    <w:rsid w:val="13795169"/>
    <w:rsid w:val="14005B15"/>
    <w:rsid w:val="148717FE"/>
    <w:rsid w:val="149258DF"/>
    <w:rsid w:val="14DE001E"/>
    <w:rsid w:val="14FA5A20"/>
    <w:rsid w:val="151928A2"/>
    <w:rsid w:val="15216FEE"/>
    <w:rsid w:val="15690351"/>
    <w:rsid w:val="156A01E2"/>
    <w:rsid w:val="15B73A91"/>
    <w:rsid w:val="15CE592F"/>
    <w:rsid w:val="15E20CFD"/>
    <w:rsid w:val="15E253FC"/>
    <w:rsid w:val="15F76DBE"/>
    <w:rsid w:val="164527A7"/>
    <w:rsid w:val="165A138C"/>
    <w:rsid w:val="16B27F7B"/>
    <w:rsid w:val="16BC52A1"/>
    <w:rsid w:val="16D1706B"/>
    <w:rsid w:val="16DE3C9C"/>
    <w:rsid w:val="16F009B2"/>
    <w:rsid w:val="16F55DB6"/>
    <w:rsid w:val="17156550"/>
    <w:rsid w:val="175D708B"/>
    <w:rsid w:val="176D7BB6"/>
    <w:rsid w:val="178337F7"/>
    <w:rsid w:val="17A24B8B"/>
    <w:rsid w:val="17A92BDF"/>
    <w:rsid w:val="17B80C3F"/>
    <w:rsid w:val="17C0020D"/>
    <w:rsid w:val="17D02297"/>
    <w:rsid w:val="17DE319F"/>
    <w:rsid w:val="18EC3736"/>
    <w:rsid w:val="18F94ABF"/>
    <w:rsid w:val="19726D47"/>
    <w:rsid w:val="19853E9B"/>
    <w:rsid w:val="19EA7EC8"/>
    <w:rsid w:val="1A20037A"/>
    <w:rsid w:val="1A6D6D72"/>
    <w:rsid w:val="1AA555D7"/>
    <w:rsid w:val="1AAC2C9F"/>
    <w:rsid w:val="1AC75043"/>
    <w:rsid w:val="1AD8421D"/>
    <w:rsid w:val="1AF95B35"/>
    <w:rsid w:val="1B3028B8"/>
    <w:rsid w:val="1B442715"/>
    <w:rsid w:val="1BB6118D"/>
    <w:rsid w:val="1BEF07D4"/>
    <w:rsid w:val="1C352D96"/>
    <w:rsid w:val="1C501327"/>
    <w:rsid w:val="1C6D1A0A"/>
    <w:rsid w:val="1C9020B1"/>
    <w:rsid w:val="1CA532F6"/>
    <w:rsid w:val="1CBD6724"/>
    <w:rsid w:val="1D212D98"/>
    <w:rsid w:val="1D304E6F"/>
    <w:rsid w:val="1DA10BCC"/>
    <w:rsid w:val="1DB4658B"/>
    <w:rsid w:val="1DD16229"/>
    <w:rsid w:val="1DDF0627"/>
    <w:rsid w:val="1E0D490E"/>
    <w:rsid w:val="1E135A4A"/>
    <w:rsid w:val="1E644840"/>
    <w:rsid w:val="1E6C4797"/>
    <w:rsid w:val="1EA13D71"/>
    <w:rsid w:val="1ED20010"/>
    <w:rsid w:val="1EE81746"/>
    <w:rsid w:val="1F57716E"/>
    <w:rsid w:val="1FE34919"/>
    <w:rsid w:val="1FE66299"/>
    <w:rsid w:val="1FFA06EC"/>
    <w:rsid w:val="20073814"/>
    <w:rsid w:val="200F3E0F"/>
    <w:rsid w:val="20487AD4"/>
    <w:rsid w:val="20550841"/>
    <w:rsid w:val="20D23F3B"/>
    <w:rsid w:val="20E60788"/>
    <w:rsid w:val="20E97A70"/>
    <w:rsid w:val="20FB14A6"/>
    <w:rsid w:val="21212036"/>
    <w:rsid w:val="219E6732"/>
    <w:rsid w:val="21C96383"/>
    <w:rsid w:val="21F55AFB"/>
    <w:rsid w:val="21FB6D72"/>
    <w:rsid w:val="22223255"/>
    <w:rsid w:val="222255EE"/>
    <w:rsid w:val="22254252"/>
    <w:rsid w:val="223C0506"/>
    <w:rsid w:val="22A11139"/>
    <w:rsid w:val="22EF0077"/>
    <w:rsid w:val="22FA455C"/>
    <w:rsid w:val="22FA5EFB"/>
    <w:rsid w:val="23400AFA"/>
    <w:rsid w:val="23474117"/>
    <w:rsid w:val="237B40C5"/>
    <w:rsid w:val="238E2EA5"/>
    <w:rsid w:val="23EC2539"/>
    <w:rsid w:val="241039AF"/>
    <w:rsid w:val="24270FD7"/>
    <w:rsid w:val="24471719"/>
    <w:rsid w:val="245B0DC7"/>
    <w:rsid w:val="24762EA3"/>
    <w:rsid w:val="24794225"/>
    <w:rsid w:val="248A1438"/>
    <w:rsid w:val="24952EE9"/>
    <w:rsid w:val="24C65EFF"/>
    <w:rsid w:val="24D3509F"/>
    <w:rsid w:val="24FE575D"/>
    <w:rsid w:val="255D4793"/>
    <w:rsid w:val="2561060F"/>
    <w:rsid w:val="25BC7A80"/>
    <w:rsid w:val="25EB4426"/>
    <w:rsid w:val="25F75A5E"/>
    <w:rsid w:val="26144CAD"/>
    <w:rsid w:val="26292826"/>
    <w:rsid w:val="26B8122D"/>
    <w:rsid w:val="26D37290"/>
    <w:rsid w:val="273E7AAD"/>
    <w:rsid w:val="275814D8"/>
    <w:rsid w:val="276A6DDC"/>
    <w:rsid w:val="276E36CF"/>
    <w:rsid w:val="27715902"/>
    <w:rsid w:val="27885F04"/>
    <w:rsid w:val="27AF41C0"/>
    <w:rsid w:val="27B96E8B"/>
    <w:rsid w:val="2851008E"/>
    <w:rsid w:val="28BC09DF"/>
    <w:rsid w:val="290121F2"/>
    <w:rsid w:val="291F6159"/>
    <w:rsid w:val="29221527"/>
    <w:rsid w:val="29715599"/>
    <w:rsid w:val="298E5547"/>
    <w:rsid w:val="2A14061E"/>
    <w:rsid w:val="2A140BC1"/>
    <w:rsid w:val="2A1700E0"/>
    <w:rsid w:val="2A183790"/>
    <w:rsid w:val="2A9E76C3"/>
    <w:rsid w:val="2AB117A9"/>
    <w:rsid w:val="2AB92320"/>
    <w:rsid w:val="2AE11A00"/>
    <w:rsid w:val="2B3C1862"/>
    <w:rsid w:val="2B4265B2"/>
    <w:rsid w:val="2B4C7E26"/>
    <w:rsid w:val="2B7832F0"/>
    <w:rsid w:val="2BA87956"/>
    <w:rsid w:val="2BAA76C7"/>
    <w:rsid w:val="2BD501A2"/>
    <w:rsid w:val="2C1B330C"/>
    <w:rsid w:val="2C376E65"/>
    <w:rsid w:val="2C597DA9"/>
    <w:rsid w:val="2C5F0588"/>
    <w:rsid w:val="2C69054A"/>
    <w:rsid w:val="2C6C2C3F"/>
    <w:rsid w:val="2C92742C"/>
    <w:rsid w:val="2CD52510"/>
    <w:rsid w:val="2CDB5960"/>
    <w:rsid w:val="2CFC5935"/>
    <w:rsid w:val="2D220523"/>
    <w:rsid w:val="2D335410"/>
    <w:rsid w:val="2D4841F5"/>
    <w:rsid w:val="2DC55609"/>
    <w:rsid w:val="2DF75DC8"/>
    <w:rsid w:val="2E100B4B"/>
    <w:rsid w:val="2E6D014D"/>
    <w:rsid w:val="2E73512F"/>
    <w:rsid w:val="2E970111"/>
    <w:rsid w:val="2E991530"/>
    <w:rsid w:val="2E9E4BC5"/>
    <w:rsid w:val="2EEE7E52"/>
    <w:rsid w:val="2F2F0026"/>
    <w:rsid w:val="2F3A04E6"/>
    <w:rsid w:val="2F5C659D"/>
    <w:rsid w:val="2F7776AF"/>
    <w:rsid w:val="2FE80D3A"/>
    <w:rsid w:val="2FEA3A3B"/>
    <w:rsid w:val="300E2888"/>
    <w:rsid w:val="301866A3"/>
    <w:rsid w:val="306B0E0D"/>
    <w:rsid w:val="306B6480"/>
    <w:rsid w:val="30AC0D57"/>
    <w:rsid w:val="30E30461"/>
    <w:rsid w:val="30E768B4"/>
    <w:rsid w:val="311F70CC"/>
    <w:rsid w:val="31BD54CB"/>
    <w:rsid w:val="31C34C37"/>
    <w:rsid w:val="31E81126"/>
    <w:rsid w:val="31EE459A"/>
    <w:rsid w:val="320614BC"/>
    <w:rsid w:val="32BD7998"/>
    <w:rsid w:val="32FE451E"/>
    <w:rsid w:val="330357FB"/>
    <w:rsid w:val="332C15EA"/>
    <w:rsid w:val="332D5A6D"/>
    <w:rsid w:val="33A801A0"/>
    <w:rsid w:val="33B907A4"/>
    <w:rsid w:val="33CE1896"/>
    <w:rsid w:val="340034B9"/>
    <w:rsid w:val="3417149F"/>
    <w:rsid w:val="34450838"/>
    <w:rsid w:val="34646C1D"/>
    <w:rsid w:val="346717AC"/>
    <w:rsid w:val="3484598E"/>
    <w:rsid w:val="34AA14EA"/>
    <w:rsid w:val="34F54209"/>
    <w:rsid w:val="350D5FDF"/>
    <w:rsid w:val="353C7B57"/>
    <w:rsid w:val="35773495"/>
    <w:rsid w:val="357B256B"/>
    <w:rsid w:val="35B52124"/>
    <w:rsid w:val="35B853A4"/>
    <w:rsid w:val="35CC2E86"/>
    <w:rsid w:val="35EB5C2E"/>
    <w:rsid w:val="35FE393A"/>
    <w:rsid w:val="361D638B"/>
    <w:rsid w:val="3622085A"/>
    <w:rsid w:val="36490DA9"/>
    <w:rsid w:val="36776E8E"/>
    <w:rsid w:val="367B1666"/>
    <w:rsid w:val="36802507"/>
    <w:rsid w:val="368C0E49"/>
    <w:rsid w:val="36E62CF6"/>
    <w:rsid w:val="36FF5FD0"/>
    <w:rsid w:val="372D1B10"/>
    <w:rsid w:val="376110AC"/>
    <w:rsid w:val="378A674E"/>
    <w:rsid w:val="37C151AF"/>
    <w:rsid w:val="37D95811"/>
    <w:rsid w:val="37E10504"/>
    <w:rsid w:val="380648BE"/>
    <w:rsid w:val="38622589"/>
    <w:rsid w:val="38631B69"/>
    <w:rsid w:val="38C05D05"/>
    <w:rsid w:val="38E450B7"/>
    <w:rsid w:val="39046F02"/>
    <w:rsid w:val="396633A6"/>
    <w:rsid w:val="39BA679D"/>
    <w:rsid w:val="39F60BE3"/>
    <w:rsid w:val="3A212AF0"/>
    <w:rsid w:val="3A4D7445"/>
    <w:rsid w:val="3A561869"/>
    <w:rsid w:val="3A5B1D66"/>
    <w:rsid w:val="3A7D2FD1"/>
    <w:rsid w:val="3AAB7A6C"/>
    <w:rsid w:val="3AAD1165"/>
    <w:rsid w:val="3AC40926"/>
    <w:rsid w:val="3B5D177B"/>
    <w:rsid w:val="3B801765"/>
    <w:rsid w:val="3BAE1E3E"/>
    <w:rsid w:val="3BE7043B"/>
    <w:rsid w:val="3C1122D3"/>
    <w:rsid w:val="3C1D0ED3"/>
    <w:rsid w:val="3C2238EA"/>
    <w:rsid w:val="3C5255AE"/>
    <w:rsid w:val="3C552759"/>
    <w:rsid w:val="3C8B3CCA"/>
    <w:rsid w:val="3CB81FDC"/>
    <w:rsid w:val="3CBB7432"/>
    <w:rsid w:val="3D9D5126"/>
    <w:rsid w:val="3DA829B8"/>
    <w:rsid w:val="3DE95BB2"/>
    <w:rsid w:val="3E05537C"/>
    <w:rsid w:val="3E065B07"/>
    <w:rsid w:val="3E483E0D"/>
    <w:rsid w:val="3E6A7128"/>
    <w:rsid w:val="3E6C2B37"/>
    <w:rsid w:val="3E702AE1"/>
    <w:rsid w:val="3E897D02"/>
    <w:rsid w:val="3EDD4B9B"/>
    <w:rsid w:val="3EF86C35"/>
    <w:rsid w:val="3EFA165E"/>
    <w:rsid w:val="3F107813"/>
    <w:rsid w:val="3FBD23C4"/>
    <w:rsid w:val="3FC01028"/>
    <w:rsid w:val="3FD24D96"/>
    <w:rsid w:val="400566FC"/>
    <w:rsid w:val="402D3A71"/>
    <w:rsid w:val="405A2D7A"/>
    <w:rsid w:val="4094568C"/>
    <w:rsid w:val="40BE1C67"/>
    <w:rsid w:val="41073DB4"/>
    <w:rsid w:val="413D5105"/>
    <w:rsid w:val="415C494F"/>
    <w:rsid w:val="415C62C2"/>
    <w:rsid w:val="41840D6B"/>
    <w:rsid w:val="41865404"/>
    <w:rsid w:val="419F3310"/>
    <w:rsid w:val="420C1254"/>
    <w:rsid w:val="420E4AFC"/>
    <w:rsid w:val="42676199"/>
    <w:rsid w:val="429C1214"/>
    <w:rsid w:val="429E5B86"/>
    <w:rsid w:val="42C574B9"/>
    <w:rsid w:val="42D41217"/>
    <w:rsid w:val="42F02111"/>
    <w:rsid w:val="43031CC9"/>
    <w:rsid w:val="43323CDF"/>
    <w:rsid w:val="43510168"/>
    <w:rsid w:val="43555EFA"/>
    <w:rsid w:val="43575CFF"/>
    <w:rsid w:val="437B74A7"/>
    <w:rsid w:val="43BF14BB"/>
    <w:rsid w:val="43E225F0"/>
    <w:rsid w:val="43FA1B29"/>
    <w:rsid w:val="44156C3B"/>
    <w:rsid w:val="44624AA1"/>
    <w:rsid w:val="44C00711"/>
    <w:rsid w:val="44D76F56"/>
    <w:rsid w:val="44E440AB"/>
    <w:rsid w:val="44EB1C9C"/>
    <w:rsid w:val="45276294"/>
    <w:rsid w:val="452B6A14"/>
    <w:rsid w:val="455C0FBA"/>
    <w:rsid w:val="457C66D7"/>
    <w:rsid w:val="45875DC3"/>
    <w:rsid w:val="45AF0EAA"/>
    <w:rsid w:val="45BF119E"/>
    <w:rsid w:val="45C142B9"/>
    <w:rsid w:val="45C33064"/>
    <w:rsid w:val="45FE74CC"/>
    <w:rsid w:val="46042D87"/>
    <w:rsid w:val="46253BFF"/>
    <w:rsid w:val="46394548"/>
    <w:rsid w:val="466971E8"/>
    <w:rsid w:val="46B15DD6"/>
    <w:rsid w:val="46D52CEC"/>
    <w:rsid w:val="46D5581E"/>
    <w:rsid w:val="47105E2E"/>
    <w:rsid w:val="471C4450"/>
    <w:rsid w:val="4733065F"/>
    <w:rsid w:val="473A4323"/>
    <w:rsid w:val="479F20DF"/>
    <w:rsid w:val="47A2223C"/>
    <w:rsid w:val="47C842D9"/>
    <w:rsid w:val="47CA7BE2"/>
    <w:rsid w:val="47D64298"/>
    <w:rsid w:val="480D5F98"/>
    <w:rsid w:val="48E24A2D"/>
    <w:rsid w:val="49050671"/>
    <w:rsid w:val="49303ABF"/>
    <w:rsid w:val="495E2713"/>
    <w:rsid w:val="495F4CF7"/>
    <w:rsid w:val="4961179E"/>
    <w:rsid w:val="49627253"/>
    <w:rsid w:val="496D27B9"/>
    <w:rsid w:val="49A3023C"/>
    <w:rsid w:val="49AA4ED1"/>
    <w:rsid w:val="49B403C9"/>
    <w:rsid w:val="49D539BF"/>
    <w:rsid w:val="4A7E0248"/>
    <w:rsid w:val="4A897CBA"/>
    <w:rsid w:val="4AB96246"/>
    <w:rsid w:val="4AE40761"/>
    <w:rsid w:val="4B1C3B3E"/>
    <w:rsid w:val="4B2041FF"/>
    <w:rsid w:val="4B4D0D17"/>
    <w:rsid w:val="4B5D0F92"/>
    <w:rsid w:val="4B665795"/>
    <w:rsid w:val="4BA61FD0"/>
    <w:rsid w:val="4C011DC3"/>
    <w:rsid w:val="4C820041"/>
    <w:rsid w:val="4C8A3F5F"/>
    <w:rsid w:val="4CC6078A"/>
    <w:rsid w:val="4CCC6ED9"/>
    <w:rsid w:val="4CF42446"/>
    <w:rsid w:val="4D441E7A"/>
    <w:rsid w:val="4D4F4C0B"/>
    <w:rsid w:val="4DC4703C"/>
    <w:rsid w:val="4E122F4D"/>
    <w:rsid w:val="4E142D8E"/>
    <w:rsid w:val="4E495A30"/>
    <w:rsid w:val="4E7C2C94"/>
    <w:rsid w:val="4E90653B"/>
    <w:rsid w:val="4E9C0379"/>
    <w:rsid w:val="4EF47AB5"/>
    <w:rsid w:val="4F770BFB"/>
    <w:rsid w:val="4F7F03FE"/>
    <w:rsid w:val="4F9428EE"/>
    <w:rsid w:val="4FA631E9"/>
    <w:rsid w:val="5016761C"/>
    <w:rsid w:val="50232B63"/>
    <w:rsid w:val="50240C16"/>
    <w:rsid w:val="503F4DC3"/>
    <w:rsid w:val="509B2C09"/>
    <w:rsid w:val="50A55B0B"/>
    <w:rsid w:val="50A744DD"/>
    <w:rsid w:val="50E420FC"/>
    <w:rsid w:val="51322CE6"/>
    <w:rsid w:val="52054E78"/>
    <w:rsid w:val="520E2C38"/>
    <w:rsid w:val="521124B9"/>
    <w:rsid w:val="5224116C"/>
    <w:rsid w:val="522559E0"/>
    <w:rsid w:val="523670E9"/>
    <w:rsid w:val="5241641A"/>
    <w:rsid w:val="525E1BD5"/>
    <w:rsid w:val="52A772D3"/>
    <w:rsid w:val="52BB49E4"/>
    <w:rsid w:val="52E034C9"/>
    <w:rsid w:val="533E0993"/>
    <w:rsid w:val="535575A3"/>
    <w:rsid w:val="536B2EAE"/>
    <w:rsid w:val="536E1662"/>
    <w:rsid w:val="53DF5BDE"/>
    <w:rsid w:val="54024997"/>
    <w:rsid w:val="54186F2E"/>
    <w:rsid w:val="54B40BFC"/>
    <w:rsid w:val="54BD480F"/>
    <w:rsid w:val="54C324AA"/>
    <w:rsid w:val="55015561"/>
    <w:rsid w:val="550E5443"/>
    <w:rsid w:val="55647361"/>
    <w:rsid w:val="55721EB7"/>
    <w:rsid w:val="558233A3"/>
    <w:rsid w:val="559D209C"/>
    <w:rsid w:val="55C33EE3"/>
    <w:rsid w:val="55D34926"/>
    <w:rsid w:val="55F062E2"/>
    <w:rsid w:val="55F66530"/>
    <w:rsid w:val="562447C1"/>
    <w:rsid w:val="56262467"/>
    <w:rsid w:val="568C0A9C"/>
    <w:rsid w:val="56A47E66"/>
    <w:rsid w:val="56CC2716"/>
    <w:rsid w:val="56EF77B0"/>
    <w:rsid w:val="57374C02"/>
    <w:rsid w:val="574F3070"/>
    <w:rsid w:val="578E2989"/>
    <w:rsid w:val="57AA18CB"/>
    <w:rsid w:val="580207BF"/>
    <w:rsid w:val="588C69A8"/>
    <w:rsid w:val="58B87AAF"/>
    <w:rsid w:val="58BF260F"/>
    <w:rsid w:val="58BF2F0F"/>
    <w:rsid w:val="58C22A31"/>
    <w:rsid w:val="58D63E2A"/>
    <w:rsid w:val="58DB21D7"/>
    <w:rsid w:val="58F60867"/>
    <w:rsid w:val="58FC3680"/>
    <w:rsid w:val="59103953"/>
    <w:rsid w:val="592D3E5F"/>
    <w:rsid w:val="594D1D71"/>
    <w:rsid w:val="596826C0"/>
    <w:rsid w:val="5976519C"/>
    <w:rsid w:val="59A55F1D"/>
    <w:rsid w:val="59B80FE9"/>
    <w:rsid w:val="59D071CA"/>
    <w:rsid w:val="5A056863"/>
    <w:rsid w:val="5A434513"/>
    <w:rsid w:val="5A9B6844"/>
    <w:rsid w:val="5AB47149"/>
    <w:rsid w:val="5AC1789F"/>
    <w:rsid w:val="5ADB55DF"/>
    <w:rsid w:val="5AF515D2"/>
    <w:rsid w:val="5B2818C3"/>
    <w:rsid w:val="5B585235"/>
    <w:rsid w:val="5B612BEC"/>
    <w:rsid w:val="5BBE3DA0"/>
    <w:rsid w:val="5BC47FED"/>
    <w:rsid w:val="5BD65D9F"/>
    <w:rsid w:val="5C0133FF"/>
    <w:rsid w:val="5C127EED"/>
    <w:rsid w:val="5C201049"/>
    <w:rsid w:val="5C2124F6"/>
    <w:rsid w:val="5C431149"/>
    <w:rsid w:val="5C796FAE"/>
    <w:rsid w:val="5C870BF8"/>
    <w:rsid w:val="5C873C0F"/>
    <w:rsid w:val="5CA21011"/>
    <w:rsid w:val="5CAA48C8"/>
    <w:rsid w:val="5CB47B23"/>
    <w:rsid w:val="5CFA027E"/>
    <w:rsid w:val="5D8A1162"/>
    <w:rsid w:val="5DA80048"/>
    <w:rsid w:val="5DD922ED"/>
    <w:rsid w:val="5DF32C77"/>
    <w:rsid w:val="5E143A01"/>
    <w:rsid w:val="5E291811"/>
    <w:rsid w:val="5E6F6CBD"/>
    <w:rsid w:val="5F4277AE"/>
    <w:rsid w:val="5F5C3CE8"/>
    <w:rsid w:val="5F765701"/>
    <w:rsid w:val="5FA16E94"/>
    <w:rsid w:val="5FC27382"/>
    <w:rsid w:val="5FF6746B"/>
    <w:rsid w:val="60EC7F79"/>
    <w:rsid w:val="61364320"/>
    <w:rsid w:val="616F7D4D"/>
    <w:rsid w:val="61835216"/>
    <w:rsid w:val="61921296"/>
    <w:rsid w:val="61F05C05"/>
    <w:rsid w:val="62191EEF"/>
    <w:rsid w:val="621D402A"/>
    <w:rsid w:val="62346DBA"/>
    <w:rsid w:val="624A06B2"/>
    <w:rsid w:val="62545E86"/>
    <w:rsid w:val="626968A7"/>
    <w:rsid w:val="626C14C9"/>
    <w:rsid w:val="62AC796E"/>
    <w:rsid w:val="62CA3FF8"/>
    <w:rsid w:val="62F52A87"/>
    <w:rsid w:val="63045904"/>
    <w:rsid w:val="63326EB6"/>
    <w:rsid w:val="634537AD"/>
    <w:rsid w:val="634B7515"/>
    <w:rsid w:val="6364343A"/>
    <w:rsid w:val="636649C5"/>
    <w:rsid w:val="637165B6"/>
    <w:rsid w:val="63AE1E4F"/>
    <w:rsid w:val="63B05CF6"/>
    <w:rsid w:val="63E844B2"/>
    <w:rsid w:val="641B72EC"/>
    <w:rsid w:val="641E5201"/>
    <w:rsid w:val="64661DD2"/>
    <w:rsid w:val="64A30443"/>
    <w:rsid w:val="64BB0AC7"/>
    <w:rsid w:val="653933D8"/>
    <w:rsid w:val="653C1ED6"/>
    <w:rsid w:val="6544413E"/>
    <w:rsid w:val="65AC1A9A"/>
    <w:rsid w:val="65D3415A"/>
    <w:rsid w:val="65E34551"/>
    <w:rsid w:val="65F657B4"/>
    <w:rsid w:val="660A7058"/>
    <w:rsid w:val="6639727E"/>
    <w:rsid w:val="66BB3E53"/>
    <w:rsid w:val="66D80EDB"/>
    <w:rsid w:val="67011F59"/>
    <w:rsid w:val="67080B5E"/>
    <w:rsid w:val="6718700D"/>
    <w:rsid w:val="671D09A5"/>
    <w:rsid w:val="672C7E9E"/>
    <w:rsid w:val="672D1B90"/>
    <w:rsid w:val="67410943"/>
    <w:rsid w:val="67B35343"/>
    <w:rsid w:val="67F37BEE"/>
    <w:rsid w:val="682A7E04"/>
    <w:rsid w:val="68880792"/>
    <w:rsid w:val="68AB160D"/>
    <w:rsid w:val="68AB4314"/>
    <w:rsid w:val="68D1334C"/>
    <w:rsid w:val="68DD7BF4"/>
    <w:rsid w:val="691C1FBE"/>
    <w:rsid w:val="691E0FE5"/>
    <w:rsid w:val="69564F6A"/>
    <w:rsid w:val="6A01600D"/>
    <w:rsid w:val="6A120B5C"/>
    <w:rsid w:val="6A4F788C"/>
    <w:rsid w:val="6A635C78"/>
    <w:rsid w:val="6A6A7EA5"/>
    <w:rsid w:val="6A700689"/>
    <w:rsid w:val="6ACE7CE9"/>
    <w:rsid w:val="6AD5577C"/>
    <w:rsid w:val="6B0D1DFF"/>
    <w:rsid w:val="6B510CC5"/>
    <w:rsid w:val="6B771716"/>
    <w:rsid w:val="6BC87A3F"/>
    <w:rsid w:val="6BDD76A5"/>
    <w:rsid w:val="6BDE4237"/>
    <w:rsid w:val="6C197560"/>
    <w:rsid w:val="6C2853AF"/>
    <w:rsid w:val="6C3421D3"/>
    <w:rsid w:val="6C4F320C"/>
    <w:rsid w:val="6C686922"/>
    <w:rsid w:val="6C851A48"/>
    <w:rsid w:val="6C933772"/>
    <w:rsid w:val="6C9D70FF"/>
    <w:rsid w:val="6CAA73A6"/>
    <w:rsid w:val="6CDD6BD9"/>
    <w:rsid w:val="6CFB2741"/>
    <w:rsid w:val="6D092BEF"/>
    <w:rsid w:val="6D325318"/>
    <w:rsid w:val="6D4712AC"/>
    <w:rsid w:val="6DEC2B56"/>
    <w:rsid w:val="6E070A16"/>
    <w:rsid w:val="6E1B5E16"/>
    <w:rsid w:val="6E326AE1"/>
    <w:rsid w:val="6E514474"/>
    <w:rsid w:val="6E8D711F"/>
    <w:rsid w:val="6EAF6913"/>
    <w:rsid w:val="6EB625E4"/>
    <w:rsid w:val="6EB87630"/>
    <w:rsid w:val="6EC945FB"/>
    <w:rsid w:val="6EDA199C"/>
    <w:rsid w:val="6F1134FE"/>
    <w:rsid w:val="6F20771D"/>
    <w:rsid w:val="6F56219C"/>
    <w:rsid w:val="6F6D3B6C"/>
    <w:rsid w:val="6FA570EE"/>
    <w:rsid w:val="700662E5"/>
    <w:rsid w:val="70636AC0"/>
    <w:rsid w:val="7066078F"/>
    <w:rsid w:val="706E4EB9"/>
    <w:rsid w:val="70764A38"/>
    <w:rsid w:val="70B87648"/>
    <w:rsid w:val="70D8516F"/>
    <w:rsid w:val="70D9305F"/>
    <w:rsid w:val="70DB6982"/>
    <w:rsid w:val="70DD2A82"/>
    <w:rsid w:val="712453E4"/>
    <w:rsid w:val="713A6116"/>
    <w:rsid w:val="71463AE6"/>
    <w:rsid w:val="71566BB9"/>
    <w:rsid w:val="71570BE5"/>
    <w:rsid w:val="71BF4BE8"/>
    <w:rsid w:val="720E3209"/>
    <w:rsid w:val="72421880"/>
    <w:rsid w:val="72761793"/>
    <w:rsid w:val="729C0FCF"/>
    <w:rsid w:val="72D169E6"/>
    <w:rsid w:val="736159BC"/>
    <w:rsid w:val="73A6715E"/>
    <w:rsid w:val="73B57968"/>
    <w:rsid w:val="73D27FDB"/>
    <w:rsid w:val="73D72D76"/>
    <w:rsid w:val="73E20A67"/>
    <w:rsid w:val="74063F04"/>
    <w:rsid w:val="74074804"/>
    <w:rsid w:val="744905CA"/>
    <w:rsid w:val="745A7948"/>
    <w:rsid w:val="74A12B60"/>
    <w:rsid w:val="74A82E3E"/>
    <w:rsid w:val="74AE7FB7"/>
    <w:rsid w:val="74BB5E85"/>
    <w:rsid w:val="74D130D1"/>
    <w:rsid w:val="753F7B6E"/>
    <w:rsid w:val="75595DB8"/>
    <w:rsid w:val="756F55F3"/>
    <w:rsid w:val="757778D4"/>
    <w:rsid w:val="758844E9"/>
    <w:rsid w:val="75890E2F"/>
    <w:rsid w:val="759B0822"/>
    <w:rsid w:val="75A22A9C"/>
    <w:rsid w:val="75AF5EBB"/>
    <w:rsid w:val="75C16065"/>
    <w:rsid w:val="75D72B39"/>
    <w:rsid w:val="75FA674F"/>
    <w:rsid w:val="76143215"/>
    <w:rsid w:val="76147BAB"/>
    <w:rsid w:val="762444B5"/>
    <w:rsid w:val="764C2EF1"/>
    <w:rsid w:val="76513981"/>
    <w:rsid w:val="767427E4"/>
    <w:rsid w:val="76820D98"/>
    <w:rsid w:val="77000D92"/>
    <w:rsid w:val="77124F24"/>
    <w:rsid w:val="77331CC2"/>
    <w:rsid w:val="773768E2"/>
    <w:rsid w:val="77720090"/>
    <w:rsid w:val="77BB45DB"/>
    <w:rsid w:val="7825156C"/>
    <w:rsid w:val="785A6A80"/>
    <w:rsid w:val="786E3D73"/>
    <w:rsid w:val="78CB247D"/>
    <w:rsid w:val="78EB44F7"/>
    <w:rsid w:val="78ED74E7"/>
    <w:rsid w:val="79090FEB"/>
    <w:rsid w:val="79201B4B"/>
    <w:rsid w:val="797816EF"/>
    <w:rsid w:val="797E4B8A"/>
    <w:rsid w:val="79AE26A0"/>
    <w:rsid w:val="79B858F5"/>
    <w:rsid w:val="79C612FE"/>
    <w:rsid w:val="79CF1358"/>
    <w:rsid w:val="7A182BE0"/>
    <w:rsid w:val="7A584CD9"/>
    <w:rsid w:val="7A7A5F58"/>
    <w:rsid w:val="7A917AC0"/>
    <w:rsid w:val="7AAD4FBF"/>
    <w:rsid w:val="7AC40EC9"/>
    <w:rsid w:val="7AD42C5B"/>
    <w:rsid w:val="7B055324"/>
    <w:rsid w:val="7B0B5639"/>
    <w:rsid w:val="7B186ABA"/>
    <w:rsid w:val="7B2E272E"/>
    <w:rsid w:val="7C5E79FB"/>
    <w:rsid w:val="7C772FEC"/>
    <w:rsid w:val="7CAA0A7F"/>
    <w:rsid w:val="7CB62E7D"/>
    <w:rsid w:val="7CD5720F"/>
    <w:rsid w:val="7D272847"/>
    <w:rsid w:val="7D8A6B73"/>
    <w:rsid w:val="7D92372B"/>
    <w:rsid w:val="7D970A1E"/>
    <w:rsid w:val="7DC46EB6"/>
    <w:rsid w:val="7DDD402F"/>
    <w:rsid w:val="7E0D7765"/>
    <w:rsid w:val="7E226F48"/>
    <w:rsid w:val="7E2D145A"/>
    <w:rsid w:val="7E3E199B"/>
    <w:rsid w:val="7E576152"/>
    <w:rsid w:val="7EB01594"/>
    <w:rsid w:val="7EE0668C"/>
    <w:rsid w:val="7EF14824"/>
    <w:rsid w:val="7F0650D6"/>
    <w:rsid w:val="7F9B7434"/>
    <w:rsid w:val="7FEE45D0"/>
    <w:rsid w:val="7FF60B29"/>
    <w:rsid w:val="9FFE502E"/>
    <w:rsid w:val="FBDFA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99"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ind w:left="864" w:hanging="864"/>
      <w:outlineLvl w:val="3"/>
    </w:pPr>
    <w:rPr>
      <w:rFonts w:ascii="Cambria" w:hAnsi="Cambria"/>
      <w:b/>
      <w:bCs/>
      <w:kern w:val="0"/>
      <w:sz w:val="28"/>
      <w:szCs w:val="28"/>
    </w:rPr>
  </w:style>
  <w:style w:type="paragraph" w:styleId="6">
    <w:name w:val="heading 6"/>
    <w:basedOn w:val="1"/>
    <w:next w:val="1"/>
    <w:link w:val="37"/>
    <w:qFormat/>
    <w:uiPriority w:val="0"/>
    <w:pPr>
      <w:keepNext/>
      <w:keepLines/>
      <w:spacing w:before="240" w:after="64" w:line="319" w:lineRule="auto"/>
      <w:outlineLvl w:val="5"/>
    </w:pPr>
    <w:rPr>
      <w:rFonts w:ascii="Arial" w:hAnsi="Arial" w:eastAsia="黑体"/>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unhideWhenUsed/>
    <w:qFormat/>
    <w:uiPriority w:val="99"/>
    <w:pPr>
      <w:ind w:left="1400" w:leftChars="1400"/>
    </w:pPr>
  </w:style>
  <w:style w:type="paragraph" w:styleId="8">
    <w:name w:val="Normal Indent"/>
    <w:basedOn w:val="1"/>
    <w:link w:val="38"/>
    <w:qFormat/>
    <w:uiPriority w:val="0"/>
    <w:pPr>
      <w:ind w:firstLine="420"/>
    </w:pPr>
    <w:rPr>
      <w:szCs w:val="20"/>
    </w:rPr>
  </w:style>
  <w:style w:type="paragraph" w:styleId="9">
    <w:name w:val="toa heading"/>
    <w:basedOn w:val="1"/>
    <w:next w:val="1"/>
    <w:qFormat/>
    <w:uiPriority w:val="99"/>
    <w:pPr>
      <w:spacing w:before="120"/>
    </w:pPr>
    <w:rPr>
      <w:rFonts w:ascii="Cambria" w:hAnsi="Cambria" w:cs="宋体"/>
      <w:sz w:val="24"/>
    </w:rPr>
  </w:style>
  <w:style w:type="paragraph" w:styleId="10">
    <w:name w:val="annotation text"/>
    <w:basedOn w:val="1"/>
    <w:link w:val="39"/>
    <w:qFormat/>
    <w:uiPriority w:val="0"/>
    <w:pPr>
      <w:jc w:val="left"/>
    </w:pPr>
  </w:style>
  <w:style w:type="paragraph" w:styleId="11">
    <w:name w:val="Body Text 3"/>
    <w:basedOn w:val="1"/>
    <w:link w:val="40"/>
    <w:qFormat/>
    <w:uiPriority w:val="0"/>
    <w:pPr>
      <w:spacing w:line="240" w:lineRule="exact"/>
    </w:pPr>
    <w:rPr>
      <w:rFonts w:ascii="宋体" w:hAnsi="宋体"/>
      <w:color w:val="000000"/>
      <w:szCs w:val="21"/>
    </w:rPr>
  </w:style>
  <w:style w:type="paragraph" w:styleId="12">
    <w:name w:val="Body Text"/>
    <w:basedOn w:val="1"/>
    <w:link w:val="41"/>
    <w:unhideWhenUsed/>
    <w:qFormat/>
    <w:uiPriority w:val="0"/>
    <w:pPr>
      <w:spacing w:after="120"/>
    </w:pPr>
  </w:style>
  <w:style w:type="paragraph" w:styleId="13">
    <w:name w:val="Body Text Indent"/>
    <w:basedOn w:val="1"/>
    <w:qFormat/>
    <w:uiPriority w:val="0"/>
    <w:pPr>
      <w:ind w:firstLine="830" w:firstLineChars="352"/>
    </w:pPr>
    <w:rPr>
      <w:rFonts w:ascii="仿宋_GB2312" w:eastAsia="仿宋_GB2312"/>
      <w:sz w:val="32"/>
      <w:szCs w:val="20"/>
    </w:rPr>
  </w:style>
  <w:style w:type="paragraph" w:styleId="14">
    <w:name w:val="Plain Text"/>
    <w:basedOn w:val="1"/>
    <w:next w:val="7"/>
    <w:link w:val="42"/>
    <w:qFormat/>
    <w:uiPriority w:val="0"/>
    <w:rPr>
      <w:rFonts w:ascii="宋体" w:hAnsi="Courier New"/>
      <w:szCs w:val="20"/>
    </w:rPr>
  </w:style>
  <w:style w:type="paragraph" w:styleId="15">
    <w:name w:val="Date"/>
    <w:basedOn w:val="1"/>
    <w:next w:val="1"/>
    <w:link w:val="43"/>
    <w:qFormat/>
    <w:uiPriority w:val="0"/>
    <w:pPr>
      <w:ind w:left="100" w:leftChars="2500"/>
    </w:pPr>
  </w:style>
  <w:style w:type="paragraph" w:styleId="16">
    <w:name w:val="Balloon Text"/>
    <w:basedOn w:val="1"/>
    <w:link w:val="44"/>
    <w:semiHidden/>
    <w:qFormat/>
    <w:uiPriority w:val="0"/>
    <w:rPr>
      <w:sz w:val="18"/>
      <w:szCs w:val="18"/>
    </w:rPr>
  </w:style>
  <w:style w:type="paragraph" w:styleId="17">
    <w:name w:val="footer"/>
    <w:basedOn w:val="1"/>
    <w:link w:val="45"/>
    <w:qFormat/>
    <w:uiPriority w:val="0"/>
    <w:pPr>
      <w:tabs>
        <w:tab w:val="center" w:pos="4153"/>
        <w:tab w:val="right" w:pos="8306"/>
      </w:tabs>
      <w:snapToGrid w:val="0"/>
      <w:jc w:val="left"/>
    </w:pPr>
    <w:rPr>
      <w:sz w:val="18"/>
      <w:szCs w:val="18"/>
    </w:rPr>
  </w:style>
  <w:style w:type="paragraph" w:styleId="18">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0"/>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annotation subject"/>
    <w:basedOn w:val="10"/>
    <w:next w:val="10"/>
    <w:link w:val="47"/>
    <w:semiHidden/>
    <w:qFormat/>
    <w:uiPriority w:val="0"/>
    <w:rPr>
      <w:b/>
      <w:bCs/>
    </w:rPr>
  </w:style>
  <w:style w:type="paragraph" w:styleId="22">
    <w:name w:val="Body Text First Indent"/>
    <w:basedOn w:val="12"/>
    <w:link w:val="48"/>
    <w:unhideWhenUsed/>
    <w:qFormat/>
    <w:uiPriority w:val="99"/>
    <w:pPr>
      <w:ind w:firstLine="420" w:firstLineChars="100"/>
    </w:pPr>
  </w:style>
  <w:style w:type="paragraph" w:styleId="23">
    <w:name w:val="Body Text First Indent 2"/>
    <w:basedOn w:val="13"/>
    <w:qFormat/>
    <w:uiPriority w:val="0"/>
    <w:pPr>
      <w:ind w:left="420" w:leftChars="200" w:firstLine="420" w:firstLineChars="200"/>
    </w:pPr>
    <w:rPr>
      <w:rFonts w:ascii="Times New Roman" w:hAnsi="Times New Roman" w:eastAsia="宋体"/>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unhideWhenUsed/>
    <w:qFormat/>
    <w:uiPriority w:val="99"/>
    <w:rPr>
      <w:color w:val="800080"/>
      <w:u w:val="single"/>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character" w:styleId="31">
    <w:name w:val="HTML Sample"/>
    <w:basedOn w:val="26"/>
    <w:semiHidden/>
    <w:unhideWhenUsed/>
    <w:qFormat/>
    <w:uiPriority w:val="0"/>
    <w:rPr>
      <w:rFonts w:ascii="Courier New" w:hAnsi="Courier New"/>
    </w:rPr>
  </w:style>
  <w:style w:type="paragraph" w:customStyle="1" w:styleId="32">
    <w:name w:val="Fließtext"/>
    <w:basedOn w:val="1"/>
    <w:qFormat/>
    <w:uiPriority w:val="0"/>
    <w:pPr>
      <w:overflowPunct w:val="0"/>
      <w:autoSpaceDE w:val="0"/>
      <w:autoSpaceDN w:val="0"/>
      <w:adjustRightInd w:val="0"/>
      <w:textAlignment w:val="baseline"/>
    </w:pPr>
    <w:rPr>
      <w:rFonts w:ascii="Calibri" w:hAnsi="Calibri" w:eastAsia="宋体"/>
      <w:kern w:val="28"/>
    </w:rPr>
  </w:style>
  <w:style w:type="paragraph" w:customStyle="1" w:styleId="33">
    <w:name w:val="表格文字"/>
    <w:basedOn w:val="1"/>
    <w:qFormat/>
    <w:uiPriority w:val="0"/>
    <w:pPr>
      <w:spacing w:before="25" w:after="25"/>
      <w:jc w:val="left"/>
    </w:pPr>
    <w:rPr>
      <w:rFonts w:ascii="Times New Roman" w:hAnsi="Times New Roman" w:eastAsia="宋体"/>
      <w:bCs/>
      <w:spacing w:val="10"/>
      <w:kern w:val="0"/>
      <w:sz w:val="24"/>
    </w:rPr>
  </w:style>
  <w:style w:type="character" w:customStyle="1" w:styleId="34">
    <w:name w:val="标题 1 Char"/>
    <w:link w:val="2"/>
    <w:qFormat/>
    <w:uiPriority w:val="0"/>
    <w:rPr>
      <w:b/>
      <w:bCs/>
      <w:kern w:val="44"/>
      <w:sz w:val="44"/>
      <w:szCs w:val="44"/>
    </w:rPr>
  </w:style>
  <w:style w:type="character" w:customStyle="1" w:styleId="35">
    <w:name w:val="标题 2 Char"/>
    <w:link w:val="3"/>
    <w:semiHidden/>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6 Char"/>
    <w:link w:val="6"/>
    <w:semiHidden/>
    <w:qFormat/>
    <w:uiPriority w:val="0"/>
    <w:rPr>
      <w:rFonts w:ascii="Arial" w:hAnsi="Arial" w:eastAsia="黑体"/>
      <w:b/>
      <w:bCs/>
      <w:kern w:val="2"/>
      <w:sz w:val="24"/>
      <w:szCs w:val="24"/>
    </w:rPr>
  </w:style>
  <w:style w:type="character" w:customStyle="1" w:styleId="38">
    <w:name w:val="正文缩进 Char"/>
    <w:link w:val="8"/>
    <w:qFormat/>
    <w:locked/>
    <w:uiPriority w:val="0"/>
    <w:rPr>
      <w:rFonts w:eastAsia="宋体"/>
      <w:kern w:val="2"/>
      <w:sz w:val="21"/>
      <w:lang w:val="en-US" w:eastAsia="zh-CN" w:bidi="ar-SA"/>
    </w:rPr>
  </w:style>
  <w:style w:type="character" w:customStyle="1" w:styleId="39">
    <w:name w:val="批注文字 Char"/>
    <w:link w:val="10"/>
    <w:qFormat/>
    <w:uiPriority w:val="0"/>
    <w:rPr>
      <w:rFonts w:eastAsia="宋体"/>
      <w:kern w:val="2"/>
      <w:sz w:val="21"/>
      <w:szCs w:val="24"/>
      <w:lang w:val="en-US" w:eastAsia="zh-CN" w:bidi="ar-SA"/>
    </w:rPr>
  </w:style>
  <w:style w:type="character" w:customStyle="1" w:styleId="40">
    <w:name w:val="正文文本 3 Char"/>
    <w:link w:val="11"/>
    <w:qFormat/>
    <w:uiPriority w:val="0"/>
    <w:rPr>
      <w:rFonts w:ascii="宋体" w:hAnsi="宋体"/>
      <w:color w:val="000000"/>
      <w:kern w:val="2"/>
      <w:sz w:val="21"/>
      <w:szCs w:val="21"/>
    </w:rPr>
  </w:style>
  <w:style w:type="character" w:customStyle="1" w:styleId="41">
    <w:name w:val="正文文本 Char2"/>
    <w:link w:val="12"/>
    <w:qFormat/>
    <w:locked/>
    <w:uiPriority w:val="0"/>
    <w:rPr>
      <w:kern w:val="2"/>
      <w:sz w:val="21"/>
      <w:szCs w:val="24"/>
    </w:rPr>
  </w:style>
  <w:style w:type="character" w:customStyle="1" w:styleId="42">
    <w:name w:val="纯文本 Char"/>
    <w:link w:val="14"/>
    <w:qFormat/>
    <w:uiPriority w:val="0"/>
    <w:rPr>
      <w:rFonts w:ascii="宋体" w:hAnsi="Courier New" w:eastAsia="宋体"/>
      <w:kern w:val="2"/>
      <w:sz w:val="21"/>
      <w:lang w:val="en-US" w:eastAsia="zh-CN" w:bidi="ar-SA"/>
    </w:rPr>
  </w:style>
  <w:style w:type="character" w:customStyle="1" w:styleId="43">
    <w:name w:val="日期 Char"/>
    <w:link w:val="15"/>
    <w:qFormat/>
    <w:uiPriority w:val="0"/>
    <w:rPr>
      <w:kern w:val="2"/>
      <w:sz w:val="21"/>
      <w:szCs w:val="24"/>
    </w:rPr>
  </w:style>
  <w:style w:type="character" w:customStyle="1" w:styleId="44">
    <w:name w:val="批注框文本 Char"/>
    <w:link w:val="16"/>
    <w:semiHidden/>
    <w:qFormat/>
    <w:uiPriority w:val="0"/>
    <w:rPr>
      <w:kern w:val="2"/>
      <w:sz w:val="18"/>
      <w:szCs w:val="18"/>
    </w:rPr>
  </w:style>
  <w:style w:type="character" w:customStyle="1" w:styleId="45">
    <w:name w:val="页脚 Char"/>
    <w:link w:val="17"/>
    <w:qFormat/>
    <w:uiPriority w:val="0"/>
    <w:rPr>
      <w:kern w:val="2"/>
      <w:sz w:val="18"/>
      <w:szCs w:val="18"/>
    </w:rPr>
  </w:style>
  <w:style w:type="character" w:customStyle="1" w:styleId="46">
    <w:name w:val="页眉 Char"/>
    <w:link w:val="18"/>
    <w:qFormat/>
    <w:uiPriority w:val="0"/>
    <w:rPr>
      <w:kern w:val="2"/>
      <w:sz w:val="18"/>
      <w:szCs w:val="18"/>
    </w:rPr>
  </w:style>
  <w:style w:type="character" w:customStyle="1" w:styleId="47">
    <w:name w:val="批注主题 Char"/>
    <w:link w:val="21"/>
    <w:semiHidden/>
    <w:qFormat/>
    <w:uiPriority w:val="0"/>
    <w:rPr>
      <w:rFonts w:eastAsia="宋体"/>
      <w:b/>
      <w:bCs/>
      <w:kern w:val="2"/>
      <w:sz w:val="21"/>
      <w:szCs w:val="24"/>
      <w:lang w:val="en-US" w:eastAsia="zh-CN" w:bidi="ar-SA"/>
    </w:rPr>
  </w:style>
  <w:style w:type="character" w:customStyle="1" w:styleId="48">
    <w:name w:val="正文首行缩进 Char1"/>
    <w:basedOn w:val="49"/>
    <w:link w:val="22"/>
    <w:qFormat/>
    <w:locked/>
    <w:uiPriority w:val="99"/>
    <w:rPr>
      <w:kern w:val="2"/>
      <w:sz w:val="21"/>
      <w:szCs w:val="24"/>
    </w:rPr>
  </w:style>
  <w:style w:type="character" w:customStyle="1" w:styleId="49">
    <w:name w:val="正文文本 Char1"/>
    <w:qFormat/>
    <w:locked/>
    <w:uiPriority w:val="0"/>
    <w:rPr>
      <w:kern w:val="2"/>
      <w:sz w:val="21"/>
      <w:szCs w:val="24"/>
    </w:rPr>
  </w:style>
  <w:style w:type="character" w:customStyle="1" w:styleId="50">
    <w:name w:val="Char Char10"/>
    <w:qFormat/>
    <w:locked/>
    <w:uiPriority w:val="0"/>
    <w:rPr>
      <w:rFonts w:ascii="宋体" w:hAnsi="宋体" w:eastAsia="宋体"/>
      <w:kern w:val="2"/>
      <w:sz w:val="21"/>
      <w:szCs w:val="24"/>
      <w:lang w:val="en-US" w:eastAsia="zh-CN" w:bidi="ar-SA"/>
    </w:rPr>
  </w:style>
  <w:style w:type="character" w:customStyle="1" w:styleId="51">
    <w:name w:val="font11"/>
    <w:basedOn w:val="26"/>
    <w:qFormat/>
    <w:uiPriority w:val="0"/>
    <w:rPr>
      <w:rFonts w:hint="eastAsia" w:ascii="宋体" w:hAnsi="宋体" w:eastAsia="宋体" w:cs="宋体"/>
      <w:color w:val="000000"/>
      <w:sz w:val="22"/>
      <w:szCs w:val="22"/>
      <w:u w:val="none"/>
    </w:rPr>
  </w:style>
  <w:style w:type="character" w:customStyle="1" w:styleId="52">
    <w:name w:val="正文首行缩进 Char"/>
    <w:basedOn w:val="53"/>
    <w:qFormat/>
    <w:uiPriority w:val="99"/>
    <w:rPr>
      <w:kern w:val="2"/>
      <w:sz w:val="21"/>
      <w:szCs w:val="24"/>
    </w:rPr>
  </w:style>
  <w:style w:type="character" w:customStyle="1" w:styleId="53">
    <w:name w:val="正文文本 Char"/>
    <w:qFormat/>
    <w:uiPriority w:val="99"/>
    <w:rPr>
      <w:kern w:val="2"/>
      <w:sz w:val="21"/>
      <w:szCs w:val="24"/>
    </w:rPr>
  </w:style>
  <w:style w:type="character" w:customStyle="1" w:styleId="54">
    <w:name w:val="NormalCharacter"/>
    <w:semiHidden/>
    <w:qFormat/>
    <w:uiPriority w:val="99"/>
  </w:style>
  <w:style w:type="character" w:customStyle="1" w:styleId="55">
    <w:name w:val="Char Char3"/>
    <w:qFormat/>
    <w:uiPriority w:val="0"/>
    <w:rPr>
      <w:rFonts w:hint="eastAsia" w:ascii="宋体" w:hAnsi="Courier New" w:eastAsia="宋体"/>
      <w:kern w:val="2"/>
      <w:sz w:val="21"/>
      <w:lang w:val="en-US" w:eastAsia="zh-CN" w:bidi="ar-SA"/>
    </w:rPr>
  </w:style>
  <w:style w:type="character" w:customStyle="1" w:styleId="56">
    <w:name w:val="纯文本 Char2"/>
    <w:semiHidden/>
    <w:qFormat/>
    <w:locked/>
    <w:uiPriority w:val="0"/>
    <w:rPr>
      <w:rFonts w:ascii="宋体" w:hAnsi="Courier New"/>
      <w:kern w:val="2"/>
      <w:sz w:val="21"/>
    </w:rPr>
  </w:style>
  <w:style w:type="character" w:customStyle="1" w:styleId="57">
    <w:name w:val="Char Char101"/>
    <w:qFormat/>
    <w:uiPriority w:val="0"/>
    <w:rPr>
      <w:rFonts w:eastAsia="宋体"/>
      <w:kern w:val="2"/>
      <w:sz w:val="21"/>
      <w:szCs w:val="24"/>
      <w:lang w:val="en-US" w:eastAsia="zh-CN" w:bidi="ar-SA"/>
    </w:rPr>
  </w:style>
  <w:style w:type="character" w:customStyle="1" w:styleId="58">
    <w:name w:val="批注文字 Char1"/>
    <w:semiHidden/>
    <w:qFormat/>
    <w:locked/>
    <w:uiPriority w:val="0"/>
    <w:rPr>
      <w:kern w:val="2"/>
      <w:sz w:val="21"/>
      <w:szCs w:val="24"/>
    </w:rPr>
  </w:style>
  <w:style w:type="character" w:customStyle="1" w:styleId="59">
    <w:name w:val="font31"/>
    <w:basedOn w:val="26"/>
    <w:qFormat/>
    <w:uiPriority w:val="0"/>
    <w:rPr>
      <w:rFonts w:hint="eastAsia" w:ascii="宋体" w:hAnsi="宋体" w:eastAsia="宋体" w:cs="宋体"/>
      <w:color w:val="000000"/>
      <w:sz w:val="22"/>
      <w:szCs w:val="22"/>
      <w:u w:val="none"/>
    </w:rPr>
  </w:style>
  <w:style w:type="character" w:customStyle="1" w:styleId="60">
    <w:name w:val="Char Char31"/>
    <w:qFormat/>
    <w:uiPriority w:val="0"/>
    <w:rPr>
      <w:rFonts w:ascii="宋体" w:hAnsi="Courier New" w:eastAsia="宋体"/>
      <w:kern w:val="2"/>
      <w:sz w:val="21"/>
      <w:lang w:val="en-US" w:eastAsia="zh-CN" w:bidi="ar-SA"/>
    </w:rPr>
  </w:style>
  <w:style w:type="character" w:customStyle="1" w:styleId="61">
    <w:name w:val="Char Char"/>
    <w:qFormat/>
    <w:locked/>
    <w:uiPriority w:val="0"/>
    <w:rPr>
      <w:rFonts w:ascii="宋体" w:hAnsi="宋体" w:eastAsia="宋体"/>
      <w:kern w:val="2"/>
      <w:sz w:val="21"/>
      <w:szCs w:val="24"/>
      <w:lang w:val="en-US" w:eastAsia="zh-CN" w:bidi="ar-SA"/>
    </w:rPr>
  </w:style>
  <w:style w:type="character" w:customStyle="1" w:styleId="62">
    <w:name w:val="批注文字 Char2"/>
    <w:semiHidden/>
    <w:qFormat/>
    <w:locked/>
    <w:uiPriority w:val="0"/>
    <w:rPr>
      <w:kern w:val="2"/>
      <w:sz w:val="21"/>
      <w:szCs w:val="24"/>
    </w:rPr>
  </w:style>
  <w:style w:type="character" w:customStyle="1" w:styleId="63">
    <w:name w:val="纯文本 Char1"/>
    <w:qFormat/>
    <w:locked/>
    <w:uiPriority w:val="0"/>
    <w:rPr>
      <w:rFonts w:ascii="宋体" w:hAnsi="Calibri"/>
    </w:rPr>
  </w:style>
  <w:style w:type="character" w:customStyle="1" w:styleId="64">
    <w:name w:val="列出段落 Char"/>
    <w:link w:val="65"/>
    <w:qFormat/>
    <w:locked/>
    <w:uiPriority w:val="34"/>
    <w:rPr>
      <w:kern w:val="2"/>
      <w:sz w:val="21"/>
    </w:rPr>
  </w:style>
  <w:style w:type="paragraph" w:styleId="65">
    <w:name w:val="List Paragraph"/>
    <w:basedOn w:val="1"/>
    <w:link w:val="64"/>
    <w:qFormat/>
    <w:uiPriority w:val="34"/>
    <w:pPr>
      <w:ind w:firstLine="420" w:firstLineChars="200"/>
    </w:pPr>
    <w:rPr>
      <w:szCs w:val="20"/>
    </w:rPr>
  </w:style>
  <w:style w:type="character" w:customStyle="1" w:styleId="66">
    <w:name w:val="font21"/>
    <w:basedOn w:val="26"/>
    <w:qFormat/>
    <w:uiPriority w:val="0"/>
    <w:rPr>
      <w:rFonts w:hint="default" w:ascii="Times New Roman" w:hAnsi="Times New Roman" w:cs="Times New Roman"/>
      <w:color w:val="000000"/>
      <w:sz w:val="22"/>
      <w:szCs w:val="22"/>
      <w:u w:val="none"/>
    </w:rPr>
  </w:style>
  <w:style w:type="character" w:customStyle="1" w:styleId="67">
    <w:name w:val="font51"/>
    <w:basedOn w:val="26"/>
    <w:qFormat/>
    <w:uiPriority w:val="0"/>
    <w:rPr>
      <w:rFonts w:hint="eastAsia" w:ascii="宋体" w:hAnsi="宋体" w:eastAsia="宋体" w:cs="宋体"/>
      <w:color w:val="000000"/>
      <w:sz w:val="22"/>
      <w:szCs w:val="22"/>
      <w:u w:val="none"/>
    </w:rPr>
  </w:style>
  <w:style w:type="character" w:customStyle="1" w:styleId="68">
    <w:name w:val="font01"/>
    <w:basedOn w:val="26"/>
    <w:qFormat/>
    <w:uiPriority w:val="0"/>
    <w:rPr>
      <w:rFonts w:hint="eastAsia" w:ascii="宋体" w:hAnsi="宋体" w:eastAsia="宋体" w:cs="宋体"/>
      <w:color w:val="000000"/>
      <w:sz w:val="22"/>
      <w:szCs w:val="22"/>
      <w:u w:val="none"/>
    </w:rPr>
  </w:style>
  <w:style w:type="paragraph" w:customStyle="1" w:styleId="69">
    <w:name w:val="1"/>
    <w:basedOn w:val="1"/>
    <w:next w:val="14"/>
    <w:qFormat/>
    <w:uiPriority w:val="0"/>
    <w:rPr>
      <w:rFonts w:ascii="宋体" w:hAnsi="Courier New"/>
      <w:szCs w:val="20"/>
    </w:rPr>
  </w:style>
  <w:style w:type="paragraph" w:customStyle="1" w:styleId="70">
    <w:name w:val="p0"/>
    <w:basedOn w:val="1"/>
    <w:qFormat/>
    <w:uiPriority w:val="0"/>
    <w:pPr>
      <w:widowControl/>
    </w:pPr>
    <w:rPr>
      <w:rFonts w:ascii="Calibri" w:hAnsi="Calibri" w:eastAsia="宋体"/>
      <w:kern w:val="0"/>
      <w:szCs w:val="21"/>
    </w:rPr>
  </w:style>
  <w:style w:type="paragraph" w:customStyle="1" w:styleId="71">
    <w:name w:val="列出段落1"/>
    <w:basedOn w:val="1"/>
    <w:qFormat/>
    <w:uiPriority w:val="34"/>
    <w:pPr>
      <w:ind w:firstLine="420" w:firstLineChars="200"/>
    </w:pPr>
  </w:style>
  <w:style w:type="paragraph" w:customStyle="1" w:styleId="72">
    <w:name w:val="列出段落2"/>
    <w:basedOn w:val="1"/>
    <w:qFormat/>
    <w:uiPriority w:val="34"/>
    <w:pPr>
      <w:ind w:firstLine="420" w:firstLineChars="200"/>
    </w:pPr>
    <w:rPr>
      <w:rFonts w:ascii="Calibri" w:hAnsi="Calibri"/>
      <w:szCs w:val="22"/>
    </w:rPr>
  </w:style>
  <w:style w:type="paragraph" w:customStyle="1" w:styleId="73">
    <w:name w:val="Char"/>
    <w:basedOn w:val="1"/>
    <w:qFormat/>
    <w:uiPriority w:val="0"/>
  </w:style>
  <w:style w:type="paragraph" w:customStyle="1" w:styleId="74">
    <w:name w:val="_Style 4"/>
    <w:basedOn w:val="1"/>
    <w:qFormat/>
    <w:uiPriority w:val="34"/>
    <w:pPr>
      <w:ind w:firstLine="420" w:firstLineChars="200"/>
    </w:pPr>
    <w:rPr>
      <w:rFonts w:ascii="Calibri" w:hAnsi="Calibri"/>
      <w:szCs w:val="22"/>
    </w:rPr>
  </w:style>
  <w:style w:type="paragraph" w:customStyle="1" w:styleId="75">
    <w:name w:val="WPSOffice手动目录 1"/>
    <w:qFormat/>
    <w:uiPriority w:val="0"/>
    <w:rPr>
      <w:rFonts w:ascii="等线" w:hAnsi="等线" w:eastAsia="等线" w:cs="Times New Roman"/>
      <w:lang w:val="en-US" w:eastAsia="zh-CN" w:bidi="ar-SA"/>
    </w:rPr>
  </w:style>
  <w:style w:type="paragraph" w:customStyle="1" w:styleId="7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77">
    <w:name w:val="font41"/>
    <w:basedOn w:val="26"/>
    <w:qFormat/>
    <w:uiPriority w:val="0"/>
    <w:rPr>
      <w:rFonts w:hint="eastAsia" w:ascii="宋体" w:hAnsi="宋体" w:eastAsia="宋体" w:cs="宋体"/>
      <w:color w:val="000000"/>
      <w:sz w:val="24"/>
      <w:szCs w:val="24"/>
      <w:u w:val="none"/>
    </w:rPr>
  </w:style>
  <w:style w:type="paragraph" w:customStyle="1" w:styleId="78">
    <w:name w:val="修订1"/>
    <w:hidden/>
    <w:unhideWhenUsed/>
    <w:qFormat/>
    <w:uiPriority w:val="99"/>
    <w:rPr>
      <w:rFonts w:ascii="等线" w:hAnsi="等线" w:eastAsia="等线" w:cs="Times New Roman"/>
      <w:kern w:val="2"/>
      <w:sz w:val="21"/>
      <w:szCs w:val="24"/>
      <w:lang w:val="en-US" w:eastAsia="zh-CN" w:bidi="ar-SA"/>
    </w:rPr>
  </w:style>
  <w:style w:type="paragraph" w:customStyle="1" w:styleId="7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96607-5D7C-4D57-83B6-BA9DBEF0B81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34565</Words>
  <Characters>36496</Characters>
  <Lines>287</Lines>
  <Paragraphs>81</Paragraphs>
  <TotalTime>0</TotalTime>
  <ScaleCrop>false</ScaleCrop>
  <LinksUpToDate>false</LinksUpToDate>
  <CharactersWithSpaces>38865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2023-12-06T02:32:00Z</dcterms:created>
  <dc:creator>未定义</dc:creator>
  <cp:lastModifiedBy>NTKO</cp:lastModifiedBy>
  <cp:lastPrinted>2020-08-26T13:41:00Z</cp:lastPrinted>
  <dcterms:modified xsi:type="dcterms:W3CDTF">2024-07-23T05:55:36Z</dcterms:modified>
  <dc:title>医疗设备采购</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51D96A29D90A450E824281299F8EB5DA_13</vt:lpwstr>
  </property>
</Properties>
</file>