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364A9">
      <w:pPr>
        <w:tabs>
          <w:tab w:val="left" w:pos="1710"/>
        </w:tabs>
        <w:spacing w:line="288" w:lineRule="auto"/>
        <w:rPr>
          <w:rFonts w:ascii="Arial" w:hAnsi="Arial" w:eastAsia="宋体" w:cs="Arial"/>
          <w:color w:val="auto"/>
          <w:highlight w:val="none"/>
        </w:rPr>
      </w:pPr>
    </w:p>
    <w:p w14:paraId="147177F3">
      <w:pPr>
        <w:tabs>
          <w:tab w:val="left" w:pos="1710"/>
        </w:tabs>
        <w:spacing w:line="288" w:lineRule="auto"/>
        <w:rPr>
          <w:rFonts w:ascii="Arial" w:hAnsi="Arial" w:eastAsia="宋体" w:cs="Arial"/>
          <w:color w:val="auto"/>
          <w:highlight w:val="none"/>
        </w:rPr>
      </w:pPr>
    </w:p>
    <w:p w14:paraId="68F5ACDE">
      <w:pPr>
        <w:tabs>
          <w:tab w:val="left" w:pos="1710"/>
        </w:tabs>
        <w:spacing w:line="288" w:lineRule="auto"/>
        <w:rPr>
          <w:rFonts w:ascii="Arial" w:hAnsi="Arial" w:eastAsia="宋体" w:cs="Arial"/>
          <w:color w:val="auto"/>
          <w:highlight w:val="none"/>
        </w:rPr>
      </w:pPr>
    </w:p>
    <w:p w14:paraId="45D2ABD5">
      <w:pPr>
        <w:tabs>
          <w:tab w:val="left" w:pos="1710"/>
        </w:tabs>
        <w:spacing w:line="288" w:lineRule="auto"/>
        <w:rPr>
          <w:rFonts w:ascii="Arial" w:hAnsi="Arial" w:eastAsia="宋体" w:cs="Arial"/>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6838"/>
      </w:tblGrid>
      <w:tr w14:paraId="078B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621" w:type="dxa"/>
            <w:gridSpan w:val="2"/>
            <w:tcBorders>
              <w:top w:val="nil"/>
              <w:left w:val="nil"/>
              <w:right w:val="nil"/>
            </w:tcBorders>
          </w:tcPr>
          <w:p w14:paraId="683F15D9">
            <w:pPr>
              <w:snapToGrid w:val="0"/>
              <w:spacing w:line="288" w:lineRule="auto"/>
              <w:jc w:val="center"/>
              <w:rPr>
                <w:rFonts w:ascii="Arial" w:hAnsi="Arial" w:eastAsia="宋体" w:cs="Arial"/>
                <w:b/>
                <w:color w:val="auto"/>
                <w:sz w:val="60"/>
                <w:szCs w:val="60"/>
                <w:highlight w:val="none"/>
              </w:rPr>
            </w:pPr>
            <w:r>
              <w:rPr>
                <w:rFonts w:ascii="Arial" w:hAnsi="Arial" w:eastAsia="宋体" w:cs="Arial"/>
                <w:b/>
                <w:color w:val="auto"/>
                <w:sz w:val="60"/>
                <w:szCs w:val="60"/>
                <w:highlight w:val="none"/>
              </w:rPr>
              <w:t>谈 判 文 件</w:t>
            </w:r>
          </w:p>
        </w:tc>
      </w:tr>
      <w:tr w14:paraId="6B7F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83" w:type="dxa"/>
            <w:vAlign w:val="center"/>
          </w:tcPr>
          <w:p w14:paraId="1CE0F845">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项目编号：</w:t>
            </w:r>
          </w:p>
        </w:tc>
        <w:tc>
          <w:tcPr>
            <w:tcW w:w="6838" w:type="dxa"/>
            <w:vAlign w:val="center"/>
          </w:tcPr>
          <w:p w14:paraId="316A76C6">
            <w:pPr>
              <w:spacing w:line="288" w:lineRule="auto"/>
              <w:rPr>
                <w:rFonts w:hint="eastAsia" w:ascii="Arial" w:hAnsi="Arial" w:eastAsia="宋体" w:cs="Arial"/>
                <w:b/>
                <w:color w:val="auto"/>
                <w:sz w:val="32"/>
                <w:szCs w:val="32"/>
                <w:highlight w:val="none"/>
                <w:lang w:eastAsia="zh-CN"/>
              </w:rPr>
            </w:pPr>
            <w:r>
              <w:rPr>
                <w:rFonts w:hint="eastAsia" w:ascii="Arial" w:hAnsi="Arial" w:eastAsia="宋体" w:cs="Arial"/>
                <w:b/>
                <w:color w:val="auto"/>
                <w:sz w:val="32"/>
                <w:szCs w:val="32"/>
                <w:highlight w:val="none"/>
                <w:lang w:eastAsia="zh-CN"/>
              </w:rPr>
              <w:t>GXJD-24114CC031162</w:t>
            </w:r>
          </w:p>
        </w:tc>
      </w:tr>
      <w:tr w14:paraId="5EAB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3" w:type="dxa"/>
            <w:vAlign w:val="center"/>
          </w:tcPr>
          <w:p w14:paraId="5EC5430F">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项目名称：</w:t>
            </w:r>
          </w:p>
        </w:tc>
        <w:tc>
          <w:tcPr>
            <w:tcW w:w="6838" w:type="dxa"/>
            <w:vAlign w:val="center"/>
          </w:tcPr>
          <w:p w14:paraId="0631BEBC">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土木学院智慧建造专业实训平台采购项目</w:t>
            </w:r>
          </w:p>
        </w:tc>
      </w:tr>
      <w:tr w14:paraId="25BB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83" w:type="dxa"/>
            <w:vAlign w:val="center"/>
          </w:tcPr>
          <w:p w14:paraId="09A15BA5">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联系电话：</w:t>
            </w:r>
          </w:p>
        </w:tc>
        <w:tc>
          <w:tcPr>
            <w:tcW w:w="6838" w:type="dxa"/>
            <w:vAlign w:val="center"/>
          </w:tcPr>
          <w:p w14:paraId="7580C06E">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0773-3696789转2</w:t>
            </w:r>
          </w:p>
        </w:tc>
      </w:tr>
    </w:tbl>
    <w:p w14:paraId="553C16B4">
      <w:pPr>
        <w:tabs>
          <w:tab w:val="left" w:pos="1710"/>
        </w:tabs>
        <w:spacing w:line="288" w:lineRule="auto"/>
        <w:rPr>
          <w:rFonts w:ascii="Arial" w:hAnsi="Arial" w:eastAsia="宋体" w:cs="Arial"/>
          <w:color w:val="auto"/>
          <w:highlight w:val="none"/>
        </w:rPr>
      </w:pPr>
    </w:p>
    <w:p w14:paraId="5E0EB0ED">
      <w:pPr>
        <w:spacing w:line="288" w:lineRule="auto"/>
        <w:rPr>
          <w:rFonts w:ascii="Arial" w:hAnsi="Arial" w:eastAsia="宋体" w:cs="Arial"/>
          <w:color w:val="auto"/>
          <w:highlight w:val="none"/>
        </w:rPr>
      </w:pPr>
    </w:p>
    <w:p w14:paraId="3AB23720">
      <w:pPr>
        <w:spacing w:line="288" w:lineRule="auto"/>
        <w:rPr>
          <w:rFonts w:ascii="Arial" w:hAnsi="Arial" w:eastAsia="宋体" w:cs="Arial"/>
          <w:color w:val="auto"/>
          <w:highlight w:val="none"/>
        </w:rPr>
      </w:pPr>
    </w:p>
    <w:p w14:paraId="381FB96C">
      <w:pPr>
        <w:spacing w:line="288" w:lineRule="auto"/>
        <w:rPr>
          <w:rFonts w:ascii="Arial" w:hAnsi="Arial" w:eastAsia="宋体" w:cs="Arial"/>
          <w:color w:val="auto"/>
          <w:highlight w:val="none"/>
        </w:rPr>
      </w:pPr>
    </w:p>
    <w:p w14:paraId="16726DAD">
      <w:pPr>
        <w:spacing w:line="288" w:lineRule="auto"/>
        <w:rPr>
          <w:rFonts w:ascii="Arial" w:hAnsi="Arial" w:eastAsia="宋体" w:cs="Arial"/>
          <w:color w:val="auto"/>
          <w:highlight w:val="none"/>
        </w:rPr>
      </w:pPr>
    </w:p>
    <w:p w14:paraId="3DA31845">
      <w:pPr>
        <w:spacing w:line="288" w:lineRule="auto"/>
        <w:rPr>
          <w:rFonts w:ascii="Arial" w:hAnsi="Arial" w:eastAsia="宋体" w:cs="Arial"/>
          <w:color w:val="auto"/>
          <w:highlight w:val="none"/>
        </w:rPr>
      </w:pPr>
    </w:p>
    <w:p w14:paraId="216C7874">
      <w:pPr>
        <w:spacing w:line="288" w:lineRule="auto"/>
        <w:rPr>
          <w:rFonts w:ascii="Arial" w:hAnsi="Arial" w:eastAsia="宋体" w:cs="Arial"/>
          <w:color w:val="auto"/>
          <w:highlight w:val="none"/>
        </w:rPr>
      </w:pPr>
    </w:p>
    <w:tbl>
      <w:tblPr>
        <w:tblStyle w:val="24"/>
        <w:tblW w:w="0" w:type="auto"/>
        <w:jc w:val="center"/>
        <w:tblLayout w:type="fixed"/>
        <w:tblCellMar>
          <w:top w:w="0" w:type="dxa"/>
          <w:left w:w="108" w:type="dxa"/>
          <w:bottom w:w="0" w:type="dxa"/>
          <w:right w:w="108" w:type="dxa"/>
        </w:tblCellMar>
      </w:tblPr>
      <w:tblGrid>
        <w:gridCol w:w="2707"/>
        <w:gridCol w:w="6"/>
        <w:gridCol w:w="5925"/>
      </w:tblGrid>
      <w:tr w14:paraId="1F591501">
        <w:tblPrEx>
          <w:tblCellMar>
            <w:top w:w="0" w:type="dxa"/>
            <w:left w:w="108" w:type="dxa"/>
            <w:bottom w:w="0" w:type="dxa"/>
            <w:right w:w="108" w:type="dxa"/>
          </w:tblCellMar>
        </w:tblPrEx>
        <w:trPr>
          <w:trHeight w:val="703" w:hRule="atLeast"/>
          <w:jc w:val="center"/>
        </w:trPr>
        <w:tc>
          <w:tcPr>
            <w:tcW w:w="2707" w:type="dxa"/>
            <w:vAlign w:val="center"/>
          </w:tcPr>
          <w:p w14:paraId="0214C4D3">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采购人：</w:t>
            </w:r>
          </w:p>
        </w:tc>
        <w:tc>
          <w:tcPr>
            <w:tcW w:w="5931" w:type="dxa"/>
            <w:gridSpan w:val="2"/>
            <w:vAlign w:val="center"/>
          </w:tcPr>
          <w:p w14:paraId="404358E7">
            <w:pPr>
              <w:autoSpaceDE w:val="0"/>
              <w:autoSpaceDN w:val="0"/>
              <w:adjustRightInd w:val="0"/>
              <w:spacing w:line="288" w:lineRule="auto"/>
              <w:jc w:val="left"/>
              <w:rPr>
                <w:rFonts w:ascii="Arial" w:hAnsi="Arial" w:eastAsia="宋体" w:cs="Arial"/>
                <w:b/>
                <w:color w:val="auto"/>
                <w:sz w:val="32"/>
                <w:szCs w:val="32"/>
                <w:highlight w:val="none"/>
              </w:rPr>
            </w:pPr>
            <w:r>
              <w:rPr>
                <w:rFonts w:ascii="Arial" w:hAnsi="Arial" w:eastAsia="宋体" w:cs="Arial"/>
                <w:b/>
                <w:color w:val="auto"/>
                <w:sz w:val="32"/>
                <w:szCs w:val="32"/>
                <w:highlight w:val="none"/>
              </w:rPr>
              <w:t>桂林理工大学</w:t>
            </w:r>
          </w:p>
        </w:tc>
      </w:tr>
      <w:tr w14:paraId="35B18792">
        <w:tblPrEx>
          <w:tblCellMar>
            <w:top w:w="0" w:type="dxa"/>
            <w:left w:w="108" w:type="dxa"/>
            <w:bottom w:w="0" w:type="dxa"/>
            <w:right w:w="108" w:type="dxa"/>
          </w:tblCellMar>
        </w:tblPrEx>
        <w:trPr>
          <w:trHeight w:val="583" w:hRule="atLeast"/>
          <w:jc w:val="center"/>
        </w:trPr>
        <w:tc>
          <w:tcPr>
            <w:tcW w:w="2713" w:type="dxa"/>
            <w:gridSpan w:val="2"/>
          </w:tcPr>
          <w:p w14:paraId="7272AA78">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采购代理机构：</w:t>
            </w:r>
          </w:p>
        </w:tc>
        <w:tc>
          <w:tcPr>
            <w:tcW w:w="5925" w:type="dxa"/>
          </w:tcPr>
          <w:p w14:paraId="4ADD729A">
            <w:pPr>
              <w:autoSpaceDE w:val="0"/>
              <w:autoSpaceDN w:val="0"/>
              <w:adjustRightInd w:val="0"/>
              <w:spacing w:line="288" w:lineRule="auto"/>
              <w:rPr>
                <w:rFonts w:ascii="Arial" w:hAnsi="Arial" w:eastAsia="宋体" w:cs="Arial"/>
                <w:b/>
                <w:color w:val="auto"/>
                <w:sz w:val="32"/>
                <w:szCs w:val="32"/>
                <w:highlight w:val="none"/>
                <w:u w:val="single"/>
              </w:rPr>
            </w:pPr>
            <w:r>
              <w:rPr>
                <w:rFonts w:hint="eastAsia" w:ascii="Arial" w:hAnsi="Arial" w:eastAsia="宋体" w:cs="Arial"/>
                <w:b/>
                <w:color w:val="auto"/>
                <w:sz w:val="32"/>
                <w:szCs w:val="32"/>
                <w:highlight w:val="none"/>
                <w:u w:val="none"/>
              </w:rPr>
              <w:t>广西机电设备招标有限公司</w:t>
            </w:r>
          </w:p>
        </w:tc>
      </w:tr>
    </w:tbl>
    <w:p w14:paraId="270920C2">
      <w:pPr>
        <w:autoSpaceDE w:val="0"/>
        <w:autoSpaceDN w:val="0"/>
        <w:adjustRightInd w:val="0"/>
        <w:spacing w:line="288" w:lineRule="auto"/>
        <w:jc w:val="center"/>
        <w:rPr>
          <w:rFonts w:ascii="Arial" w:hAnsi="Arial" w:eastAsia="宋体" w:cs="Arial"/>
          <w:b/>
          <w:color w:val="auto"/>
          <w:sz w:val="32"/>
          <w:szCs w:val="32"/>
          <w:highlight w:val="none"/>
        </w:rPr>
      </w:pPr>
    </w:p>
    <w:p w14:paraId="052754A1">
      <w:pPr>
        <w:autoSpaceDE w:val="0"/>
        <w:autoSpaceDN w:val="0"/>
        <w:adjustRightInd w:val="0"/>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2024年</w:t>
      </w:r>
      <w:r>
        <w:rPr>
          <w:rFonts w:hint="eastAsia" w:ascii="Arial" w:hAnsi="Arial" w:eastAsia="宋体" w:cs="Arial"/>
          <w:b/>
          <w:color w:val="auto"/>
          <w:sz w:val="32"/>
          <w:szCs w:val="32"/>
          <w:highlight w:val="none"/>
          <w:lang w:val="en-US" w:eastAsia="zh-CN"/>
        </w:rPr>
        <w:t>7</w:t>
      </w:r>
      <w:r>
        <w:rPr>
          <w:rFonts w:ascii="Arial" w:hAnsi="Arial" w:eastAsia="宋体" w:cs="Arial"/>
          <w:b/>
          <w:color w:val="auto"/>
          <w:sz w:val="32"/>
          <w:szCs w:val="32"/>
          <w:highlight w:val="none"/>
        </w:rPr>
        <w:t>月</w:t>
      </w:r>
    </w:p>
    <w:p w14:paraId="119E8C0B">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1B0B2017">
      <w:pPr>
        <w:tabs>
          <w:tab w:val="left" w:pos="1080"/>
        </w:tabs>
        <w:spacing w:line="288" w:lineRule="auto"/>
        <w:jc w:val="center"/>
        <w:rPr>
          <w:rFonts w:ascii="Arial" w:hAnsi="Arial" w:eastAsia="宋体" w:cs="Arial"/>
          <w:b/>
          <w:color w:val="auto"/>
          <w:sz w:val="32"/>
          <w:szCs w:val="32"/>
          <w:highlight w:val="none"/>
        </w:rPr>
      </w:pPr>
    </w:p>
    <w:sdt>
      <w:sdtPr>
        <w:rPr>
          <w:rFonts w:ascii="Arial" w:hAnsi="Arial" w:eastAsia="宋体" w:cs="Arial"/>
          <w:b/>
          <w:bCs/>
          <w:color w:val="auto"/>
          <w:kern w:val="0"/>
          <w:sz w:val="24"/>
          <w:szCs w:val="32"/>
          <w:highlight w:val="none"/>
        </w:rPr>
        <w:id w:val="147472183"/>
        <w:docPartObj>
          <w:docPartGallery w:val="Table of Contents"/>
          <w:docPartUnique/>
        </w:docPartObj>
      </w:sdtPr>
      <w:sdtEndPr>
        <w:rPr>
          <w:rFonts w:ascii="Arial" w:hAnsi="Arial" w:eastAsia="宋体" w:cs="Arial"/>
          <w:b/>
          <w:bCs/>
          <w:color w:val="auto"/>
          <w:kern w:val="0"/>
          <w:sz w:val="28"/>
          <w:szCs w:val="28"/>
          <w:highlight w:val="none"/>
        </w:rPr>
      </w:sdtEndPr>
      <w:sdtContent>
        <w:p w14:paraId="10F13801">
          <w:pPr>
            <w:spacing w:line="288" w:lineRule="auto"/>
            <w:jc w:val="center"/>
            <w:rPr>
              <w:rFonts w:ascii="Arial" w:hAnsi="Arial" w:eastAsia="宋体" w:cs="Arial"/>
              <w:color w:val="auto"/>
              <w:sz w:val="96"/>
              <w:szCs w:val="160"/>
              <w:highlight w:val="none"/>
            </w:rPr>
          </w:pPr>
          <w:r>
            <w:rPr>
              <w:rFonts w:ascii="Arial" w:hAnsi="Arial" w:eastAsia="宋体" w:cs="Arial"/>
              <w:b/>
              <w:bCs/>
              <w:color w:val="auto"/>
              <w:kern w:val="0"/>
              <w:sz w:val="44"/>
              <w:szCs w:val="52"/>
              <w:highlight w:val="none"/>
            </w:rPr>
            <w:t>目  录</w:t>
          </w:r>
        </w:p>
        <w:p w14:paraId="3D738EB1">
          <w:pPr>
            <w:pStyle w:val="19"/>
            <w:tabs>
              <w:tab w:val="right" w:leader="dot" w:pos="9923"/>
            </w:tabs>
            <w:spacing w:line="288" w:lineRule="auto"/>
            <w:rPr>
              <w:rFonts w:ascii="Arial" w:hAnsi="Arial" w:eastAsia="宋体" w:cs="Arial"/>
              <w:color w:val="auto"/>
              <w:sz w:val="28"/>
              <w:szCs w:val="28"/>
              <w:highlight w:val="none"/>
            </w:rPr>
          </w:pPr>
          <w:r>
            <w:rPr>
              <w:rFonts w:ascii="Arial" w:hAnsi="Arial" w:eastAsia="宋体" w:cs="Arial"/>
              <w:color w:val="auto"/>
              <w:sz w:val="32"/>
              <w:szCs w:val="32"/>
              <w:highlight w:val="none"/>
            </w:rPr>
            <w:fldChar w:fldCharType="begin"/>
          </w:r>
          <w:r>
            <w:rPr>
              <w:rFonts w:ascii="Arial" w:hAnsi="Arial" w:eastAsia="宋体" w:cs="Arial"/>
              <w:color w:val="auto"/>
              <w:sz w:val="32"/>
              <w:szCs w:val="32"/>
              <w:highlight w:val="none"/>
            </w:rPr>
            <w:instrText xml:space="preserve">TOC \o "1-1" \h \u </w:instrText>
          </w:r>
          <w:r>
            <w:rPr>
              <w:rFonts w:ascii="Arial" w:hAnsi="Arial" w:eastAsia="宋体" w:cs="Arial"/>
              <w:color w:val="auto"/>
              <w:sz w:val="32"/>
              <w:szCs w:val="32"/>
              <w:highlight w:val="none"/>
            </w:rPr>
            <w:fldChar w:fldCharType="separate"/>
          </w:r>
          <w:r>
            <w:rPr>
              <w:color w:val="auto"/>
              <w:highlight w:val="none"/>
            </w:rPr>
            <w:fldChar w:fldCharType="begin"/>
          </w:r>
          <w:r>
            <w:rPr>
              <w:color w:val="auto"/>
              <w:highlight w:val="none"/>
            </w:rPr>
            <w:instrText xml:space="preserve"> HYPERLINK \l "_Toc11589" </w:instrText>
          </w:r>
          <w:r>
            <w:rPr>
              <w:color w:val="auto"/>
              <w:highlight w:val="none"/>
            </w:rPr>
            <w:fldChar w:fldCharType="separate"/>
          </w:r>
          <w:r>
            <w:rPr>
              <w:rFonts w:ascii="Arial" w:hAnsi="Arial" w:eastAsia="宋体" w:cs="Arial"/>
              <w:color w:val="auto"/>
              <w:sz w:val="28"/>
              <w:szCs w:val="28"/>
              <w:highlight w:val="none"/>
            </w:rPr>
            <w:t>第一章 竞争性谈判公告</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_Toc11589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1</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7208D63C">
          <w:pPr>
            <w:pStyle w:val="19"/>
            <w:tabs>
              <w:tab w:val="right" w:leader="dot" w:pos="9923"/>
            </w:tabs>
            <w:spacing w:line="288" w:lineRule="auto"/>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"_Toc20458" </w:instrText>
          </w:r>
          <w:r>
            <w:rPr>
              <w:color w:val="auto"/>
              <w:highlight w:val="none"/>
            </w:rPr>
            <w:fldChar w:fldCharType="separate"/>
          </w:r>
          <w:r>
            <w:rPr>
              <w:rFonts w:ascii="Arial" w:hAnsi="Arial" w:eastAsia="宋体" w:cs="Arial"/>
              <w:bCs/>
              <w:color w:val="auto"/>
              <w:kern w:val="44"/>
              <w:sz w:val="28"/>
              <w:szCs w:val="28"/>
              <w:highlight w:val="none"/>
            </w:rPr>
            <w:t xml:space="preserve">第二章 </w:t>
          </w:r>
          <w:r>
            <w:rPr>
              <w:rFonts w:ascii="Arial" w:hAnsi="Arial" w:eastAsia="宋体" w:cs="Arial"/>
              <w:bCs/>
              <w:color w:val="auto"/>
              <w:sz w:val="28"/>
              <w:szCs w:val="28"/>
              <w:highlight w:val="none"/>
            </w:rPr>
            <w:t>供应商须知</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_Toc20458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3</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2850C122">
          <w:pPr>
            <w:pStyle w:val="19"/>
            <w:tabs>
              <w:tab w:val="right" w:leader="dot" w:pos="9923"/>
            </w:tabs>
            <w:spacing w:line="288" w:lineRule="auto"/>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"_Toc8686" </w:instrText>
          </w:r>
          <w:r>
            <w:rPr>
              <w:color w:val="auto"/>
              <w:highlight w:val="none"/>
            </w:rPr>
            <w:fldChar w:fldCharType="separate"/>
          </w:r>
          <w:r>
            <w:rPr>
              <w:rFonts w:ascii="Arial" w:hAnsi="Arial" w:eastAsia="宋体" w:cs="Arial"/>
              <w:color w:val="auto"/>
              <w:sz w:val="28"/>
              <w:szCs w:val="28"/>
              <w:highlight w:val="none"/>
            </w:rPr>
            <w:t>第三章  项目采购需求</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_Toc8686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17</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3E30C402">
          <w:pPr>
            <w:pStyle w:val="19"/>
            <w:tabs>
              <w:tab w:val="right" w:leader="dot" w:pos="9923"/>
            </w:tabs>
            <w:spacing w:line="288" w:lineRule="auto"/>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"_Toc16632" </w:instrText>
          </w:r>
          <w:r>
            <w:rPr>
              <w:color w:val="auto"/>
              <w:highlight w:val="none"/>
            </w:rPr>
            <w:fldChar w:fldCharType="separate"/>
          </w:r>
          <w:r>
            <w:rPr>
              <w:rFonts w:ascii="Arial" w:hAnsi="Arial" w:eastAsia="宋体" w:cs="Arial"/>
              <w:color w:val="auto"/>
              <w:sz w:val="28"/>
              <w:szCs w:val="28"/>
              <w:highlight w:val="none"/>
            </w:rPr>
            <w:t>第四章  评审办法</w:t>
          </w:r>
          <w:r>
            <w:rPr>
              <w:rFonts w:ascii="Arial" w:hAnsi="Arial" w:eastAsia="宋体" w:cs="Arial"/>
              <w:color w:val="auto"/>
              <w:sz w:val="28"/>
              <w:szCs w:val="28"/>
              <w:highlight w:val="none"/>
            </w:rPr>
            <w:tab/>
          </w:r>
          <w:bookmarkStart w:id="64" w:name="_GoBack"/>
          <w:bookmarkEnd w:id="64"/>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_Toc16632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26</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3DD57838">
          <w:pPr>
            <w:pStyle w:val="19"/>
            <w:tabs>
              <w:tab w:val="right" w:leader="dot" w:pos="9923"/>
            </w:tabs>
            <w:spacing w:line="288" w:lineRule="auto"/>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"_Toc7117" </w:instrText>
          </w:r>
          <w:r>
            <w:rPr>
              <w:color w:val="auto"/>
              <w:highlight w:val="none"/>
            </w:rPr>
            <w:fldChar w:fldCharType="separate"/>
          </w:r>
          <w:r>
            <w:rPr>
              <w:rFonts w:ascii="Arial" w:hAnsi="Arial" w:eastAsia="宋体" w:cs="Arial"/>
              <w:color w:val="auto"/>
              <w:sz w:val="28"/>
              <w:szCs w:val="28"/>
              <w:highlight w:val="none"/>
            </w:rPr>
            <w:t>第五章  采购合同（合同主要条款及格式）</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_Toc7117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28</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40B1C60B">
          <w:pPr>
            <w:pStyle w:val="19"/>
            <w:tabs>
              <w:tab w:val="right" w:leader="dot" w:pos="9923"/>
            </w:tabs>
            <w:spacing w:line="288" w:lineRule="auto"/>
            <w:rPr>
              <w:color w:val="auto"/>
              <w:highlight w:val="none"/>
            </w:rPr>
          </w:pPr>
          <w:r>
            <w:rPr>
              <w:color w:val="auto"/>
              <w:highlight w:val="none"/>
            </w:rPr>
            <w:fldChar w:fldCharType="begin"/>
          </w:r>
          <w:r>
            <w:rPr>
              <w:color w:val="auto"/>
              <w:highlight w:val="none"/>
            </w:rPr>
            <w:instrText xml:space="preserve"> HYPERLINK \l "_Toc15843" </w:instrText>
          </w:r>
          <w:r>
            <w:rPr>
              <w:color w:val="auto"/>
              <w:highlight w:val="none"/>
            </w:rPr>
            <w:fldChar w:fldCharType="separate"/>
          </w:r>
          <w:r>
            <w:rPr>
              <w:rFonts w:ascii="Arial" w:hAnsi="Arial" w:eastAsia="宋体" w:cs="Arial"/>
              <w:color w:val="auto"/>
              <w:sz w:val="28"/>
              <w:szCs w:val="28"/>
              <w:highlight w:val="none"/>
            </w:rPr>
            <w:t>第六章 响应文件（格式）</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_Toc15843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34</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2FA7A257">
          <w:pPr>
            <w:pStyle w:val="5"/>
            <w:spacing w:line="288" w:lineRule="auto"/>
            <w:rPr>
              <w:rFonts w:ascii="Arial" w:hAnsi="Arial" w:eastAsia="宋体" w:cs="Arial"/>
              <w:color w:val="auto"/>
              <w:highlight w:val="none"/>
            </w:rPr>
            <w:sectPr>
              <w:headerReference r:id="rId5" w:type="default"/>
              <w:footerReference r:id="rId6" w:type="default"/>
              <w:pgSz w:w="11906" w:h="16838"/>
              <w:pgMar w:top="1134" w:right="1417" w:bottom="1134" w:left="1417" w:header="720" w:footer="720" w:gutter="0"/>
              <w:pgNumType w:start="0"/>
              <w:cols w:space="720" w:num="1"/>
              <w:titlePg/>
              <w:docGrid w:type="linesAndChars" w:linePitch="331" w:charSpace="0"/>
            </w:sectPr>
          </w:pPr>
          <w:r>
            <w:rPr>
              <w:rFonts w:ascii="Arial" w:hAnsi="Arial" w:eastAsia="宋体" w:cs="Arial"/>
              <w:color w:val="auto"/>
              <w:szCs w:val="48"/>
              <w:highlight w:val="none"/>
            </w:rPr>
            <w:fldChar w:fldCharType="end"/>
          </w:r>
        </w:p>
      </w:sdtContent>
    </w:sdt>
    <w:p w14:paraId="46B4548A">
      <w:pPr>
        <w:pStyle w:val="2"/>
        <w:snapToGrid w:val="0"/>
        <w:spacing w:before="0" w:after="0" w:line="288" w:lineRule="auto"/>
        <w:jc w:val="center"/>
        <w:rPr>
          <w:color w:val="auto"/>
          <w:highlight w:val="none"/>
        </w:rPr>
      </w:pPr>
      <w:bookmarkStart w:id="0" w:name="_Toc25419"/>
      <w:bookmarkStart w:id="1" w:name="_Toc11589"/>
      <w:r>
        <w:rPr>
          <w:color w:val="auto"/>
          <w:highlight w:val="none"/>
        </w:rPr>
        <w:t>第一章 竞争性谈判</w:t>
      </w:r>
      <w:bookmarkEnd w:id="0"/>
      <w:r>
        <w:rPr>
          <w:color w:val="auto"/>
          <w:highlight w:val="none"/>
        </w:rPr>
        <w:t>公告</w:t>
      </w:r>
      <w:bookmarkEnd w:id="1"/>
    </w:p>
    <w:p w14:paraId="4E4AC26B">
      <w:pPr>
        <w:pBdr>
          <w:top w:val="single" w:color="auto" w:sz="4" w:space="1"/>
          <w:left w:val="single" w:color="auto" w:sz="4" w:space="4"/>
          <w:bottom w:val="single" w:color="auto" w:sz="4" w:space="1"/>
          <w:right w:val="single" w:color="auto" w:sz="4" w:space="4"/>
        </w:pBd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项目概况</w:t>
      </w:r>
    </w:p>
    <w:p w14:paraId="5404ABE2">
      <w:pPr>
        <w:pBdr>
          <w:top w:val="single" w:color="auto" w:sz="4" w:space="1"/>
          <w:left w:val="single" w:color="auto" w:sz="4" w:space="4"/>
          <w:bottom w:val="single" w:color="auto" w:sz="4" w:space="1"/>
          <w:right w:val="single" w:color="auto" w:sz="4" w:space="4"/>
        </w:pBdr>
        <w:spacing w:line="288" w:lineRule="auto"/>
        <w:ind w:firstLine="420" w:firstLineChars="200"/>
        <w:rPr>
          <w:rFonts w:ascii="Arial" w:hAnsi="Arial" w:eastAsia="宋体" w:cs="Arial"/>
          <w:color w:val="auto"/>
          <w:highlight w:val="none"/>
        </w:rPr>
      </w:pPr>
      <w:r>
        <w:rPr>
          <w:rFonts w:hint="eastAsia" w:ascii="Arial" w:hAnsi="Arial" w:eastAsia="宋体" w:cs="Arial"/>
          <w:bCs/>
          <w:color w:val="auto"/>
          <w:highlight w:val="none"/>
          <w:u w:val="single"/>
        </w:rPr>
        <w:t>土木学院智慧建造专业实训平台采购项目</w:t>
      </w:r>
      <w:r>
        <w:rPr>
          <w:rFonts w:ascii="Arial" w:hAnsi="Arial" w:eastAsia="宋体" w:cs="Arial"/>
          <w:bCs/>
          <w:color w:val="auto"/>
          <w:highlight w:val="none"/>
          <w:u w:val="single"/>
        </w:rPr>
        <w:t>（项目编号：</w:t>
      </w:r>
      <w:r>
        <w:rPr>
          <w:rFonts w:hint="eastAsia" w:ascii="Arial" w:hAnsi="Arial" w:eastAsia="宋体" w:cs="Arial"/>
          <w:bCs/>
          <w:color w:val="auto"/>
          <w:highlight w:val="none"/>
          <w:u w:val="single"/>
          <w:lang w:eastAsia="zh-CN"/>
        </w:rPr>
        <w:t>GXJD-24114CC031162</w:t>
      </w:r>
      <w:r>
        <w:rPr>
          <w:rFonts w:ascii="Arial" w:hAnsi="Arial" w:eastAsia="宋体" w:cs="Arial"/>
          <w:bCs/>
          <w:color w:val="auto"/>
          <w:highlight w:val="none"/>
          <w:u w:val="single"/>
        </w:rPr>
        <w:t>）</w:t>
      </w:r>
      <w:r>
        <w:rPr>
          <w:rFonts w:ascii="Arial" w:hAnsi="Arial" w:eastAsia="宋体" w:cs="Arial"/>
          <w:color w:val="auto"/>
          <w:highlight w:val="none"/>
        </w:rPr>
        <w:t>的潜在供应商应登录中国招标投标公共服务平台网（www.cebpubservice.com），从网上下载竞争性谈判文件电子版，并于</w:t>
      </w:r>
      <w:r>
        <w:rPr>
          <w:rFonts w:ascii="Arial" w:hAnsi="Arial" w:eastAsia="宋体" w:cs="Arial"/>
          <w:color w:val="auto"/>
          <w:highlight w:val="none"/>
          <w:u w:val="single"/>
        </w:rPr>
        <w:t>2024年</w:t>
      </w:r>
      <w:r>
        <w:rPr>
          <w:rFonts w:hint="eastAsia" w:ascii="Arial" w:hAnsi="Arial" w:eastAsia="宋体" w:cs="Arial"/>
          <w:color w:val="auto"/>
          <w:highlight w:val="none"/>
          <w:u w:val="single"/>
          <w:lang w:val="en-US" w:eastAsia="zh-CN"/>
        </w:rPr>
        <w:t>7</w:t>
      </w:r>
      <w:r>
        <w:rPr>
          <w:rFonts w:ascii="Arial" w:hAnsi="Arial" w:eastAsia="宋体" w:cs="Arial"/>
          <w:color w:val="auto"/>
          <w:highlight w:val="none"/>
          <w:u w:val="single"/>
        </w:rPr>
        <w:t>月</w:t>
      </w:r>
      <w:r>
        <w:rPr>
          <w:rFonts w:hint="eastAsia" w:ascii="Arial" w:hAnsi="Arial" w:eastAsia="宋体" w:cs="Arial"/>
          <w:color w:val="auto"/>
          <w:highlight w:val="none"/>
          <w:u w:val="single"/>
          <w:lang w:val="en-US" w:eastAsia="zh-CN"/>
        </w:rPr>
        <w:t>30</w:t>
      </w:r>
      <w:r>
        <w:rPr>
          <w:rFonts w:ascii="Arial" w:hAnsi="Arial" w:eastAsia="宋体" w:cs="Arial"/>
          <w:color w:val="auto"/>
          <w:highlight w:val="none"/>
          <w:u w:val="single"/>
        </w:rPr>
        <w:t>日</w:t>
      </w:r>
      <w:r>
        <w:rPr>
          <w:rFonts w:hint="eastAsia" w:ascii="Arial" w:hAnsi="Arial" w:eastAsia="宋体" w:cs="Arial"/>
          <w:bCs/>
          <w:color w:val="auto"/>
          <w:highlight w:val="none"/>
          <w:u w:val="single"/>
          <w:lang w:val="en-US" w:eastAsia="zh-CN"/>
        </w:rPr>
        <w:t>15</w:t>
      </w:r>
      <w:r>
        <w:rPr>
          <w:rFonts w:ascii="Arial" w:hAnsi="Arial" w:eastAsia="宋体" w:cs="Arial"/>
          <w:bCs/>
          <w:color w:val="auto"/>
          <w:highlight w:val="none"/>
          <w:u w:val="single"/>
        </w:rPr>
        <w:t>：</w:t>
      </w:r>
      <w:r>
        <w:rPr>
          <w:rFonts w:hint="eastAsia" w:ascii="Arial" w:hAnsi="Arial" w:eastAsia="宋体" w:cs="Arial"/>
          <w:bCs/>
          <w:color w:val="auto"/>
          <w:highlight w:val="none"/>
          <w:u w:val="single"/>
          <w:lang w:val="en-US" w:eastAsia="zh-CN"/>
        </w:rPr>
        <w:t>0</w:t>
      </w:r>
      <w:r>
        <w:rPr>
          <w:rFonts w:ascii="Arial" w:hAnsi="Arial" w:eastAsia="宋体" w:cs="Arial"/>
          <w:bCs/>
          <w:color w:val="auto"/>
          <w:highlight w:val="none"/>
          <w:u w:val="single"/>
        </w:rPr>
        <w:t>0</w:t>
      </w:r>
      <w:r>
        <w:rPr>
          <w:rFonts w:ascii="Arial" w:hAnsi="Arial" w:eastAsia="宋体" w:cs="Arial"/>
          <w:bCs/>
          <w:color w:val="auto"/>
          <w:highlight w:val="none"/>
        </w:rPr>
        <w:t>（北京时间）前提交响应文件</w:t>
      </w:r>
      <w:r>
        <w:rPr>
          <w:rFonts w:ascii="Arial" w:hAnsi="Arial" w:eastAsia="宋体" w:cs="Arial"/>
          <w:color w:val="auto"/>
          <w:highlight w:val="none"/>
        </w:rPr>
        <w:t>。</w:t>
      </w:r>
    </w:p>
    <w:p w14:paraId="69551AEA">
      <w:pPr>
        <w:snapToGrid w:val="0"/>
        <w:spacing w:after="0" w:line="288"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一、项目基本情况</w:t>
      </w:r>
    </w:p>
    <w:p w14:paraId="66627779">
      <w:pPr>
        <w:snapToGrid w:val="0"/>
        <w:spacing w:after="0" w:line="288" w:lineRule="auto"/>
        <w:ind w:firstLine="420" w:firstLineChars="200"/>
        <w:rPr>
          <w:rFonts w:hint="eastAsia" w:ascii="Arial" w:hAnsi="Arial" w:eastAsia="宋体" w:cs="Arial"/>
          <w:color w:val="auto"/>
          <w:szCs w:val="21"/>
          <w:highlight w:val="none"/>
          <w:lang w:eastAsia="zh-CN"/>
        </w:rPr>
      </w:pPr>
      <w:r>
        <w:rPr>
          <w:rFonts w:ascii="Arial" w:hAnsi="Arial" w:eastAsia="宋体" w:cs="Arial"/>
          <w:color w:val="auto"/>
          <w:highlight w:val="none"/>
        </w:rPr>
        <w:t>项目编号：</w:t>
      </w:r>
      <w:r>
        <w:rPr>
          <w:rFonts w:hint="eastAsia" w:ascii="Arial" w:hAnsi="Arial" w:eastAsia="宋体" w:cs="Arial"/>
          <w:color w:val="auto"/>
          <w:szCs w:val="21"/>
          <w:highlight w:val="none"/>
          <w:lang w:eastAsia="zh-CN"/>
        </w:rPr>
        <w:t>GXJD-24114CC031162</w:t>
      </w:r>
    </w:p>
    <w:p w14:paraId="71541BD7">
      <w:pPr>
        <w:snapToGrid w:val="0"/>
        <w:spacing w:after="0" w:line="288" w:lineRule="auto"/>
        <w:ind w:firstLine="420" w:firstLineChars="200"/>
        <w:rPr>
          <w:rFonts w:ascii="Arial" w:hAnsi="Arial" w:eastAsia="宋体" w:cs="Arial"/>
          <w:color w:val="auto"/>
          <w:highlight w:val="none"/>
          <w:u w:val="single"/>
        </w:rPr>
      </w:pPr>
      <w:r>
        <w:rPr>
          <w:rFonts w:ascii="Arial" w:hAnsi="Arial" w:eastAsia="宋体" w:cs="Arial"/>
          <w:color w:val="auto"/>
          <w:highlight w:val="none"/>
        </w:rPr>
        <w:t>项目名称：</w:t>
      </w:r>
      <w:r>
        <w:rPr>
          <w:rFonts w:hint="eastAsia" w:ascii="Arial" w:hAnsi="Arial" w:eastAsia="宋体" w:cs="Arial"/>
          <w:color w:val="auto"/>
          <w:highlight w:val="none"/>
        </w:rPr>
        <w:t>土木学院智慧建造专业实训平台采购项目</w:t>
      </w:r>
    </w:p>
    <w:p w14:paraId="146E6542">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采购方式：竞争性谈判</w:t>
      </w:r>
    </w:p>
    <w:p w14:paraId="4BD60DAE">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采购预算金额：</w:t>
      </w:r>
      <w:r>
        <w:rPr>
          <w:rFonts w:hint="eastAsia" w:ascii="Arial" w:hAnsi="Arial" w:eastAsia="宋体" w:cs="Arial"/>
          <w:color w:val="auto"/>
          <w:highlight w:val="none"/>
        </w:rPr>
        <w:t>人民币肆拾伍万元整（¥450000.00）（其中：A分标：380000元，B分标：70000元）</w:t>
      </w:r>
    </w:p>
    <w:p w14:paraId="6EBBD16D">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项目采购需求：</w:t>
      </w:r>
    </w:p>
    <w:p w14:paraId="2043D274">
      <w:pPr>
        <w:snapToGrid w:val="0"/>
        <w:spacing w:after="0"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A分标：《公路工程设计BIM系统》2024高校版1套</w:t>
      </w:r>
      <w:r>
        <w:rPr>
          <w:rFonts w:ascii="Arial" w:hAnsi="Arial" w:eastAsia="宋体" w:cs="Arial"/>
          <w:color w:val="auto"/>
          <w:szCs w:val="21"/>
          <w:highlight w:val="none"/>
        </w:rPr>
        <w:t>，</w:t>
      </w:r>
      <w:r>
        <w:rPr>
          <w:rFonts w:ascii="Arial" w:hAnsi="Arial" w:eastAsia="宋体" w:cs="Arial"/>
          <w:color w:val="auto"/>
          <w:highlight w:val="none"/>
        </w:rPr>
        <w:t>如需进一步了解，具体详见谈判文件。</w:t>
      </w:r>
    </w:p>
    <w:p w14:paraId="35174CDF">
      <w:pPr>
        <w:snapToGrid w:val="0"/>
        <w:spacing w:after="0"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B分标：智能讲解机器人1套</w:t>
      </w:r>
      <w:r>
        <w:rPr>
          <w:rFonts w:ascii="Arial" w:hAnsi="Arial" w:eastAsia="宋体" w:cs="Arial"/>
          <w:color w:val="auto"/>
          <w:szCs w:val="21"/>
          <w:highlight w:val="none"/>
        </w:rPr>
        <w:t>，</w:t>
      </w:r>
      <w:r>
        <w:rPr>
          <w:rFonts w:ascii="Arial" w:hAnsi="Arial" w:eastAsia="宋体" w:cs="Arial"/>
          <w:color w:val="auto"/>
          <w:highlight w:val="none"/>
        </w:rPr>
        <w:t>如需进一步了解，具体详见谈判文件。</w:t>
      </w:r>
    </w:p>
    <w:p w14:paraId="73F8E272">
      <w:pPr>
        <w:snapToGrid w:val="0"/>
        <w:spacing w:after="0" w:line="288"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二、供应商的资格条件：</w:t>
      </w:r>
    </w:p>
    <w:p w14:paraId="38E11DEF">
      <w:pPr>
        <w:snapToGrid w:val="0"/>
        <w:spacing w:after="0" w:line="288" w:lineRule="auto"/>
        <w:ind w:firstLine="420" w:firstLineChars="200"/>
        <w:rPr>
          <w:rFonts w:ascii="Arial" w:hAnsi="Arial" w:eastAsia="宋体" w:cs="Arial"/>
          <w:color w:val="auto"/>
          <w:highlight w:val="none"/>
        </w:rPr>
      </w:pPr>
      <w:bookmarkStart w:id="2" w:name="_Toc28359014"/>
      <w:bookmarkStart w:id="3" w:name="_Toc28359091"/>
      <w:r>
        <w:rPr>
          <w:rFonts w:ascii="Arial" w:hAnsi="Arial" w:eastAsia="宋体" w:cs="Arial"/>
          <w:color w:val="auto"/>
          <w:highlight w:val="none"/>
        </w:rPr>
        <w:t>1.符合《中华人民共和国政府采购法》第二十二条规定。</w:t>
      </w:r>
    </w:p>
    <w:p w14:paraId="5203FA18">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2.供应商的特定资格要求：</w:t>
      </w:r>
      <w:r>
        <w:rPr>
          <w:rFonts w:hint="eastAsia" w:ascii="Arial" w:hAnsi="Arial" w:eastAsia="宋体" w:cs="Arial"/>
          <w:b/>
          <w:bCs/>
          <w:color w:val="auto"/>
          <w:highlight w:val="none"/>
        </w:rPr>
        <w:t>本项目非专门面向中小微企业采购</w:t>
      </w:r>
      <w:r>
        <w:rPr>
          <w:rFonts w:ascii="Arial" w:hAnsi="Arial" w:eastAsia="宋体" w:cs="Arial"/>
          <w:b/>
          <w:bCs/>
          <w:color w:val="auto"/>
          <w:highlight w:val="none"/>
        </w:rPr>
        <w:t>。</w:t>
      </w:r>
    </w:p>
    <w:p w14:paraId="5043E5C6">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5DF1D5A0">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44C73545">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5.本项目不接受联合体参与谈判。</w:t>
      </w:r>
    </w:p>
    <w:bookmarkEnd w:id="2"/>
    <w:bookmarkEnd w:id="3"/>
    <w:p w14:paraId="0D0E0DD7">
      <w:pPr>
        <w:snapToGrid w:val="0"/>
        <w:spacing w:after="0" w:line="288"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三、获取采购文件</w:t>
      </w:r>
    </w:p>
    <w:p w14:paraId="5BBFAAC1">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获取竞争性谈判文件方式：潜在供应商登陆中国招标投标公共服务平台网（www.cebpubservice.com），从网上下载竞争性谈判文件电子版；并根据竞争性谈判文件规定的响应文件递交截止时间和地点直接提交响应文件参与谈判。</w:t>
      </w:r>
    </w:p>
    <w:p w14:paraId="23AADF74">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售价(元)：0元。</w:t>
      </w:r>
    </w:p>
    <w:p w14:paraId="6A4A9950">
      <w:pPr>
        <w:snapToGrid w:val="0"/>
        <w:spacing w:after="0" w:line="288"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四、谈判保证金的金额（人民币）：</w:t>
      </w:r>
    </w:p>
    <w:p w14:paraId="0B982C32">
      <w:pPr>
        <w:snapToGrid w:val="0"/>
        <w:spacing w:after="0" w:line="288" w:lineRule="auto"/>
        <w:ind w:firstLine="422" w:firstLineChars="200"/>
        <w:rPr>
          <w:rFonts w:ascii="Arial" w:hAnsi="Arial" w:eastAsia="宋体" w:cs="Arial"/>
          <w:b/>
          <w:bCs/>
          <w:color w:val="auto"/>
          <w:szCs w:val="21"/>
          <w:highlight w:val="none"/>
        </w:rPr>
      </w:pPr>
      <w:r>
        <w:rPr>
          <w:rFonts w:hint="eastAsia" w:ascii="Arial" w:hAnsi="Arial" w:eastAsia="宋体" w:cs="Arial"/>
          <w:b/>
          <w:bCs/>
          <w:color w:val="auto"/>
          <w:szCs w:val="21"/>
          <w:highlight w:val="none"/>
        </w:rPr>
        <w:t>A分标：叁仟捌佰元整（¥3800.00）</w:t>
      </w:r>
      <w:r>
        <w:rPr>
          <w:rFonts w:ascii="Arial" w:hAnsi="Arial" w:eastAsia="宋体" w:cs="Arial"/>
          <w:b/>
          <w:bCs/>
          <w:color w:val="auto"/>
          <w:szCs w:val="21"/>
          <w:highlight w:val="none"/>
        </w:rPr>
        <w:t>；</w:t>
      </w:r>
      <w:r>
        <w:rPr>
          <w:rFonts w:hint="eastAsia" w:ascii="Arial" w:hAnsi="Arial" w:eastAsia="宋体" w:cs="Arial"/>
          <w:b/>
          <w:bCs/>
          <w:color w:val="auto"/>
          <w:szCs w:val="21"/>
          <w:highlight w:val="none"/>
        </w:rPr>
        <w:t>B分标：柒佰元整（¥700.00）</w:t>
      </w:r>
      <w:r>
        <w:rPr>
          <w:rFonts w:ascii="Arial" w:hAnsi="Arial" w:eastAsia="宋体" w:cs="Arial"/>
          <w:b/>
          <w:bCs/>
          <w:color w:val="auto"/>
          <w:szCs w:val="21"/>
          <w:highlight w:val="none"/>
        </w:rPr>
        <w:t>；（须足额缴纳）</w:t>
      </w:r>
    </w:p>
    <w:p w14:paraId="759D4532">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供应商应于截标时间前将谈判保证金以电汇、转账形式从供应商账户一次性足额交纳至以下账号。本项目谈判保证金交纳账号信息如下：</w:t>
      </w:r>
    </w:p>
    <w:p w14:paraId="0CEEF09A">
      <w:pPr>
        <w:snapToGrid w:val="0"/>
        <w:spacing w:after="0"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A分标：</w:t>
      </w:r>
    </w:p>
    <w:p w14:paraId="612F42DF">
      <w:pPr>
        <w:snapToGrid w:val="0"/>
        <w:spacing w:after="0"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14:paraId="1D233153">
      <w:pPr>
        <w:snapToGrid w:val="0"/>
        <w:spacing w:after="0"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14:paraId="4B8BC9AC">
      <w:pPr>
        <w:snapToGrid w:val="0"/>
        <w:spacing w:after="0"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开户账户：30210485764836</w:t>
      </w:r>
    </w:p>
    <w:p w14:paraId="482ECA73">
      <w:pPr>
        <w:snapToGrid w:val="0"/>
        <w:spacing w:after="0"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B分标：</w:t>
      </w:r>
    </w:p>
    <w:p w14:paraId="5CE00549">
      <w:pPr>
        <w:snapToGrid w:val="0"/>
        <w:spacing w:after="0"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14:paraId="66770939">
      <w:pPr>
        <w:snapToGrid w:val="0"/>
        <w:spacing w:after="0"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14:paraId="5F24EFAE">
      <w:pPr>
        <w:snapToGrid w:val="0"/>
        <w:spacing w:after="0"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开户账户：30210485079359</w:t>
      </w:r>
    </w:p>
    <w:p w14:paraId="5FBDBF25">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14:paraId="18B92DC4">
      <w:pPr>
        <w:snapToGrid w:val="0"/>
        <w:spacing w:after="0" w:line="288"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五、响应文件提交</w:t>
      </w:r>
    </w:p>
    <w:p w14:paraId="1E1F7735">
      <w:pPr>
        <w:adjustRightInd w:val="0"/>
        <w:snapToGrid w:val="0"/>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首次响应文件提交截止时间：2024年</w:t>
      </w:r>
      <w:r>
        <w:rPr>
          <w:rFonts w:hint="eastAsia" w:ascii="Arial" w:hAnsi="Arial" w:eastAsia="宋体" w:cs="Arial"/>
          <w:color w:val="auto"/>
          <w:szCs w:val="21"/>
          <w:highlight w:val="none"/>
        </w:rPr>
        <w:t>7月30日</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w:t>
      </w:r>
    </w:p>
    <w:p w14:paraId="5F4939B1">
      <w:pPr>
        <w:adjustRightInd w:val="0"/>
        <w:snapToGrid w:val="0"/>
        <w:spacing w:after="0" w:line="288" w:lineRule="auto"/>
        <w:ind w:firstLine="420" w:firstLineChars="200"/>
        <w:rPr>
          <w:rFonts w:ascii="Arial" w:hAnsi="Arial" w:eastAsia="宋体" w:cs="Arial"/>
          <w:bCs/>
          <w:color w:val="auto"/>
          <w:szCs w:val="21"/>
          <w:highlight w:val="none"/>
        </w:rPr>
      </w:pPr>
      <w:r>
        <w:rPr>
          <w:rFonts w:ascii="Arial" w:hAnsi="Arial" w:eastAsia="宋体" w:cs="Arial"/>
          <w:bCs/>
          <w:color w:val="auto"/>
          <w:szCs w:val="21"/>
          <w:highlight w:val="none"/>
        </w:rPr>
        <w:t>首次响应文件提交起止时间：</w:t>
      </w:r>
      <w:r>
        <w:rPr>
          <w:rFonts w:ascii="Arial" w:hAnsi="Arial" w:eastAsia="宋体" w:cs="Arial"/>
          <w:color w:val="auto"/>
          <w:szCs w:val="21"/>
          <w:highlight w:val="none"/>
        </w:rPr>
        <w:t xml:space="preserve">2024年 </w:t>
      </w:r>
      <w:r>
        <w:rPr>
          <w:rFonts w:hint="eastAsia" w:ascii="Arial" w:hAnsi="Arial" w:eastAsia="宋体" w:cs="Arial"/>
          <w:color w:val="auto"/>
          <w:szCs w:val="21"/>
          <w:highlight w:val="none"/>
        </w:rPr>
        <w:t>7月30日</w:t>
      </w:r>
      <w:r>
        <w:rPr>
          <w:rFonts w:hint="eastAsia" w:ascii="Arial" w:hAnsi="Arial" w:eastAsia="宋体" w:cs="Arial"/>
          <w:bCs/>
          <w:color w:val="auto"/>
          <w:szCs w:val="21"/>
          <w:highlight w:val="none"/>
          <w:lang w:val="en-US" w:eastAsia="zh-CN"/>
        </w:rPr>
        <w:t>14</w:t>
      </w:r>
      <w:r>
        <w:rPr>
          <w:rFonts w:ascii="Arial" w:hAnsi="Arial" w:eastAsia="宋体" w:cs="Arial"/>
          <w:bCs/>
          <w:color w:val="auto"/>
          <w:szCs w:val="21"/>
          <w:highlight w:val="none"/>
        </w:rPr>
        <w:t>时30分起至</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0分止</w:t>
      </w:r>
    </w:p>
    <w:p w14:paraId="5511AF64">
      <w:pPr>
        <w:adjustRightInd w:val="0"/>
        <w:snapToGrid w:val="0"/>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首次响应文件提交地点：</w:t>
      </w:r>
      <w:r>
        <w:rPr>
          <w:rFonts w:hint="eastAsia" w:ascii="Arial" w:hAnsi="Arial" w:eastAsia="宋体" w:cs="Arial"/>
          <w:color w:val="auto"/>
          <w:szCs w:val="21"/>
          <w:highlight w:val="none"/>
        </w:rPr>
        <w:t>广西机电设备招标有限公司桂林分公司</w:t>
      </w:r>
      <w:r>
        <w:rPr>
          <w:rFonts w:hint="eastAsia" w:ascii="Arial" w:hAnsi="Arial" w:eastAsia="宋体" w:cs="Arial"/>
          <w:color w:val="auto"/>
          <w:szCs w:val="21"/>
          <w:highlight w:val="none"/>
          <w:lang w:val="en-US" w:eastAsia="zh-CN"/>
        </w:rPr>
        <w:t>开标室</w:t>
      </w:r>
    </w:p>
    <w:p w14:paraId="162658E1">
      <w:pPr>
        <w:adjustRightInd w:val="0"/>
        <w:snapToGrid w:val="0"/>
        <w:spacing w:after="0" w:line="288" w:lineRule="auto"/>
        <w:ind w:firstLine="420" w:firstLineChars="200"/>
        <w:rPr>
          <w:rFonts w:ascii="Arial" w:hAnsi="Arial" w:eastAsia="宋体" w:cs="Arial"/>
          <w:bCs/>
          <w:color w:val="auto"/>
          <w:szCs w:val="21"/>
          <w:highlight w:val="none"/>
        </w:rPr>
      </w:pPr>
      <w:r>
        <w:rPr>
          <w:rFonts w:ascii="Arial" w:hAnsi="Arial" w:eastAsia="宋体" w:cs="Arial"/>
          <w:bCs/>
          <w:color w:val="auto"/>
          <w:szCs w:val="21"/>
          <w:highlight w:val="none"/>
        </w:rPr>
        <w:t>注：供应商应当在首次响应文件提交截止时间前，</w:t>
      </w:r>
      <w:r>
        <w:rPr>
          <w:rFonts w:ascii="Arial" w:hAnsi="Arial" w:eastAsia="宋体" w:cs="Arial"/>
          <w:b/>
          <w:color w:val="auto"/>
          <w:szCs w:val="21"/>
          <w:highlight w:val="none"/>
        </w:rPr>
        <w:t>授权代表</w:t>
      </w:r>
      <w:r>
        <w:rPr>
          <w:rFonts w:ascii="Arial" w:hAnsi="Arial" w:eastAsia="宋体" w:cs="Arial"/>
          <w:b/>
          <w:bCs/>
          <w:color w:val="auto"/>
          <w:kern w:val="0"/>
          <w:szCs w:val="21"/>
          <w:highlight w:val="none"/>
        </w:rPr>
        <w:t>携带授权委托书及身份证原件（法定代表人携带法定代表人身份证原件与法定代表人身份证明原件）</w:t>
      </w:r>
      <w:r>
        <w:rPr>
          <w:rFonts w:ascii="Arial" w:hAnsi="Arial" w:eastAsia="宋体" w:cs="Arial"/>
          <w:bCs/>
          <w:color w:val="auto"/>
          <w:szCs w:val="21"/>
          <w:highlight w:val="none"/>
        </w:rPr>
        <w:t>将响应文件密封送达首次响应文件提交地点。在首次响应文件提交截止时间后送达的响应文件为无效文件，采购代理机构应当拒收。</w:t>
      </w:r>
    </w:p>
    <w:p w14:paraId="5A92A1FB">
      <w:pPr>
        <w:adjustRightInd w:val="0"/>
        <w:snapToGrid w:val="0"/>
        <w:spacing w:after="0" w:line="288" w:lineRule="auto"/>
        <w:ind w:firstLine="422" w:firstLineChars="200"/>
        <w:rPr>
          <w:rFonts w:ascii="Arial" w:hAnsi="Arial" w:eastAsia="宋体" w:cs="Arial"/>
          <w:b/>
          <w:bCs/>
          <w:color w:val="auto"/>
          <w:szCs w:val="21"/>
          <w:highlight w:val="none"/>
        </w:rPr>
      </w:pPr>
      <w:bookmarkStart w:id="4" w:name="_Toc28359016"/>
      <w:bookmarkStart w:id="5" w:name="_Toc35393802"/>
      <w:bookmarkStart w:id="6" w:name="_Toc35393633"/>
      <w:bookmarkStart w:id="7" w:name="_Toc28359093"/>
      <w:r>
        <w:rPr>
          <w:rFonts w:ascii="Arial" w:hAnsi="Arial" w:eastAsia="宋体" w:cs="Arial"/>
          <w:b/>
          <w:bCs/>
          <w:color w:val="auto"/>
          <w:szCs w:val="21"/>
          <w:highlight w:val="none"/>
        </w:rPr>
        <w:t>六、</w:t>
      </w:r>
      <w:bookmarkEnd w:id="4"/>
      <w:bookmarkEnd w:id="5"/>
      <w:bookmarkEnd w:id="6"/>
      <w:bookmarkEnd w:id="7"/>
      <w:r>
        <w:rPr>
          <w:rFonts w:ascii="Arial" w:hAnsi="Arial" w:eastAsia="宋体" w:cs="Arial"/>
          <w:b/>
          <w:bCs/>
          <w:color w:val="auto"/>
          <w:szCs w:val="21"/>
          <w:highlight w:val="none"/>
        </w:rPr>
        <w:t>响应文件开启时间、谈判时间及地点</w:t>
      </w:r>
    </w:p>
    <w:p w14:paraId="69354AF7">
      <w:pPr>
        <w:adjustRightInd w:val="0"/>
        <w:snapToGrid w:val="0"/>
        <w:spacing w:after="0" w:line="288" w:lineRule="auto"/>
        <w:ind w:firstLine="420" w:firstLineChars="200"/>
        <w:rPr>
          <w:rFonts w:ascii="Arial" w:hAnsi="Arial" w:eastAsia="宋体" w:cs="Arial"/>
          <w:color w:val="auto"/>
          <w:szCs w:val="21"/>
          <w:highlight w:val="none"/>
        </w:rPr>
      </w:pPr>
      <w:r>
        <w:rPr>
          <w:rFonts w:ascii="Arial" w:hAnsi="Arial" w:eastAsia="宋体" w:cs="Arial"/>
          <w:bCs/>
          <w:color w:val="auto"/>
          <w:szCs w:val="21"/>
          <w:highlight w:val="none"/>
        </w:rPr>
        <w:t>响应文件开启时间</w:t>
      </w:r>
      <w:r>
        <w:rPr>
          <w:rFonts w:ascii="Arial" w:hAnsi="Arial" w:eastAsia="宋体" w:cs="Arial"/>
          <w:color w:val="auto"/>
          <w:szCs w:val="21"/>
          <w:highlight w:val="none"/>
        </w:rPr>
        <w:t>：首次响应文件提交截止时间后</w:t>
      </w:r>
    </w:p>
    <w:p w14:paraId="0BE082C2">
      <w:pPr>
        <w:adjustRightInd w:val="0"/>
        <w:snapToGrid w:val="0"/>
        <w:spacing w:after="0" w:line="288" w:lineRule="auto"/>
        <w:ind w:firstLine="420" w:firstLineChars="200"/>
        <w:rPr>
          <w:rFonts w:ascii="Arial" w:hAnsi="Arial" w:eastAsia="宋体" w:cs="Arial"/>
          <w:color w:val="auto"/>
          <w:szCs w:val="21"/>
          <w:highlight w:val="none"/>
        </w:rPr>
      </w:pPr>
      <w:r>
        <w:rPr>
          <w:rFonts w:ascii="Arial" w:hAnsi="Arial" w:eastAsia="宋体" w:cs="Arial"/>
          <w:bCs/>
          <w:color w:val="auto"/>
          <w:szCs w:val="21"/>
          <w:highlight w:val="none"/>
        </w:rPr>
        <w:t>谈判时间：</w:t>
      </w:r>
      <w:r>
        <w:rPr>
          <w:rFonts w:ascii="Arial" w:hAnsi="Arial" w:eastAsia="宋体" w:cs="Arial"/>
          <w:color w:val="auto"/>
          <w:szCs w:val="21"/>
          <w:highlight w:val="none"/>
        </w:rPr>
        <w:t>首次响应文件提交截止时间后（具体时间由采购代理机构另行通知）</w:t>
      </w:r>
    </w:p>
    <w:p w14:paraId="2E7C1D82">
      <w:pPr>
        <w:adjustRightInd w:val="0"/>
        <w:snapToGrid w:val="0"/>
        <w:spacing w:after="0" w:line="288" w:lineRule="auto"/>
        <w:ind w:firstLine="420" w:firstLineChars="200"/>
        <w:rPr>
          <w:rFonts w:ascii="Arial" w:hAnsi="Arial" w:eastAsia="宋体" w:cs="Arial"/>
          <w:bCs/>
          <w:color w:val="auto"/>
          <w:szCs w:val="21"/>
          <w:highlight w:val="none"/>
        </w:rPr>
      </w:pPr>
      <w:r>
        <w:rPr>
          <w:rFonts w:ascii="Arial" w:hAnsi="Arial" w:eastAsia="宋体" w:cs="Arial"/>
          <w:color w:val="auto"/>
          <w:szCs w:val="21"/>
          <w:highlight w:val="none"/>
        </w:rPr>
        <w:t>地点：</w:t>
      </w:r>
      <w:r>
        <w:rPr>
          <w:rFonts w:hint="eastAsia" w:ascii="Arial" w:hAnsi="Arial" w:eastAsia="宋体" w:cs="Arial"/>
          <w:color w:val="auto"/>
          <w:szCs w:val="21"/>
          <w:highlight w:val="none"/>
          <w:lang w:eastAsia="zh-CN"/>
        </w:rPr>
        <w:t>广西机电设备招标有限公司</w:t>
      </w:r>
      <w:r>
        <w:rPr>
          <w:rFonts w:hint="eastAsia" w:ascii="Arial" w:hAnsi="Arial" w:eastAsia="宋体" w:cs="Arial"/>
          <w:color w:val="auto"/>
          <w:szCs w:val="21"/>
          <w:highlight w:val="none"/>
        </w:rPr>
        <w:t>桂林分公司</w:t>
      </w:r>
      <w:r>
        <w:rPr>
          <w:rFonts w:hint="eastAsia" w:ascii="Arial" w:hAnsi="Arial" w:eastAsia="宋体" w:cs="Arial"/>
          <w:color w:val="auto"/>
          <w:szCs w:val="21"/>
          <w:highlight w:val="none"/>
          <w:lang w:val="en-US" w:eastAsia="zh-CN"/>
        </w:rPr>
        <w:t>评标室</w:t>
      </w:r>
    </w:p>
    <w:p w14:paraId="338F555D">
      <w:pPr>
        <w:adjustRightInd w:val="0"/>
        <w:snapToGrid w:val="0"/>
        <w:spacing w:after="0" w:line="288" w:lineRule="auto"/>
        <w:ind w:firstLine="422" w:firstLineChars="200"/>
        <w:rPr>
          <w:rFonts w:ascii="Arial" w:hAnsi="Arial" w:eastAsia="宋体" w:cs="Arial"/>
          <w:b/>
          <w:bCs/>
          <w:color w:val="auto"/>
          <w:szCs w:val="21"/>
          <w:highlight w:val="none"/>
        </w:rPr>
      </w:pPr>
      <w:bookmarkStart w:id="8" w:name="_Toc28359017"/>
      <w:bookmarkStart w:id="9" w:name="_Toc28359094"/>
      <w:bookmarkStart w:id="10" w:name="_Toc35393803"/>
      <w:bookmarkStart w:id="11" w:name="_Toc35393634"/>
      <w:r>
        <w:rPr>
          <w:rFonts w:ascii="Arial" w:hAnsi="Arial" w:eastAsia="宋体" w:cs="Arial"/>
          <w:b/>
          <w:bCs/>
          <w:color w:val="auto"/>
          <w:szCs w:val="21"/>
          <w:highlight w:val="none"/>
        </w:rPr>
        <w:t>七、公告期限</w:t>
      </w:r>
      <w:bookmarkEnd w:id="8"/>
      <w:bookmarkEnd w:id="9"/>
      <w:bookmarkEnd w:id="10"/>
      <w:bookmarkEnd w:id="11"/>
    </w:p>
    <w:p w14:paraId="74FC5F04">
      <w:pPr>
        <w:adjustRightInd w:val="0"/>
        <w:snapToGrid w:val="0"/>
        <w:spacing w:after="0" w:line="288" w:lineRule="auto"/>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自本公告发布之日起3个工作日。</w:t>
      </w:r>
    </w:p>
    <w:p w14:paraId="21B993D1">
      <w:pPr>
        <w:adjustRightInd w:val="0"/>
        <w:snapToGrid w:val="0"/>
        <w:spacing w:after="0" w:line="288"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八、其他补充事宜</w:t>
      </w:r>
    </w:p>
    <w:p w14:paraId="222C7A1D">
      <w:pPr>
        <w:tabs>
          <w:tab w:val="left" w:pos="410"/>
        </w:tabs>
        <w:snapToGrid w:val="0"/>
        <w:spacing w:after="0" w:line="288" w:lineRule="auto"/>
        <w:ind w:firstLine="420" w:firstLineChars="200"/>
        <w:rPr>
          <w:rFonts w:ascii="Arial" w:hAnsi="Arial" w:eastAsia="宋体" w:cs="Arial"/>
          <w:color w:val="auto"/>
          <w:kern w:val="0"/>
          <w:szCs w:val="21"/>
          <w:highlight w:val="none"/>
        </w:rPr>
      </w:pPr>
      <w:bookmarkStart w:id="12" w:name="_Toc35393805"/>
      <w:bookmarkStart w:id="13" w:name="_Toc35393636"/>
      <w:bookmarkStart w:id="14" w:name="_Toc28359095"/>
      <w:bookmarkStart w:id="15" w:name="_Toc28359018"/>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公告媒体：中国招标投标公共服务平台（http://www.cebpubservice.com/）。</w:t>
      </w:r>
    </w:p>
    <w:p w14:paraId="0E3030AF">
      <w:pPr>
        <w:tabs>
          <w:tab w:val="left" w:pos="410"/>
        </w:tabs>
        <w:snapToGrid w:val="0"/>
        <w:spacing w:after="0" w:line="288" w:lineRule="auto"/>
        <w:ind w:firstLine="422" w:firstLineChars="200"/>
        <w:rPr>
          <w:rFonts w:ascii="Arial" w:hAnsi="Arial" w:eastAsia="宋体" w:cs="Arial"/>
          <w:b/>
          <w:bCs/>
          <w:color w:val="auto"/>
          <w:kern w:val="0"/>
          <w:szCs w:val="21"/>
          <w:highlight w:val="none"/>
        </w:rPr>
      </w:pPr>
      <w:r>
        <w:rPr>
          <w:rFonts w:hint="eastAsia" w:ascii="Arial" w:hAnsi="Arial" w:eastAsia="宋体" w:cs="Arial"/>
          <w:b/>
          <w:bCs/>
          <w:color w:val="auto"/>
          <w:kern w:val="0"/>
          <w:szCs w:val="21"/>
          <w:highlight w:val="none"/>
        </w:rPr>
        <w:t>2.本项目共分为A、B两个分标，供应商可以参与任意一个或多个分标的谈判，但最多只能成为其中一个分标的成交供应商。处理原则如下：本项目按A分标→B分标的先后顺序推荐成交候选供应商，该供应商一旦被推荐为某一分标的第一成交候选供应商，则在其排名第一的后续分标不再推荐为成交候选供应商，其他供应商排名依次自动上升一位。即已成为前面分标第一成交候选供应商的供应商不应参与后续分标的候选排序，并且剩余分标中排除已成为第一成交候选供应商的供应商后，在实质性响应的供应商仍满足三家的情况下，相应分标可以继续评审及推荐成交候选供应商，否则，相应分标废标。</w:t>
      </w:r>
    </w:p>
    <w:p w14:paraId="74F85086">
      <w:pPr>
        <w:adjustRightInd w:val="0"/>
        <w:snapToGrid w:val="0"/>
        <w:spacing w:after="0" w:line="288"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九、凡对本次采购提出询问，请按以下方式联系</w:t>
      </w:r>
      <w:bookmarkEnd w:id="12"/>
      <w:bookmarkEnd w:id="13"/>
      <w:bookmarkEnd w:id="14"/>
      <w:bookmarkEnd w:id="15"/>
      <w:r>
        <w:rPr>
          <w:rFonts w:ascii="Arial" w:hAnsi="Arial" w:eastAsia="宋体" w:cs="Arial"/>
          <w:b/>
          <w:bCs/>
          <w:color w:val="auto"/>
          <w:szCs w:val="21"/>
          <w:highlight w:val="none"/>
        </w:rPr>
        <w:t>：</w:t>
      </w:r>
    </w:p>
    <w:p w14:paraId="4B1C0144">
      <w:pPr>
        <w:adjustRightInd w:val="0"/>
        <w:snapToGrid w:val="0"/>
        <w:spacing w:after="0" w:line="288" w:lineRule="auto"/>
        <w:ind w:firstLine="420" w:firstLineChars="200"/>
        <w:rPr>
          <w:rFonts w:ascii="Arial" w:hAnsi="Arial" w:eastAsia="宋体" w:cs="Arial"/>
          <w:color w:val="auto"/>
          <w:szCs w:val="21"/>
          <w:highlight w:val="none"/>
        </w:rPr>
      </w:pPr>
      <w:bookmarkStart w:id="16" w:name="_Toc28359019"/>
      <w:bookmarkStart w:id="17" w:name="_Toc35393637"/>
      <w:bookmarkStart w:id="18" w:name="_Toc35393806"/>
      <w:bookmarkStart w:id="19" w:name="_Toc28359096"/>
      <w:r>
        <w:rPr>
          <w:rFonts w:ascii="Arial" w:hAnsi="Arial" w:eastAsia="宋体" w:cs="Arial"/>
          <w:color w:val="auto"/>
          <w:szCs w:val="21"/>
          <w:highlight w:val="none"/>
        </w:rPr>
        <w:t>1.采购人信息</w:t>
      </w:r>
      <w:bookmarkEnd w:id="16"/>
      <w:bookmarkEnd w:id="17"/>
      <w:bookmarkEnd w:id="18"/>
      <w:bookmarkEnd w:id="19"/>
    </w:p>
    <w:p w14:paraId="36EDEBD3">
      <w:pPr>
        <w:adjustRightInd w:val="0"/>
        <w:snapToGrid w:val="0"/>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名称：桂林理工大学</w:t>
      </w:r>
    </w:p>
    <w:p w14:paraId="2134D0F7">
      <w:pPr>
        <w:adjustRightInd w:val="0"/>
        <w:snapToGrid w:val="0"/>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地址：广西桂林市建干路12号</w:t>
      </w:r>
    </w:p>
    <w:p w14:paraId="26DC01CD">
      <w:pPr>
        <w:adjustRightInd w:val="0"/>
        <w:snapToGrid w:val="0"/>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联系方式：0773-5895090</w:t>
      </w:r>
    </w:p>
    <w:p w14:paraId="18216D48">
      <w:pPr>
        <w:adjustRightInd w:val="0"/>
        <w:snapToGrid w:val="0"/>
        <w:spacing w:after="0" w:line="288" w:lineRule="auto"/>
        <w:ind w:firstLine="420" w:firstLineChars="200"/>
        <w:rPr>
          <w:rFonts w:ascii="Arial" w:hAnsi="Arial" w:eastAsia="宋体" w:cs="Arial"/>
          <w:color w:val="auto"/>
          <w:szCs w:val="21"/>
          <w:highlight w:val="none"/>
        </w:rPr>
      </w:pPr>
      <w:bookmarkStart w:id="20" w:name="_Toc28359097"/>
      <w:bookmarkStart w:id="21" w:name="_Toc35393807"/>
      <w:bookmarkStart w:id="22" w:name="_Toc28359020"/>
      <w:bookmarkStart w:id="23" w:name="_Toc35393638"/>
      <w:r>
        <w:rPr>
          <w:rFonts w:ascii="Arial" w:hAnsi="Arial" w:eastAsia="宋体" w:cs="Arial"/>
          <w:color w:val="auto"/>
          <w:szCs w:val="21"/>
          <w:highlight w:val="none"/>
        </w:rPr>
        <w:t>2.采购代理机构信息</w:t>
      </w:r>
      <w:bookmarkEnd w:id="20"/>
      <w:bookmarkEnd w:id="21"/>
      <w:bookmarkEnd w:id="22"/>
      <w:bookmarkEnd w:id="23"/>
    </w:p>
    <w:p w14:paraId="3E10243A">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名称：广西机电设备招标有限公司</w:t>
      </w:r>
    </w:p>
    <w:p w14:paraId="40285B44">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地址：桂林市骖鸾路31号湘商大厦6楼603（桂林分公司）</w:t>
      </w:r>
    </w:p>
    <w:p w14:paraId="49CDC4A5">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项目联系人：曾昭卉</w:t>
      </w:r>
    </w:p>
    <w:p w14:paraId="1718BE2F">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联系方式：0773-3696789转2</w:t>
      </w:r>
    </w:p>
    <w:p w14:paraId="0FDC5BFE">
      <w:pPr>
        <w:adjustRightInd w:val="0"/>
        <w:snapToGrid w:val="0"/>
        <w:spacing w:after="0" w:line="288" w:lineRule="auto"/>
        <w:jc w:val="right"/>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广西机电设备招标有限公司</w:t>
      </w:r>
    </w:p>
    <w:p w14:paraId="02B308B1">
      <w:pPr>
        <w:adjustRightInd w:val="0"/>
        <w:snapToGrid w:val="0"/>
        <w:spacing w:after="0" w:line="288" w:lineRule="auto"/>
        <w:jc w:val="right"/>
        <w:rPr>
          <w:rFonts w:ascii="Arial" w:hAnsi="Arial" w:eastAsia="宋体" w:cs="Arial"/>
          <w:color w:val="auto"/>
          <w:szCs w:val="21"/>
          <w:highlight w:val="none"/>
        </w:rPr>
        <w:sectPr>
          <w:footerReference r:id="rId8" w:type="first"/>
          <w:footerReference r:id="rId7" w:type="default"/>
          <w:pgSz w:w="11906" w:h="16838"/>
          <w:pgMar w:top="1417" w:right="1417" w:bottom="1417" w:left="1417" w:header="680" w:footer="907" w:gutter="0"/>
          <w:pgNumType w:start="1"/>
          <w:cols w:space="720" w:num="1"/>
          <w:titlePg/>
          <w:docGrid w:linePitch="271" w:charSpace="0"/>
        </w:sectPr>
      </w:pPr>
      <w:r>
        <w:rPr>
          <w:rFonts w:ascii="Arial" w:hAnsi="Arial" w:eastAsia="宋体" w:cs="Arial"/>
          <w:color w:val="auto"/>
          <w:szCs w:val="21"/>
          <w:highlight w:val="none"/>
        </w:rPr>
        <w:t>2024年</w:t>
      </w:r>
      <w:r>
        <w:rPr>
          <w:rFonts w:hint="eastAsia" w:ascii="Arial" w:hAnsi="Arial" w:eastAsia="宋体" w:cs="Arial"/>
          <w:color w:val="auto"/>
          <w:szCs w:val="21"/>
          <w:highlight w:val="none"/>
          <w:lang w:val="en-US" w:eastAsia="zh-CN"/>
        </w:rPr>
        <w:t>7</w:t>
      </w:r>
      <w:r>
        <w:rPr>
          <w:rFonts w:ascii="Arial" w:hAnsi="Arial" w:eastAsia="宋体" w:cs="Arial"/>
          <w:color w:val="auto"/>
          <w:szCs w:val="21"/>
          <w:highlight w:val="none"/>
        </w:rPr>
        <w:t>月</w:t>
      </w:r>
      <w:r>
        <w:rPr>
          <w:rFonts w:hint="eastAsia" w:ascii="Arial" w:hAnsi="Arial" w:eastAsia="宋体" w:cs="Arial"/>
          <w:color w:val="auto"/>
          <w:szCs w:val="21"/>
          <w:highlight w:val="none"/>
          <w:lang w:val="en-US" w:eastAsia="zh-CN"/>
        </w:rPr>
        <w:t>23</w:t>
      </w:r>
      <w:r>
        <w:rPr>
          <w:rFonts w:ascii="Arial" w:hAnsi="Arial" w:eastAsia="宋体" w:cs="Arial"/>
          <w:color w:val="auto"/>
          <w:szCs w:val="21"/>
          <w:highlight w:val="none"/>
        </w:rPr>
        <w:t>日</w:t>
      </w:r>
    </w:p>
    <w:p w14:paraId="47018411">
      <w:pPr>
        <w:pStyle w:val="2"/>
        <w:spacing w:line="288" w:lineRule="auto"/>
        <w:ind w:left="1080" w:hanging="1080"/>
        <w:jc w:val="center"/>
        <w:rPr>
          <w:rFonts w:ascii="Arial" w:hAnsi="Arial" w:eastAsia="宋体" w:cs="Arial"/>
          <w:color w:val="auto"/>
          <w:sz w:val="32"/>
          <w:szCs w:val="32"/>
          <w:highlight w:val="none"/>
        </w:rPr>
      </w:pPr>
      <w:bookmarkStart w:id="24" w:name="_Toc10921"/>
      <w:bookmarkStart w:id="25" w:name="_Toc20458"/>
      <w:r>
        <w:rPr>
          <w:rFonts w:ascii="Arial" w:hAnsi="Arial" w:eastAsia="宋体" w:cs="Arial"/>
          <w:color w:val="auto"/>
          <w:sz w:val="32"/>
          <w:szCs w:val="32"/>
          <w:highlight w:val="none"/>
        </w:rPr>
        <w:t>第二章</w:t>
      </w:r>
      <w:r>
        <w:rPr>
          <w:rFonts w:hint="eastAsia" w:ascii="Arial" w:hAnsi="Arial" w:eastAsia="宋体" w:cs="Arial"/>
          <w:color w:val="auto"/>
          <w:sz w:val="32"/>
          <w:szCs w:val="32"/>
          <w:highlight w:val="none"/>
        </w:rPr>
        <w:t xml:space="preserve"> </w:t>
      </w:r>
      <w:r>
        <w:rPr>
          <w:rStyle w:val="36"/>
          <w:rFonts w:ascii="Arial" w:hAnsi="Arial" w:eastAsia="宋体" w:cs="Arial"/>
          <w:b/>
          <w:bCs/>
          <w:color w:val="auto"/>
          <w:highlight w:val="none"/>
        </w:rPr>
        <w:t>供应商须知</w:t>
      </w:r>
      <w:bookmarkEnd w:id="24"/>
      <w:bookmarkEnd w:id="25"/>
    </w:p>
    <w:p w14:paraId="0421AF83">
      <w:pPr>
        <w:tabs>
          <w:tab w:val="left" w:pos="1065"/>
          <w:tab w:val="center" w:pos="4411"/>
        </w:tabs>
        <w:spacing w:line="288" w:lineRule="auto"/>
        <w:jc w:val="center"/>
        <w:rPr>
          <w:rFonts w:ascii="Arial" w:hAnsi="Arial" w:eastAsia="宋体" w:cs="Arial"/>
          <w:b/>
          <w:color w:val="auto"/>
          <w:sz w:val="24"/>
          <w:highlight w:val="none"/>
        </w:rPr>
      </w:pPr>
      <w:r>
        <w:rPr>
          <w:rFonts w:ascii="Arial" w:hAnsi="Arial" w:eastAsia="宋体" w:cs="Arial"/>
          <w:b/>
          <w:color w:val="auto"/>
          <w:sz w:val="24"/>
          <w:highlight w:val="none"/>
        </w:rPr>
        <w:t>供 应 商 须 知 前 附 表</w:t>
      </w:r>
    </w:p>
    <w:tbl>
      <w:tblPr>
        <w:tblStyle w:val="24"/>
        <w:tblW w:w="98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7"/>
        <w:gridCol w:w="1549"/>
        <w:gridCol w:w="6612"/>
      </w:tblGrid>
      <w:tr w14:paraId="46D2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vAlign w:val="center"/>
          </w:tcPr>
          <w:p w14:paraId="04E9DFD8">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877" w:type="dxa"/>
            <w:vAlign w:val="center"/>
          </w:tcPr>
          <w:p w14:paraId="7B4A4C82">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条款号</w:t>
            </w:r>
          </w:p>
        </w:tc>
        <w:tc>
          <w:tcPr>
            <w:tcW w:w="1549" w:type="dxa"/>
            <w:vAlign w:val="center"/>
          </w:tcPr>
          <w:p w14:paraId="6C795073">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条款名称</w:t>
            </w:r>
          </w:p>
        </w:tc>
        <w:tc>
          <w:tcPr>
            <w:tcW w:w="6612" w:type="dxa"/>
            <w:vAlign w:val="center"/>
          </w:tcPr>
          <w:p w14:paraId="38ECDBC7">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内容、要求</w:t>
            </w:r>
          </w:p>
        </w:tc>
      </w:tr>
      <w:tr w14:paraId="6EE5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7C990BEF">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77" w:type="dxa"/>
            <w:vAlign w:val="center"/>
          </w:tcPr>
          <w:p w14:paraId="15C344AD">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549" w:type="dxa"/>
            <w:vAlign w:val="center"/>
          </w:tcPr>
          <w:p w14:paraId="5ACB797E">
            <w:pPr>
              <w:keepNext w:val="0"/>
              <w:keepLines w:val="0"/>
              <w:pageBreakBefore w:val="0"/>
              <w:widowControl w:val="0"/>
              <w:kinsoku/>
              <w:wordWrap/>
              <w:overflowPunct/>
              <w:topLinePunct w:val="0"/>
              <w:autoSpaceDE/>
              <w:autoSpaceDN/>
              <w:bidi w:val="0"/>
              <w:adjustRightInd/>
              <w:snapToGrid w:val="0"/>
              <w:spacing w:after="0" w:line="288" w:lineRule="auto"/>
              <w:jc w:val="center"/>
              <w:textAlignment w:val="auto"/>
              <w:rPr>
                <w:rFonts w:ascii="Arial" w:hAnsi="Arial" w:eastAsia="宋体" w:cs="Arial"/>
                <w:color w:val="auto"/>
                <w:szCs w:val="21"/>
                <w:highlight w:val="none"/>
              </w:rPr>
            </w:pPr>
            <w:r>
              <w:rPr>
                <w:rFonts w:ascii="Arial" w:hAnsi="Arial" w:eastAsia="宋体" w:cs="Arial"/>
                <w:color w:val="auto"/>
                <w:szCs w:val="21"/>
                <w:highlight w:val="none"/>
              </w:rPr>
              <w:t>项目名称及项目编号</w:t>
            </w:r>
          </w:p>
        </w:tc>
        <w:tc>
          <w:tcPr>
            <w:tcW w:w="6612" w:type="dxa"/>
          </w:tcPr>
          <w:p w14:paraId="7E607542">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eastAsia="宋体" w:cs="Arial"/>
                <w:color w:val="auto"/>
                <w:highlight w:val="none"/>
              </w:rPr>
            </w:pPr>
            <w:r>
              <w:rPr>
                <w:rFonts w:ascii="Arial" w:hAnsi="Arial" w:eastAsia="宋体" w:cs="Arial"/>
                <w:color w:val="auto"/>
                <w:szCs w:val="21"/>
                <w:highlight w:val="none"/>
              </w:rPr>
              <w:t>项目名称：</w:t>
            </w:r>
            <w:r>
              <w:rPr>
                <w:rFonts w:hint="eastAsia" w:ascii="Arial" w:hAnsi="Arial" w:eastAsia="宋体" w:cs="Arial"/>
                <w:color w:val="auto"/>
                <w:highlight w:val="none"/>
              </w:rPr>
              <w:t>土木学院智慧建造专业实训平台采购项目</w:t>
            </w:r>
          </w:p>
          <w:p w14:paraId="603FB23F">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eastAsia" w:ascii="Arial" w:hAnsi="Arial" w:eastAsia="宋体" w:cs="Arial"/>
                <w:color w:val="auto"/>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GXJD-24114CC031162</w:t>
            </w:r>
          </w:p>
        </w:tc>
      </w:tr>
      <w:tr w14:paraId="507D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828" w:type="dxa"/>
            <w:vAlign w:val="center"/>
          </w:tcPr>
          <w:p w14:paraId="7EF31C9D">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877" w:type="dxa"/>
            <w:vAlign w:val="center"/>
          </w:tcPr>
          <w:p w14:paraId="2462E7D7">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549" w:type="dxa"/>
            <w:vAlign w:val="center"/>
          </w:tcPr>
          <w:p w14:paraId="416B701B">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供应商资格</w:t>
            </w:r>
          </w:p>
        </w:tc>
        <w:tc>
          <w:tcPr>
            <w:tcW w:w="6612" w:type="dxa"/>
            <w:vAlign w:val="center"/>
          </w:tcPr>
          <w:p w14:paraId="715F832D">
            <w:pPr>
              <w:tabs>
                <w:tab w:val="left" w:pos="1635"/>
              </w:tabs>
              <w:snapToGrid w:val="0"/>
              <w:spacing w:after="0" w:line="288" w:lineRule="auto"/>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3.1符合《中华人民共和国政府采购法》第二十二条规定。</w:t>
            </w:r>
          </w:p>
          <w:p w14:paraId="302B8403">
            <w:pPr>
              <w:tabs>
                <w:tab w:val="left" w:pos="1635"/>
              </w:tabs>
              <w:snapToGrid w:val="0"/>
              <w:spacing w:after="0" w:line="288" w:lineRule="auto"/>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3.2供应商的特定资格要求：</w:t>
            </w:r>
            <w:r>
              <w:rPr>
                <w:rFonts w:hint="eastAsia" w:ascii="Arial" w:hAnsi="Arial" w:eastAsia="宋体" w:cs="Arial"/>
                <w:b/>
                <w:bCs/>
                <w:color w:val="auto"/>
                <w:highlight w:val="none"/>
              </w:rPr>
              <w:t>本项目非专门面向中小微企业采购</w:t>
            </w:r>
            <w:r>
              <w:rPr>
                <w:rFonts w:ascii="Arial" w:hAnsi="Arial" w:eastAsia="宋体" w:cs="Arial"/>
                <w:b/>
                <w:bCs/>
                <w:color w:val="auto"/>
                <w:highlight w:val="none"/>
              </w:rPr>
              <w:t>。</w:t>
            </w:r>
          </w:p>
          <w:p w14:paraId="6050A757">
            <w:pPr>
              <w:snapToGrid w:val="0"/>
              <w:spacing w:after="0" w:line="288" w:lineRule="auto"/>
              <w:rPr>
                <w:rFonts w:ascii="Arial" w:hAnsi="Arial" w:eastAsia="宋体" w:cs="Arial"/>
                <w:color w:val="auto"/>
                <w:kern w:val="0"/>
                <w:szCs w:val="21"/>
                <w:highlight w:val="none"/>
              </w:rPr>
            </w:pPr>
            <w:r>
              <w:rPr>
                <w:rFonts w:ascii="Arial" w:hAnsi="Arial" w:eastAsia="宋体" w:cs="Arial"/>
                <w:color w:val="auto"/>
                <w:kern w:val="0"/>
                <w:szCs w:val="21"/>
                <w:highlight w:val="none"/>
              </w:rPr>
              <w:t>3.3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3829F3A2">
            <w:pPr>
              <w:snapToGrid w:val="0"/>
              <w:spacing w:after="0" w:line="288" w:lineRule="auto"/>
              <w:rPr>
                <w:rFonts w:ascii="Arial" w:hAnsi="Arial" w:eastAsia="宋体" w:cs="Arial"/>
                <w:color w:val="auto"/>
                <w:kern w:val="0"/>
                <w:szCs w:val="21"/>
                <w:highlight w:val="none"/>
              </w:rPr>
            </w:pPr>
            <w:r>
              <w:rPr>
                <w:rFonts w:ascii="Arial" w:hAnsi="Arial" w:eastAsia="宋体" w:cs="Arial"/>
                <w:color w:val="auto"/>
                <w:kern w:val="0"/>
                <w:szCs w:val="21"/>
                <w:highlight w:val="none"/>
              </w:rPr>
              <w:t>3.4.对在“信用中国”网站(www.creditchina.gov.cn)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03E48AF8">
            <w:pPr>
              <w:snapToGrid w:val="0"/>
              <w:spacing w:after="0" w:line="288" w:lineRule="auto"/>
              <w:rPr>
                <w:rFonts w:ascii="Arial" w:hAnsi="Arial" w:eastAsia="宋体" w:cs="Arial"/>
                <w:color w:val="auto"/>
                <w:highlight w:val="none"/>
              </w:rPr>
            </w:pPr>
            <w:r>
              <w:rPr>
                <w:rFonts w:ascii="Arial" w:hAnsi="Arial" w:eastAsia="宋体" w:cs="Arial"/>
                <w:color w:val="auto"/>
                <w:kern w:val="0"/>
                <w:szCs w:val="21"/>
                <w:highlight w:val="none"/>
              </w:rPr>
              <w:t>3.5.本项目不接受联合体参与谈判。</w:t>
            </w:r>
          </w:p>
        </w:tc>
      </w:tr>
      <w:tr w14:paraId="3FFA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Align w:val="center"/>
          </w:tcPr>
          <w:p w14:paraId="4935B172">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877" w:type="dxa"/>
            <w:vAlign w:val="center"/>
          </w:tcPr>
          <w:p w14:paraId="3D70A7DD">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549" w:type="dxa"/>
            <w:vAlign w:val="center"/>
          </w:tcPr>
          <w:p w14:paraId="4E9F5FC0">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谈判费用</w:t>
            </w:r>
          </w:p>
        </w:tc>
        <w:tc>
          <w:tcPr>
            <w:tcW w:w="6612" w:type="dxa"/>
            <w:vAlign w:val="center"/>
          </w:tcPr>
          <w:p w14:paraId="6406D1B0">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不论谈判结果如何，供应商均应自行承担所有与谈判有关的全部费用。 </w:t>
            </w:r>
          </w:p>
        </w:tc>
      </w:tr>
      <w:tr w14:paraId="4F8E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Align w:val="center"/>
          </w:tcPr>
          <w:p w14:paraId="63EC23BC">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877" w:type="dxa"/>
            <w:vAlign w:val="center"/>
          </w:tcPr>
          <w:p w14:paraId="15EEE008">
            <w:pPr>
              <w:snapToGrid w:val="0"/>
              <w:spacing w:line="288"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549" w:type="dxa"/>
            <w:vAlign w:val="center"/>
          </w:tcPr>
          <w:p w14:paraId="14BFC43D">
            <w:pPr>
              <w:snapToGrid w:val="0"/>
              <w:spacing w:line="288" w:lineRule="auto"/>
              <w:jc w:val="center"/>
              <w:rPr>
                <w:rFonts w:ascii="Arial" w:hAnsi="Arial" w:eastAsia="宋体" w:cs="Arial"/>
                <w:color w:val="auto"/>
                <w:position w:val="-2"/>
                <w:szCs w:val="21"/>
                <w:highlight w:val="none"/>
              </w:rPr>
            </w:pPr>
            <w:r>
              <w:rPr>
                <w:rFonts w:ascii="Arial" w:hAnsi="Arial" w:eastAsia="宋体" w:cs="Arial"/>
                <w:color w:val="auto"/>
                <w:szCs w:val="21"/>
                <w:highlight w:val="none"/>
              </w:rPr>
              <w:t>谈判报价及</w:t>
            </w:r>
            <w:r>
              <w:rPr>
                <w:rFonts w:ascii="Arial" w:hAnsi="Arial" w:eastAsia="宋体" w:cs="Arial"/>
                <w:color w:val="auto"/>
                <w:position w:val="-2"/>
                <w:szCs w:val="21"/>
                <w:highlight w:val="none"/>
              </w:rPr>
              <w:t>采购预算金额</w:t>
            </w:r>
          </w:p>
        </w:tc>
        <w:tc>
          <w:tcPr>
            <w:tcW w:w="6612" w:type="dxa"/>
            <w:vAlign w:val="center"/>
          </w:tcPr>
          <w:p w14:paraId="120467D1">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ascii="Arial" w:hAnsi="Arial" w:eastAsia="宋体" w:cs="Arial"/>
                <w:b/>
                <w:bCs/>
                <w:color w:val="auto"/>
                <w:szCs w:val="21"/>
                <w:highlight w:val="none"/>
              </w:rPr>
              <w:t>采购预算金额：</w:t>
            </w:r>
            <w:r>
              <w:rPr>
                <w:rFonts w:hint="eastAsia" w:ascii="Arial" w:hAnsi="Arial" w:eastAsia="宋体" w:cs="Arial"/>
                <w:b/>
                <w:bCs/>
                <w:color w:val="auto"/>
                <w:szCs w:val="21"/>
                <w:highlight w:val="none"/>
              </w:rPr>
              <w:t>人民币肆拾伍万元整（¥450000.00）（其中：A分标：380000元，B分标：70000元）</w:t>
            </w:r>
            <w:r>
              <w:rPr>
                <w:rFonts w:ascii="Arial" w:hAnsi="Arial" w:eastAsia="宋体" w:cs="Arial"/>
                <w:b/>
                <w:bCs/>
                <w:color w:val="auto"/>
                <w:szCs w:val="21"/>
                <w:highlight w:val="none"/>
              </w:rPr>
              <w:t>。</w:t>
            </w:r>
            <w:r>
              <w:rPr>
                <w:rFonts w:ascii="Arial" w:hAnsi="Arial" w:eastAsia="宋体" w:cs="Arial"/>
                <w:color w:val="auto"/>
                <w:szCs w:val="21"/>
                <w:highlight w:val="none"/>
              </w:rPr>
              <w:t>供应商报价超过相应采购预算金额的，响应文件作无效处理。</w:t>
            </w:r>
          </w:p>
          <w:p w14:paraId="56F8EE88">
            <w:pPr>
              <w:tabs>
                <w:tab w:val="left" w:pos="1305"/>
              </w:tabs>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13.2供应商必须就“项目采购需求”中所有内容作完整唯一报价，否则，其响应将被拒绝。</w:t>
            </w:r>
          </w:p>
          <w:p w14:paraId="3E36D2AE">
            <w:pPr>
              <w:tabs>
                <w:tab w:val="left" w:pos="1305"/>
              </w:tabs>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13.3 谈判报价包括</w:t>
            </w:r>
            <w:r>
              <w:rPr>
                <w:rFonts w:hint="eastAsia" w:ascii="Arial" w:hAnsi="Arial" w:eastAsia="宋体" w:cs="Arial"/>
                <w:color w:val="auto"/>
                <w:szCs w:val="21"/>
                <w:highlight w:val="none"/>
              </w:rPr>
              <w:t>本次采购范围内货物货款、货物标准附件、备品备件、专用工具、包装、运输、装卸、保险、税金、货到就位以及安装、安装所需辅材、调试、培训、保修和采购文件要求提供的所有伴随服务、工程等费用和税费</w:t>
            </w:r>
            <w:r>
              <w:rPr>
                <w:rFonts w:ascii="Arial" w:hAnsi="Arial" w:eastAsia="宋体" w:cs="Arial"/>
                <w:color w:val="auto"/>
                <w:szCs w:val="21"/>
                <w:highlight w:val="none"/>
              </w:rPr>
              <w:t>；供应商综合考虑在报价中。</w:t>
            </w:r>
          </w:p>
          <w:p w14:paraId="63964882">
            <w:pPr>
              <w:tabs>
                <w:tab w:val="left" w:pos="1305"/>
              </w:tabs>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tc>
      </w:tr>
      <w:tr w14:paraId="335C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06DB1A8B">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5</w:t>
            </w:r>
          </w:p>
        </w:tc>
        <w:tc>
          <w:tcPr>
            <w:tcW w:w="877" w:type="dxa"/>
            <w:vAlign w:val="center"/>
          </w:tcPr>
          <w:p w14:paraId="3DB225C0">
            <w:pPr>
              <w:snapToGrid w:val="0"/>
              <w:spacing w:line="288"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14.1</w:t>
            </w:r>
          </w:p>
        </w:tc>
        <w:tc>
          <w:tcPr>
            <w:tcW w:w="1549" w:type="dxa"/>
            <w:vAlign w:val="center"/>
          </w:tcPr>
          <w:p w14:paraId="19FA3972">
            <w:pPr>
              <w:snapToGrid w:val="0"/>
              <w:spacing w:line="288"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响应文件有效期</w:t>
            </w:r>
          </w:p>
        </w:tc>
        <w:tc>
          <w:tcPr>
            <w:tcW w:w="6612" w:type="dxa"/>
            <w:vAlign w:val="center"/>
          </w:tcPr>
          <w:p w14:paraId="477DB57F">
            <w:pPr>
              <w:tabs>
                <w:tab w:val="left" w:pos="1305"/>
              </w:tabs>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响应文件递交截止时间之日起90天，有效期不足的响应文件将被拒绝。</w:t>
            </w:r>
          </w:p>
        </w:tc>
      </w:tr>
      <w:tr w14:paraId="7B5D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vAlign w:val="center"/>
          </w:tcPr>
          <w:p w14:paraId="328E852E">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6</w:t>
            </w:r>
          </w:p>
        </w:tc>
        <w:tc>
          <w:tcPr>
            <w:tcW w:w="877" w:type="dxa"/>
            <w:vAlign w:val="center"/>
          </w:tcPr>
          <w:p w14:paraId="0FF0A552">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15.1</w:t>
            </w:r>
          </w:p>
        </w:tc>
        <w:tc>
          <w:tcPr>
            <w:tcW w:w="1549" w:type="dxa"/>
            <w:vAlign w:val="center"/>
          </w:tcPr>
          <w:p w14:paraId="29460497">
            <w:pPr>
              <w:snapToGrid w:val="0"/>
              <w:spacing w:line="288"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响应文件份数</w:t>
            </w:r>
          </w:p>
        </w:tc>
        <w:tc>
          <w:tcPr>
            <w:tcW w:w="6612" w:type="dxa"/>
            <w:vAlign w:val="center"/>
          </w:tcPr>
          <w:p w14:paraId="3E9B4D4C">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正本壹册，副本贰册，须完整提交（A4纸装订）。</w:t>
            </w:r>
          </w:p>
        </w:tc>
      </w:tr>
      <w:tr w14:paraId="340A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752A4B9E">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7</w:t>
            </w:r>
          </w:p>
        </w:tc>
        <w:tc>
          <w:tcPr>
            <w:tcW w:w="877" w:type="dxa"/>
            <w:vAlign w:val="center"/>
          </w:tcPr>
          <w:p w14:paraId="26861B9D">
            <w:pPr>
              <w:snapToGrid w:val="0"/>
              <w:spacing w:line="288" w:lineRule="auto"/>
              <w:jc w:val="center"/>
              <w:rPr>
                <w:rFonts w:ascii="Arial" w:hAnsi="Arial" w:eastAsia="宋体" w:cs="Arial"/>
                <w:color w:val="auto"/>
                <w:position w:val="10"/>
                <w:szCs w:val="21"/>
                <w:highlight w:val="none"/>
              </w:rPr>
            </w:pPr>
            <w:r>
              <w:rPr>
                <w:rFonts w:ascii="Arial" w:hAnsi="Arial" w:eastAsia="宋体" w:cs="Arial"/>
                <w:color w:val="auto"/>
                <w:position w:val="10"/>
                <w:szCs w:val="21"/>
                <w:highlight w:val="none"/>
              </w:rPr>
              <w:t>15.2</w:t>
            </w:r>
          </w:p>
        </w:tc>
        <w:tc>
          <w:tcPr>
            <w:tcW w:w="1549" w:type="dxa"/>
            <w:vAlign w:val="center"/>
          </w:tcPr>
          <w:p w14:paraId="501C1FAF">
            <w:pPr>
              <w:snapToGrid w:val="0"/>
              <w:spacing w:line="288"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响应文件装订要求</w:t>
            </w:r>
          </w:p>
        </w:tc>
        <w:tc>
          <w:tcPr>
            <w:tcW w:w="6612" w:type="dxa"/>
            <w:vAlign w:val="center"/>
          </w:tcPr>
          <w:p w14:paraId="35FEF4F5">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tc>
      </w:tr>
      <w:tr w14:paraId="5C60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8" w:type="dxa"/>
            <w:vAlign w:val="center"/>
          </w:tcPr>
          <w:p w14:paraId="2FD41677">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8</w:t>
            </w:r>
          </w:p>
        </w:tc>
        <w:tc>
          <w:tcPr>
            <w:tcW w:w="877" w:type="dxa"/>
            <w:vAlign w:val="center"/>
          </w:tcPr>
          <w:p w14:paraId="5E110CC0">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15.6</w:t>
            </w:r>
          </w:p>
        </w:tc>
        <w:tc>
          <w:tcPr>
            <w:tcW w:w="1549" w:type="dxa"/>
            <w:vAlign w:val="center"/>
          </w:tcPr>
          <w:p w14:paraId="33A620A5">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响应文件包装、密封、标记</w:t>
            </w:r>
          </w:p>
        </w:tc>
        <w:tc>
          <w:tcPr>
            <w:tcW w:w="6612" w:type="dxa"/>
            <w:vAlign w:val="center"/>
          </w:tcPr>
          <w:p w14:paraId="0A4D9D89">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15.6.1响应文件包装、密封：供应商须将响应文件正、副本全部装入一个或多个包封袋/箱（响应文件的补充、修改可另行单独递交）中并加以密封，封口处必须密封签字【供应商的法定代表人（负责人)或委托代理人签字均可】或加盖供应商公章，以示密封。</w:t>
            </w:r>
          </w:p>
          <w:p w14:paraId="1467FA88">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15.6.2响应文件袋（盒、箱）标记：</w:t>
            </w:r>
          </w:p>
          <w:p w14:paraId="1DC9E70D">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项目名称：</w:t>
            </w:r>
            <w:r>
              <w:rPr>
                <w:rFonts w:hint="eastAsia" w:ascii="Arial" w:hAnsi="Arial" w:eastAsia="宋体" w:cs="Arial"/>
                <w:color w:val="auto"/>
                <w:szCs w:val="21"/>
                <w:highlight w:val="none"/>
              </w:rPr>
              <w:t>土木学院智慧建造专业实训平台采购项目</w:t>
            </w:r>
          </w:p>
          <w:p w14:paraId="0FCAC3B8">
            <w:pPr>
              <w:snapToGrid w:val="0"/>
              <w:spacing w:after="0" w:line="288" w:lineRule="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GXJD-24114CC031162</w:t>
            </w:r>
          </w:p>
          <w:p w14:paraId="19CE8D34">
            <w:pPr>
              <w:snapToGrid w:val="0"/>
              <w:spacing w:after="0" w:line="288" w:lineRule="auto"/>
              <w:rPr>
                <w:rFonts w:ascii="Arial" w:hAnsi="Arial" w:eastAsia="宋体" w:cs="Arial"/>
                <w:color w:val="auto"/>
                <w:szCs w:val="21"/>
                <w:highlight w:val="none"/>
              </w:rPr>
            </w:pPr>
            <w:r>
              <w:rPr>
                <w:rFonts w:hint="eastAsia" w:ascii="Arial" w:hAnsi="Arial" w:eastAsia="宋体" w:cs="Arial"/>
                <w:color w:val="auto"/>
                <w:szCs w:val="21"/>
                <w:highlight w:val="none"/>
              </w:rPr>
              <w:t>分标号：</w:t>
            </w:r>
          </w:p>
          <w:p w14:paraId="35BAF2F5">
            <w:pPr>
              <w:snapToGrid w:val="0"/>
              <w:spacing w:after="0" w:line="288" w:lineRule="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采购代理机构：</w:t>
            </w:r>
            <w:r>
              <w:rPr>
                <w:rFonts w:hint="eastAsia" w:ascii="Arial" w:hAnsi="Arial" w:eastAsia="宋体" w:cs="Arial"/>
                <w:color w:val="auto"/>
                <w:szCs w:val="21"/>
                <w:highlight w:val="none"/>
                <w:lang w:eastAsia="zh-CN"/>
              </w:rPr>
              <w:t>广西机电设备招标有限公司</w:t>
            </w:r>
          </w:p>
          <w:p w14:paraId="2DDE18D2">
            <w:pPr>
              <w:snapToGrid w:val="0"/>
              <w:spacing w:after="0" w:line="288" w:lineRule="auto"/>
              <w:rPr>
                <w:rFonts w:ascii="Arial" w:hAnsi="Arial" w:eastAsia="宋体" w:cs="Arial"/>
                <w:color w:val="auto"/>
                <w:highlight w:val="none"/>
              </w:rPr>
            </w:pPr>
            <w:r>
              <w:rPr>
                <w:rFonts w:ascii="Arial" w:hAnsi="Arial" w:eastAsia="宋体" w:cs="Arial"/>
                <w:color w:val="auto"/>
                <w:szCs w:val="21"/>
                <w:highlight w:val="none"/>
              </w:rPr>
              <w:t>供应商名称：</w:t>
            </w:r>
          </w:p>
        </w:tc>
      </w:tr>
      <w:tr w14:paraId="092B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6D5B1CC8">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9</w:t>
            </w:r>
          </w:p>
        </w:tc>
        <w:tc>
          <w:tcPr>
            <w:tcW w:w="877" w:type="dxa"/>
            <w:vAlign w:val="center"/>
          </w:tcPr>
          <w:p w14:paraId="3AE8DC7C">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15.7</w:t>
            </w:r>
          </w:p>
        </w:tc>
        <w:tc>
          <w:tcPr>
            <w:tcW w:w="1549" w:type="dxa"/>
            <w:vAlign w:val="center"/>
          </w:tcPr>
          <w:p w14:paraId="471F98F0">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供应商公章</w:t>
            </w:r>
          </w:p>
        </w:tc>
        <w:tc>
          <w:tcPr>
            <w:tcW w:w="6612" w:type="dxa"/>
            <w:vAlign w:val="center"/>
          </w:tcPr>
          <w:p w14:paraId="733E256B">
            <w:pPr>
              <w:snapToGrid w:val="0"/>
              <w:spacing w:after="0" w:line="288" w:lineRule="auto"/>
              <w:rPr>
                <w:rFonts w:ascii="Arial" w:hAnsi="Arial" w:eastAsia="宋体" w:cs="Arial"/>
                <w:color w:val="auto"/>
                <w:szCs w:val="21"/>
                <w:highlight w:val="none"/>
              </w:rPr>
            </w:pPr>
            <w:r>
              <w:rPr>
                <w:rFonts w:ascii="Arial" w:hAnsi="Arial" w:eastAsia="宋体" w:cs="Arial"/>
                <w:color w:val="auto"/>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tc>
      </w:tr>
      <w:tr w14:paraId="667F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4432B2E1">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10</w:t>
            </w:r>
          </w:p>
        </w:tc>
        <w:tc>
          <w:tcPr>
            <w:tcW w:w="877" w:type="dxa"/>
            <w:vAlign w:val="center"/>
          </w:tcPr>
          <w:p w14:paraId="6938BF86">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17.1</w:t>
            </w:r>
          </w:p>
        </w:tc>
        <w:tc>
          <w:tcPr>
            <w:tcW w:w="1549" w:type="dxa"/>
            <w:vAlign w:val="center"/>
          </w:tcPr>
          <w:p w14:paraId="2121F4E9">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响应文件递交</w:t>
            </w:r>
          </w:p>
        </w:tc>
        <w:tc>
          <w:tcPr>
            <w:tcW w:w="6612" w:type="dxa"/>
            <w:vAlign w:val="center"/>
          </w:tcPr>
          <w:p w14:paraId="7079C8E6">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供应商必须于</w:t>
            </w:r>
            <w:r>
              <w:rPr>
                <w:rFonts w:ascii="Arial" w:hAnsi="Arial" w:eastAsia="宋体" w:cs="Arial"/>
                <w:color w:val="auto"/>
                <w:highlight w:val="none"/>
              </w:rPr>
              <w:t>2024年</w:t>
            </w:r>
            <w:r>
              <w:rPr>
                <w:rFonts w:hint="eastAsia" w:ascii="Arial" w:hAnsi="Arial" w:eastAsia="宋体" w:cs="Arial"/>
                <w:color w:val="auto"/>
                <w:szCs w:val="21"/>
                <w:highlight w:val="none"/>
              </w:rPr>
              <w:t>7月30日</w:t>
            </w:r>
            <w:r>
              <w:rPr>
                <w:rFonts w:hint="eastAsia" w:ascii="Arial" w:hAnsi="Arial" w:eastAsia="宋体" w:cs="Arial"/>
                <w:color w:val="auto"/>
                <w:szCs w:val="21"/>
                <w:highlight w:val="none"/>
                <w:lang w:val="en-US" w:eastAsia="zh-CN"/>
              </w:rPr>
              <w:t>14</w:t>
            </w:r>
            <w:r>
              <w:rPr>
                <w:rFonts w:ascii="Arial" w:hAnsi="Arial" w:eastAsia="宋体" w:cs="Arial"/>
                <w:color w:val="auto"/>
                <w:szCs w:val="21"/>
                <w:highlight w:val="none"/>
              </w:rPr>
              <w:t>时30分起至</w:t>
            </w:r>
            <w:r>
              <w:rPr>
                <w:rFonts w:hint="eastAsia" w:ascii="Arial" w:hAnsi="Arial" w:eastAsia="宋体" w:cs="Arial"/>
                <w:color w:val="auto"/>
                <w:szCs w:val="21"/>
                <w:highlight w:val="none"/>
                <w:lang w:val="en-US" w:eastAsia="zh-CN"/>
              </w:rPr>
              <w:t>15</w:t>
            </w:r>
            <w:r>
              <w:rPr>
                <w:rFonts w:ascii="Arial" w:hAnsi="Arial" w:eastAsia="宋体" w:cs="Arial"/>
                <w:color w:val="auto"/>
                <w:szCs w:val="21"/>
                <w:highlight w:val="none"/>
              </w:rPr>
              <w:t>时</w:t>
            </w:r>
            <w:r>
              <w:rPr>
                <w:rFonts w:hint="eastAsia" w:ascii="Arial" w:hAnsi="Arial" w:eastAsia="宋体" w:cs="Arial"/>
                <w:color w:val="auto"/>
                <w:szCs w:val="21"/>
                <w:highlight w:val="none"/>
                <w:lang w:val="en-US" w:eastAsia="zh-CN"/>
              </w:rPr>
              <w:t>0</w:t>
            </w:r>
            <w:r>
              <w:rPr>
                <w:rFonts w:ascii="Arial" w:hAnsi="Arial" w:eastAsia="宋体" w:cs="Arial"/>
                <w:color w:val="auto"/>
                <w:szCs w:val="21"/>
                <w:highlight w:val="none"/>
              </w:rPr>
              <w:t>0分止，将响应文件密封提交至</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桂林分公司开标室</w:t>
            </w:r>
            <w:r>
              <w:rPr>
                <w:rFonts w:ascii="Arial" w:hAnsi="Arial" w:eastAsia="宋体" w:cs="Arial"/>
                <w:b/>
                <w:bCs/>
                <w:color w:val="auto"/>
                <w:szCs w:val="21"/>
                <w:highlight w:val="none"/>
              </w:rPr>
              <w:t>，</w:t>
            </w:r>
            <w:r>
              <w:rPr>
                <w:rFonts w:ascii="Arial" w:hAnsi="Arial" w:eastAsia="宋体" w:cs="Arial"/>
                <w:b/>
                <w:bCs/>
                <w:color w:val="auto"/>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r>
              <w:rPr>
                <w:rFonts w:ascii="Arial" w:hAnsi="Arial" w:eastAsia="宋体" w:cs="Arial"/>
                <w:b/>
                <w:bCs/>
                <w:color w:val="auto"/>
                <w:szCs w:val="21"/>
                <w:highlight w:val="none"/>
              </w:rPr>
              <w:t>。</w:t>
            </w:r>
          </w:p>
        </w:tc>
      </w:tr>
      <w:tr w14:paraId="68B5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564C1F73">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877" w:type="dxa"/>
            <w:vAlign w:val="center"/>
          </w:tcPr>
          <w:p w14:paraId="4523B01D">
            <w:pPr>
              <w:snapToGrid w:val="0"/>
              <w:spacing w:line="288" w:lineRule="auto"/>
              <w:ind w:firstLine="105" w:firstLineChars="50"/>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18.1</w:t>
            </w:r>
          </w:p>
        </w:tc>
        <w:tc>
          <w:tcPr>
            <w:tcW w:w="1549" w:type="dxa"/>
            <w:vAlign w:val="center"/>
          </w:tcPr>
          <w:p w14:paraId="667C9D03">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谈判小组组成</w:t>
            </w:r>
          </w:p>
        </w:tc>
        <w:tc>
          <w:tcPr>
            <w:tcW w:w="6612" w:type="dxa"/>
            <w:vAlign w:val="center"/>
          </w:tcPr>
          <w:p w14:paraId="1311B784">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谈判及评审组织工作由采购代理机构负责，具体谈判、评审工作由依法组建的谈判小组负责，谈判小组由采购人代表和有关方面的专家组成。谈判小组的构成：3人，其中采购人代表 1 人，有关专家 2人。</w:t>
            </w:r>
          </w:p>
        </w:tc>
      </w:tr>
      <w:tr w14:paraId="7FBF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8" w:type="dxa"/>
            <w:vAlign w:val="center"/>
          </w:tcPr>
          <w:p w14:paraId="2E3093B2">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12</w:t>
            </w:r>
          </w:p>
        </w:tc>
        <w:tc>
          <w:tcPr>
            <w:tcW w:w="877" w:type="dxa"/>
            <w:vAlign w:val="center"/>
          </w:tcPr>
          <w:p w14:paraId="332B6E5D">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18.2</w:t>
            </w:r>
          </w:p>
        </w:tc>
        <w:tc>
          <w:tcPr>
            <w:tcW w:w="1549" w:type="dxa"/>
            <w:vAlign w:val="center"/>
          </w:tcPr>
          <w:p w14:paraId="555EA708">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谈判时间、地点、人员</w:t>
            </w:r>
          </w:p>
        </w:tc>
        <w:tc>
          <w:tcPr>
            <w:tcW w:w="6612" w:type="dxa"/>
          </w:tcPr>
          <w:p w14:paraId="7BC82095">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18.2.1谈判时间：首次响应文件递交截止时间后。</w:t>
            </w:r>
          </w:p>
          <w:p w14:paraId="1996D2B2">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18.2.2谈判地点：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szCs w:val="21"/>
                <w:highlight w:val="none"/>
              </w:rPr>
              <w:t>。</w:t>
            </w:r>
          </w:p>
          <w:p w14:paraId="57DEA7C4">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18.2.3谈判参加人员：供应商法定代表人(负责人)或相应的委托代理人持有效身份证原件参加谈判。请供应商按时到达指定地点等候当面谈判。</w:t>
            </w:r>
          </w:p>
          <w:p w14:paraId="4A01F1B6">
            <w:pPr>
              <w:snapToGrid w:val="0"/>
              <w:spacing w:after="0" w:line="288" w:lineRule="auto"/>
              <w:rPr>
                <w:rFonts w:ascii="Arial" w:hAnsi="Arial" w:eastAsia="宋体" w:cs="Arial"/>
                <w:b/>
                <w:color w:val="auto"/>
                <w:szCs w:val="21"/>
                <w:highlight w:val="none"/>
              </w:rPr>
            </w:pPr>
            <w:r>
              <w:rPr>
                <w:rFonts w:ascii="Arial" w:hAnsi="Arial" w:eastAsia="宋体" w:cs="Arial"/>
                <w:color w:val="auto"/>
                <w:szCs w:val="21"/>
                <w:highlight w:val="none"/>
              </w:rPr>
              <w:t>18.2.4首次响应文件递交截止时间后，由谈判小组在评标室内开启响应文件。</w:t>
            </w:r>
          </w:p>
        </w:tc>
      </w:tr>
      <w:tr w14:paraId="4886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28" w:type="dxa"/>
            <w:vAlign w:val="center"/>
          </w:tcPr>
          <w:p w14:paraId="5A2ABA47">
            <w:pPr>
              <w:snapToGrid w:val="0"/>
              <w:spacing w:line="288"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877" w:type="dxa"/>
            <w:vAlign w:val="center"/>
          </w:tcPr>
          <w:p w14:paraId="75668C9F">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19.2</w:t>
            </w:r>
          </w:p>
        </w:tc>
        <w:tc>
          <w:tcPr>
            <w:tcW w:w="1549" w:type="dxa"/>
            <w:vAlign w:val="center"/>
          </w:tcPr>
          <w:p w14:paraId="00AFE624">
            <w:pPr>
              <w:pStyle w:val="14"/>
              <w:snapToGrid w:val="0"/>
              <w:spacing w:line="288" w:lineRule="auto"/>
              <w:jc w:val="center"/>
              <w:rPr>
                <w:rFonts w:ascii="Arial" w:hAnsi="Arial" w:eastAsia="宋体" w:cs="Arial"/>
                <w:color w:val="auto"/>
                <w:kern w:val="0"/>
                <w:szCs w:val="21"/>
                <w:highlight w:val="none"/>
              </w:rPr>
            </w:pPr>
            <w:r>
              <w:rPr>
                <w:rFonts w:ascii="Arial" w:hAnsi="Arial" w:eastAsia="宋体" w:cs="Arial"/>
                <w:color w:val="auto"/>
                <w:kern w:val="0"/>
                <w:szCs w:val="21"/>
                <w:highlight w:val="none"/>
              </w:rPr>
              <w:t>评审办法</w:t>
            </w:r>
          </w:p>
        </w:tc>
        <w:tc>
          <w:tcPr>
            <w:tcW w:w="6612" w:type="dxa"/>
            <w:vAlign w:val="center"/>
          </w:tcPr>
          <w:p w14:paraId="6220D48B">
            <w:pPr>
              <w:tabs>
                <w:tab w:val="left" w:pos="1140"/>
              </w:tabs>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具体详见第四章评审办法。</w:t>
            </w:r>
          </w:p>
        </w:tc>
      </w:tr>
      <w:tr w14:paraId="7330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28" w:type="dxa"/>
            <w:vAlign w:val="center"/>
          </w:tcPr>
          <w:p w14:paraId="01DEB98D">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14</w:t>
            </w:r>
          </w:p>
        </w:tc>
        <w:tc>
          <w:tcPr>
            <w:tcW w:w="877" w:type="dxa"/>
            <w:vAlign w:val="center"/>
          </w:tcPr>
          <w:p w14:paraId="65655F0B">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27</w:t>
            </w:r>
          </w:p>
        </w:tc>
        <w:tc>
          <w:tcPr>
            <w:tcW w:w="1549" w:type="dxa"/>
            <w:vAlign w:val="center"/>
          </w:tcPr>
          <w:p w14:paraId="0D0A2C4A">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成交公告</w:t>
            </w:r>
          </w:p>
          <w:p w14:paraId="4ED6212A">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及成交通知书</w:t>
            </w:r>
          </w:p>
        </w:tc>
        <w:tc>
          <w:tcPr>
            <w:tcW w:w="6612" w:type="dxa"/>
          </w:tcPr>
          <w:p w14:paraId="390BCCBB">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27.1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8DF856D">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27.2在发布成交公告的同时，采购代理机构向成交供应商发出成交通知书。成交供应商应自接到通知之日起七个工作日内，办理成交通知书领取手续。</w:t>
            </w:r>
          </w:p>
        </w:tc>
      </w:tr>
      <w:tr w14:paraId="7B3E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vAlign w:val="center"/>
          </w:tcPr>
          <w:p w14:paraId="334DF16B">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15</w:t>
            </w:r>
          </w:p>
        </w:tc>
        <w:tc>
          <w:tcPr>
            <w:tcW w:w="877" w:type="dxa"/>
            <w:vAlign w:val="center"/>
          </w:tcPr>
          <w:p w14:paraId="6893A998">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28.1</w:t>
            </w:r>
          </w:p>
        </w:tc>
        <w:tc>
          <w:tcPr>
            <w:tcW w:w="1549" w:type="dxa"/>
            <w:vAlign w:val="center"/>
          </w:tcPr>
          <w:p w14:paraId="27A6BB36">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履约保证金</w:t>
            </w:r>
          </w:p>
        </w:tc>
        <w:tc>
          <w:tcPr>
            <w:tcW w:w="6612" w:type="dxa"/>
            <w:vAlign w:val="center"/>
          </w:tcPr>
          <w:p w14:paraId="73C00108">
            <w:pPr>
              <w:snapToGrid w:val="0"/>
              <w:spacing w:after="0" w:line="288"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28.1.履约保证金金额：在合同签订之前</w:t>
            </w:r>
            <w:r>
              <w:rPr>
                <w:rFonts w:hint="eastAsia" w:ascii="Arial" w:hAnsi="Arial" w:eastAsia="宋体" w:cs="Arial"/>
                <w:color w:val="auto"/>
                <w:kern w:val="0"/>
                <w:szCs w:val="21"/>
                <w:highlight w:val="none"/>
              </w:rPr>
              <w:t>，成交供应商</w:t>
            </w:r>
            <w:r>
              <w:rPr>
                <w:rFonts w:ascii="Arial" w:hAnsi="Arial" w:eastAsia="宋体" w:cs="Arial"/>
                <w:color w:val="auto"/>
                <w:kern w:val="0"/>
                <w:szCs w:val="21"/>
                <w:highlight w:val="none"/>
              </w:rPr>
              <w:t>按成交金额的5%（如成交供应商为中小微企业的，按成交金额的2%）向采购人交纳履约保证金。</w:t>
            </w:r>
          </w:p>
          <w:p w14:paraId="328BD013">
            <w:pPr>
              <w:snapToGrid w:val="0"/>
              <w:spacing w:after="0" w:line="288"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28.2.履约保证金递交方式：转账或电汇等非现金形式。</w:t>
            </w:r>
          </w:p>
          <w:p w14:paraId="7F8F914C">
            <w:pPr>
              <w:snapToGrid w:val="0"/>
              <w:spacing w:after="0" w:line="288"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28.3.履约保证金指定账户</w:t>
            </w:r>
          </w:p>
          <w:p w14:paraId="298597B1">
            <w:pPr>
              <w:snapToGrid w:val="0"/>
              <w:spacing w:after="0" w:line="288"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开户名称：桂林理工大学</w:t>
            </w:r>
          </w:p>
          <w:p w14:paraId="32AFC6D1">
            <w:pPr>
              <w:snapToGrid w:val="0"/>
              <w:spacing w:after="0" w:line="288"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开户银行：中国银行桂林分行</w:t>
            </w:r>
          </w:p>
          <w:p w14:paraId="2635F836">
            <w:pPr>
              <w:snapToGrid w:val="0"/>
              <w:spacing w:after="0" w:line="288"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账号：613257488744。</w:t>
            </w:r>
          </w:p>
          <w:p w14:paraId="7359217E">
            <w:pPr>
              <w:snapToGrid w:val="0"/>
              <w:spacing w:after="0" w:line="288"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28.4.履约保证金退付方式、时间及条件：</w:t>
            </w:r>
          </w:p>
          <w:p w14:paraId="37269190">
            <w:pPr>
              <w:snapToGrid w:val="0"/>
              <w:spacing w:after="0" w:line="288"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（1）成交供应商须按上述规定的金额、方式将履约保证金转入桂林理工大学账户。否则，不予签订合同。</w:t>
            </w:r>
          </w:p>
          <w:p w14:paraId="19FF6320">
            <w:pPr>
              <w:snapToGrid w:val="0"/>
              <w:spacing w:after="0" w:line="288" w:lineRule="auto"/>
              <w:outlineLvl w:val="4"/>
              <w:rPr>
                <w:rFonts w:ascii="Arial" w:hAnsi="Arial" w:eastAsia="宋体" w:cs="Arial"/>
                <w:color w:val="auto"/>
                <w:szCs w:val="21"/>
                <w:highlight w:val="none"/>
              </w:rPr>
            </w:pPr>
            <w:r>
              <w:rPr>
                <w:rFonts w:ascii="Arial" w:hAnsi="Arial" w:eastAsia="宋体" w:cs="Arial"/>
                <w:color w:val="auto"/>
                <w:kern w:val="0"/>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2B5E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vAlign w:val="center"/>
          </w:tcPr>
          <w:p w14:paraId="12305C83">
            <w:pPr>
              <w:snapToGrid w:val="0"/>
              <w:spacing w:line="288" w:lineRule="auto"/>
              <w:jc w:val="center"/>
              <w:rPr>
                <w:rFonts w:ascii="Arial" w:hAnsi="Arial" w:eastAsia="宋体" w:cs="Arial"/>
                <w:color w:val="auto"/>
                <w:szCs w:val="21"/>
                <w:highlight w:val="none"/>
              </w:rPr>
            </w:pPr>
            <w:r>
              <w:rPr>
                <w:rFonts w:ascii="Arial" w:hAnsi="Arial" w:eastAsia="宋体" w:cs="Arial"/>
                <w:color w:val="auto"/>
                <w:kern w:val="0"/>
                <w:szCs w:val="21"/>
                <w:highlight w:val="none"/>
              </w:rPr>
              <w:t>16</w:t>
            </w:r>
          </w:p>
        </w:tc>
        <w:tc>
          <w:tcPr>
            <w:tcW w:w="877" w:type="dxa"/>
            <w:vAlign w:val="center"/>
          </w:tcPr>
          <w:p w14:paraId="2B294E8A">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29.1</w:t>
            </w:r>
          </w:p>
        </w:tc>
        <w:tc>
          <w:tcPr>
            <w:tcW w:w="1549" w:type="dxa"/>
            <w:vAlign w:val="center"/>
          </w:tcPr>
          <w:p w14:paraId="1278D16C">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签订合同时间</w:t>
            </w:r>
          </w:p>
        </w:tc>
        <w:tc>
          <w:tcPr>
            <w:tcW w:w="6612" w:type="dxa"/>
            <w:vAlign w:val="center"/>
          </w:tcPr>
          <w:p w14:paraId="029DF547">
            <w:pPr>
              <w:snapToGrid w:val="0"/>
              <w:spacing w:after="0" w:line="288" w:lineRule="auto"/>
              <w:rPr>
                <w:rFonts w:ascii="Arial" w:hAnsi="Arial" w:eastAsia="宋体" w:cs="Arial"/>
                <w:color w:val="auto"/>
                <w:highlight w:val="none"/>
              </w:rPr>
            </w:pPr>
            <w:r>
              <w:rPr>
                <w:rFonts w:ascii="Arial" w:hAnsi="Arial" w:eastAsia="宋体" w:cs="Arial"/>
                <w:color w:val="auto"/>
                <w:highlight w:val="none"/>
              </w:rPr>
              <w:t>成交通知书发出之日起25日内。成交供应商领取成交通知书后，应按规定与采购人签订合同。</w:t>
            </w:r>
          </w:p>
        </w:tc>
      </w:tr>
      <w:tr w14:paraId="37BA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28" w:type="dxa"/>
            <w:vAlign w:val="center"/>
          </w:tcPr>
          <w:p w14:paraId="1DDE4749">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17</w:t>
            </w:r>
          </w:p>
        </w:tc>
        <w:tc>
          <w:tcPr>
            <w:tcW w:w="877" w:type="dxa"/>
            <w:vAlign w:val="center"/>
          </w:tcPr>
          <w:p w14:paraId="22164725">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30</w:t>
            </w:r>
          </w:p>
        </w:tc>
        <w:tc>
          <w:tcPr>
            <w:tcW w:w="1549" w:type="dxa"/>
            <w:vAlign w:val="center"/>
          </w:tcPr>
          <w:p w14:paraId="5765EA68">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采购代理服务费</w:t>
            </w:r>
          </w:p>
        </w:tc>
        <w:tc>
          <w:tcPr>
            <w:tcW w:w="6612" w:type="dxa"/>
          </w:tcPr>
          <w:p w14:paraId="5BD09487">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以项目的成交金额为计费额，按国家发展计划委员会文件计价格（2002）1980号“国家计委关于印发《招标代理服务收费管理暂行办法》的通知”规定的货物类费率标准（详见本须知正文第30.2条）采用差额定率累进法计算出收费基准价格，采购代理服务费按收费基准价格下浮60 %收取，由成交供应商在领取成交通知书前，向采购代理机构一次性支付。</w:t>
            </w:r>
          </w:p>
          <w:p w14:paraId="505BCD40">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计算范例如下（本范例仅作计算示范，不等同于本项目代理服务费实际收取金额）：</w:t>
            </w:r>
          </w:p>
          <w:p w14:paraId="2ACA04BD">
            <w:pPr>
              <w:snapToGrid w:val="0"/>
              <w:spacing w:after="0" w:line="288" w:lineRule="auto"/>
              <w:rPr>
                <w:rFonts w:ascii="Arial" w:hAnsi="Arial" w:eastAsia="宋体" w:cs="Arial"/>
                <w:color w:val="auto"/>
                <w:highlight w:val="none"/>
              </w:rPr>
            </w:pPr>
            <w:r>
              <w:rPr>
                <w:rFonts w:ascii="Arial" w:hAnsi="Arial" w:eastAsia="宋体" w:cs="Arial"/>
                <w:color w:val="auto"/>
                <w:szCs w:val="21"/>
                <w:highlight w:val="none"/>
              </w:rPr>
              <w:t>某货物采购项目成交金额为350万元，则以350万元为计费额；招标代理服务费收费基准价格=100 万元×1.5%＋（350-100）万元×1.1%＝1.5万元＋2.75万元＝4.25万元；招标代理服务费收取标准=收费基准价格×（1-60%）=4.25万元×40%=1.7万元。</w:t>
            </w:r>
          </w:p>
        </w:tc>
      </w:tr>
      <w:tr w14:paraId="16C5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8" w:type="dxa"/>
            <w:vAlign w:val="center"/>
          </w:tcPr>
          <w:p w14:paraId="0BF48BEC">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18</w:t>
            </w:r>
          </w:p>
        </w:tc>
        <w:tc>
          <w:tcPr>
            <w:tcW w:w="877" w:type="dxa"/>
            <w:vAlign w:val="center"/>
          </w:tcPr>
          <w:p w14:paraId="30663CC3">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32</w:t>
            </w:r>
          </w:p>
        </w:tc>
        <w:tc>
          <w:tcPr>
            <w:tcW w:w="1549" w:type="dxa"/>
            <w:vAlign w:val="center"/>
          </w:tcPr>
          <w:p w14:paraId="6E72C3F3">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解释权</w:t>
            </w:r>
          </w:p>
        </w:tc>
        <w:tc>
          <w:tcPr>
            <w:tcW w:w="6612" w:type="dxa"/>
            <w:vAlign w:val="center"/>
          </w:tcPr>
          <w:p w14:paraId="089F8BB6">
            <w:pPr>
              <w:snapToGrid w:val="0"/>
              <w:spacing w:after="0" w:line="288" w:lineRule="auto"/>
              <w:rPr>
                <w:rFonts w:ascii="Arial" w:hAnsi="Arial" w:eastAsia="宋体" w:cs="Arial"/>
                <w:color w:val="auto"/>
                <w:szCs w:val="21"/>
                <w:highlight w:val="none"/>
              </w:rPr>
            </w:pPr>
            <w:r>
              <w:rPr>
                <w:rFonts w:ascii="Arial" w:hAnsi="Arial" w:eastAsia="宋体" w:cs="Arial"/>
                <w:color w:val="auto"/>
                <w:highlight w:val="none"/>
              </w:rPr>
              <w:t>本竞争性谈判文件的解释权属于采购代理机构。</w:t>
            </w:r>
          </w:p>
        </w:tc>
      </w:tr>
    </w:tbl>
    <w:p w14:paraId="6316412E">
      <w:pPr>
        <w:spacing w:line="288" w:lineRule="auto"/>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一、总则</w:t>
      </w:r>
    </w:p>
    <w:p w14:paraId="7DD7CCDD">
      <w:pPr>
        <w:spacing w:after="0" w:line="288" w:lineRule="auto"/>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1. 适应范围</w:t>
      </w:r>
    </w:p>
    <w:p w14:paraId="7AF9C0A5">
      <w:pPr>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1.1  项目名称及项目编号：</w:t>
      </w:r>
    </w:p>
    <w:p w14:paraId="5F4AC13F">
      <w:pPr>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 xml:space="preserve">     项目名称：</w:t>
      </w:r>
      <w:r>
        <w:rPr>
          <w:rFonts w:hint="eastAsia" w:ascii="Arial" w:hAnsi="Arial" w:eastAsia="宋体" w:cs="Arial"/>
          <w:color w:val="auto"/>
          <w:highlight w:val="none"/>
        </w:rPr>
        <w:t>土木学院智慧建造专业实训平台采购项目</w:t>
      </w:r>
      <w:r>
        <w:rPr>
          <w:rFonts w:ascii="Arial" w:hAnsi="Arial" w:eastAsia="宋体" w:cs="Arial"/>
          <w:color w:val="auto"/>
          <w:szCs w:val="21"/>
          <w:highlight w:val="none"/>
        </w:rPr>
        <w:t xml:space="preserve">   </w:t>
      </w:r>
    </w:p>
    <w:p w14:paraId="1109B864">
      <w:pPr>
        <w:spacing w:after="0" w:line="288" w:lineRule="auto"/>
        <w:ind w:firstLine="435"/>
        <w:rPr>
          <w:rFonts w:hint="eastAsia" w:ascii="Arial" w:hAnsi="Arial" w:eastAsia="宋体" w:cs="Arial"/>
          <w:color w:val="auto"/>
          <w:szCs w:val="21"/>
          <w:highlight w:val="none"/>
          <w:lang w:eastAsia="zh-CN"/>
        </w:rPr>
      </w:pPr>
      <w:r>
        <w:rPr>
          <w:rFonts w:ascii="Arial" w:hAnsi="Arial" w:eastAsia="宋体" w:cs="Arial"/>
          <w:color w:val="auto"/>
          <w:szCs w:val="21"/>
          <w:highlight w:val="none"/>
        </w:rPr>
        <w:t xml:space="preserve">     项目</w:t>
      </w:r>
      <w:r>
        <w:rPr>
          <w:rFonts w:ascii="Arial" w:hAnsi="Arial" w:eastAsia="宋体" w:cs="Arial"/>
          <w:color w:val="auto"/>
          <w:highlight w:val="none"/>
        </w:rPr>
        <w:t xml:space="preserve">编号： </w:t>
      </w:r>
      <w:r>
        <w:rPr>
          <w:rFonts w:hint="eastAsia" w:ascii="Arial" w:hAnsi="Arial" w:eastAsia="宋体" w:cs="Arial"/>
          <w:color w:val="auto"/>
          <w:highlight w:val="none"/>
          <w:lang w:eastAsia="zh-CN"/>
        </w:rPr>
        <w:t>GXJD-24114CC031162</w:t>
      </w:r>
    </w:p>
    <w:p w14:paraId="42B969DC">
      <w:pPr>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1.2本竞争性谈判文件（以下简称谈判文件）适用于本谈判项目的谈判、评审、合同履约、验收、付款等行为（法律、法规另有规定的，从其规定）。</w:t>
      </w:r>
    </w:p>
    <w:p w14:paraId="0C68DEC0">
      <w:pPr>
        <w:spacing w:after="0" w:line="288" w:lineRule="auto"/>
        <w:ind w:firstLine="435"/>
        <w:rPr>
          <w:rFonts w:ascii="Arial" w:hAnsi="Arial" w:eastAsia="宋体" w:cs="Arial"/>
          <w:b/>
          <w:color w:val="auto"/>
          <w:szCs w:val="21"/>
          <w:highlight w:val="none"/>
        </w:rPr>
      </w:pPr>
      <w:r>
        <w:rPr>
          <w:rFonts w:ascii="Arial" w:hAnsi="Arial" w:eastAsia="宋体" w:cs="Arial"/>
          <w:b/>
          <w:color w:val="auto"/>
          <w:szCs w:val="21"/>
          <w:highlight w:val="none"/>
        </w:rPr>
        <w:t>2. 定义</w:t>
      </w:r>
    </w:p>
    <w:p w14:paraId="2607EC2B">
      <w:pPr>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2.1“供应商”是指符合本次采购项目的供应商资格并提交响应文件、参加谈判的供应商。如果该供应商在本次谈判中成交，即成为“成交供应商”。</w:t>
      </w:r>
    </w:p>
    <w:p w14:paraId="62FDC1CD">
      <w:pPr>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2.2“货物”系指按谈判文件规定，供应商须向采购人提供的一切设备、保险、税金、备品备件、工具、手册及其它有关技术资料和材料。</w:t>
      </w:r>
    </w:p>
    <w:p w14:paraId="164B3DEC">
      <w:pPr>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2.3“服务”系指按谈判文件规定，供应商须承担的安装、调试、技术协助、校准、培训、技术指导以及其他类似的义务。</w:t>
      </w:r>
    </w:p>
    <w:p w14:paraId="08146CCD">
      <w:pPr>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2.4“项目”系指供应商按谈判文件规定向采购人提供的货物和服务。</w:t>
      </w:r>
    </w:p>
    <w:p w14:paraId="26367563">
      <w:pPr>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2.5“书面形式”包括信函、传真、电报等。</w:t>
      </w:r>
    </w:p>
    <w:p w14:paraId="7F741806">
      <w:pPr>
        <w:spacing w:after="0" w:line="288" w:lineRule="auto"/>
        <w:ind w:firstLine="435"/>
        <w:rPr>
          <w:rFonts w:ascii="Arial" w:hAnsi="Arial" w:eastAsia="宋体" w:cs="Arial"/>
          <w:b/>
          <w:color w:val="auto"/>
          <w:sz w:val="24"/>
          <w:highlight w:val="none"/>
        </w:rPr>
      </w:pPr>
      <w:r>
        <w:rPr>
          <w:rFonts w:ascii="Arial" w:hAnsi="Arial" w:eastAsia="宋体" w:cs="Arial"/>
          <w:b/>
          <w:color w:val="auto"/>
          <w:sz w:val="24"/>
          <w:highlight w:val="none"/>
        </w:rPr>
        <w:t>2.6实质性要求：“项目采购需求”中所有条款要求及竞争性谈判文件中要求“必须提供”的条款均为实质性要求，如有负偏离或不满足要求则响应被否决。</w:t>
      </w:r>
    </w:p>
    <w:p w14:paraId="095946B3">
      <w:pPr>
        <w:spacing w:after="0" w:line="288" w:lineRule="auto"/>
        <w:ind w:firstLine="435"/>
        <w:rPr>
          <w:rFonts w:ascii="Arial" w:hAnsi="Arial" w:eastAsia="宋体" w:cs="Arial"/>
          <w:b/>
          <w:color w:val="auto"/>
          <w:szCs w:val="21"/>
          <w:highlight w:val="none"/>
        </w:rPr>
      </w:pPr>
      <w:r>
        <w:rPr>
          <w:rFonts w:ascii="Arial" w:hAnsi="Arial" w:eastAsia="宋体" w:cs="Arial"/>
          <w:b/>
          <w:color w:val="auto"/>
          <w:szCs w:val="21"/>
          <w:highlight w:val="none"/>
        </w:rPr>
        <w:t>3. 供应商资格</w:t>
      </w:r>
    </w:p>
    <w:p w14:paraId="2DC11827">
      <w:pPr>
        <w:spacing w:after="0" w:line="288" w:lineRule="auto"/>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3.1符合《中华人民共和国政府采购法》第二十二条规定。</w:t>
      </w:r>
    </w:p>
    <w:p w14:paraId="55F035E3">
      <w:pPr>
        <w:spacing w:after="0" w:line="288" w:lineRule="auto"/>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3.2</w:t>
      </w:r>
      <w:r>
        <w:rPr>
          <w:rFonts w:ascii="Arial" w:hAnsi="Arial" w:eastAsia="宋体" w:cs="Arial"/>
          <w:color w:val="auto"/>
          <w:highlight w:val="none"/>
        </w:rPr>
        <w:t>供应商的特定资格要求：</w:t>
      </w:r>
      <w:r>
        <w:rPr>
          <w:rFonts w:hint="eastAsia" w:ascii="Arial" w:hAnsi="Arial" w:eastAsia="宋体" w:cs="Arial"/>
          <w:b/>
          <w:bCs/>
          <w:color w:val="auto"/>
          <w:highlight w:val="none"/>
        </w:rPr>
        <w:t>本项目非专门面向中小微企业采购</w:t>
      </w:r>
      <w:r>
        <w:rPr>
          <w:rFonts w:ascii="Arial" w:hAnsi="Arial" w:eastAsia="宋体" w:cs="Arial"/>
          <w:b/>
          <w:bCs/>
          <w:color w:val="auto"/>
          <w:highlight w:val="none"/>
        </w:rPr>
        <w:t>。</w:t>
      </w:r>
    </w:p>
    <w:p w14:paraId="60C54D38">
      <w:pPr>
        <w:spacing w:after="0" w:line="288" w:lineRule="auto"/>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575C6AA4">
      <w:pPr>
        <w:spacing w:after="0" w:line="288" w:lineRule="auto"/>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73A8AB00">
      <w:pPr>
        <w:spacing w:after="0" w:line="288" w:lineRule="auto"/>
        <w:ind w:firstLine="435"/>
        <w:rPr>
          <w:rFonts w:ascii="Arial" w:hAnsi="Arial" w:eastAsia="宋体" w:cs="Arial"/>
          <w:color w:val="auto"/>
          <w:kern w:val="0"/>
          <w:sz w:val="24"/>
          <w:highlight w:val="none"/>
        </w:rPr>
      </w:pPr>
      <w:r>
        <w:rPr>
          <w:rFonts w:ascii="Arial" w:hAnsi="Arial" w:eastAsia="宋体" w:cs="Arial"/>
          <w:color w:val="auto"/>
          <w:kern w:val="0"/>
          <w:szCs w:val="21"/>
          <w:highlight w:val="none"/>
        </w:rPr>
        <w:t>3.5.本项目不接受联合体参与谈判</w:t>
      </w:r>
      <w:r>
        <w:rPr>
          <w:rFonts w:ascii="Arial" w:hAnsi="Arial" w:eastAsia="宋体" w:cs="Arial"/>
          <w:color w:val="auto"/>
          <w:highlight w:val="none"/>
        </w:rPr>
        <w:t>。</w:t>
      </w:r>
    </w:p>
    <w:p w14:paraId="748BE69B">
      <w:pPr>
        <w:spacing w:after="0" w:line="288" w:lineRule="auto"/>
        <w:ind w:firstLine="435"/>
        <w:rPr>
          <w:rFonts w:ascii="Arial" w:hAnsi="Arial" w:eastAsia="宋体" w:cs="Arial"/>
          <w:b/>
          <w:color w:val="auto"/>
          <w:szCs w:val="21"/>
          <w:highlight w:val="none"/>
        </w:rPr>
      </w:pPr>
      <w:r>
        <w:rPr>
          <w:rFonts w:ascii="Arial" w:hAnsi="Arial" w:eastAsia="宋体" w:cs="Arial"/>
          <w:b/>
          <w:color w:val="auto"/>
          <w:szCs w:val="21"/>
          <w:highlight w:val="none"/>
        </w:rPr>
        <w:t>4. 谈判费用</w:t>
      </w:r>
    </w:p>
    <w:p w14:paraId="16A8512E">
      <w:pPr>
        <w:tabs>
          <w:tab w:val="left" w:pos="1635"/>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不论谈判结果如何，供应商均应自行承担所有与谈判有关的全部费用。</w:t>
      </w:r>
    </w:p>
    <w:p w14:paraId="712D6F83">
      <w:pPr>
        <w:tabs>
          <w:tab w:val="left" w:pos="1635"/>
        </w:tabs>
        <w:spacing w:after="0" w:line="288" w:lineRule="auto"/>
        <w:ind w:firstLine="435"/>
        <w:rPr>
          <w:rFonts w:ascii="Arial" w:hAnsi="Arial" w:eastAsia="宋体" w:cs="Arial"/>
          <w:b/>
          <w:color w:val="auto"/>
          <w:szCs w:val="21"/>
          <w:highlight w:val="none"/>
        </w:rPr>
      </w:pPr>
      <w:r>
        <w:rPr>
          <w:rFonts w:ascii="Arial" w:hAnsi="Arial" w:eastAsia="宋体" w:cs="Arial"/>
          <w:b/>
          <w:color w:val="auto"/>
          <w:szCs w:val="21"/>
          <w:highlight w:val="none"/>
        </w:rPr>
        <w:t>5. 联合体要求：</w:t>
      </w:r>
      <w:r>
        <w:rPr>
          <w:rFonts w:ascii="Arial" w:hAnsi="Arial" w:eastAsia="宋体" w:cs="Arial"/>
          <w:color w:val="auto"/>
          <w:szCs w:val="21"/>
          <w:highlight w:val="none"/>
        </w:rPr>
        <w:t>本项目不接受联合体参与谈判。</w:t>
      </w:r>
    </w:p>
    <w:p w14:paraId="5A8BFD67">
      <w:pPr>
        <w:tabs>
          <w:tab w:val="left" w:pos="2190"/>
        </w:tabs>
        <w:spacing w:after="0" w:line="288" w:lineRule="auto"/>
        <w:ind w:firstLine="435"/>
        <w:rPr>
          <w:rFonts w:ascii="Arial" w:hAnsi="Arial" w:eastAsia="宋体" w:cs="Arial"/>
          <w:b/>
          <w:color w:val="auto"/>
          <w:szCs w:val="21"/>
          <w:highlight w:val="none"/>
        </w:rPr>
      </w:pPr>
      <w:r>
        <w:rPr>
          <w:rFonts w:ascii="Arial" w:hAnsi="Arial" w:eastAsia="宋体" w:cs="Arial"/>
          <w:b/>
          <w:color w:val="auto"/>
          <w:szCs w:val="21"/>
          <w:highlight w:val="none"/>
        </w:rPr>
        <w:t>6.异议</w:t>
      </w:r>
    </w:p>
    <w:p w14:paraId="2EC38537">
      <w:pPr>
        <w:tabs>
          <w:tab w:val="left" w:pos="1635"/>
        </w:tabs>
        <w:spacing w:after="0" w:line="288" w:lineRule="auto"/>
        <w:ind w:firstLine="435"/>
        <w:rPr>
          <w:rFonts w:ascii="Arial" w:hAnsi="Arial" w:eastAsia="宋体" w:cs="Arial"/>
          <w:b/>
          <w:bCs/>
          <w:color w:val="auto"/>
          <w:szCs w:val="21"/>
          <w:highlight w:val="none"/>
        </w:rPr>
      </w:pPr>
      <w:r>
        <w:rPr>
          <w:rFonts w:ascii="Arial" w:hAnsi="Arial" w:eastAsia="宋体" w:cs="Arial"/>
          <w:b/>
          <w:bCs/>
          <w:color w:val="auto"/>
          <w:szCs w:val="21"/>
          <w:highlight w:val="none"/>
        </w:rPr>
        <w:t>6.1异议内容、时限</w:t>
      </w:r>
    </w:p>
    <w:p w14:paraId="2E02278E">
      <w:pPr>
        <w:tabs>
          <w:tab w:val="left" w:pos="1635"/>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（1）潜在供应商对谈判文件有异议的，应当在首次提交响应文件截止之日3日前提出，并附相关证明材料以书面形式递交。</w:t>
      </w:r>
    </w:p>
    <w:p w14:paraId="4ED2AE44">
      <w:pPr>
        <w:tabs>
          <w:tab w:val="left" w:pos="1635"/>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（2）供应商对截标有异议的，应当在截标现场提出。</w:t>
      </w:r>
    </w:p>
    <w:p w14:paraId="13DAE733">
      <w:pPr>
        <w:tabs>
          <w:tab w:val="left" w:pos="1635"/>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（3）供应商对成交结果有异议的，应当在成交结果公告期内以书面形式提出，并附相关证明材料。</w:t>
      </w:r>
    </w:p>
    <w:p w14:paraId="65E4156D">
      <w:pPr>
        <w:tabs>
          <w:tab w:val="left" w:pos="1635"/>
        </w:tabs>
        <w:spacing w:after="0" w:line="288" w:lineRule="auto"/>
        <w:ind w:firstLine="435"/>
        <w:rPr>
          <w:rFonts w:ascii="Arial" w:hAnsi="Arial" w:eastAsia="宋体" w:cs="Arial"/>
          <w:b/>
          <w:bCs/>
          <w:color w:val="auto"/>
          <w:szCs w:val="21"/>
          <w:highlight w:val="none"/>
        </w:rPr>
      </w:pPr>
      <w:r>
        <w:rPr>
          <w:rFonts w:ascii="Arial" w:hAnsi="Arial" w:eastAsia="宋体" w:cs="Arial"/>
          <w:b/>
          <w:bCs/>
          <w:color w:val="auto"/>
          <w:szCs w:val="21"/>
          <w:highlight w:val="none"/>
        </w:rPr>
        <w:t>6.2异议答复时限</w:t>
      </w:r>
    </w:p>
    <w:p w14:paraId="0AE1487E">
      <w:pPr>
        <w:tabs>
          <w:tab w:val="left" w:pos="1635"/>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采购人在收到供应商书面异议后3日内，对异议内容作出答复。</w:t>
      </w:r>
    </w:p>
    <w:p w14:paraId="24CF1C0C">
      <w:pPr>
        <w:tabs>
          <w:tab w:val="left" w:pos="1635"/>
        </w:tabs>
        <w:spacing w:after="0" w:line="288" w:lineRule="auto"/>
        <w:ind w:firstLine="435"/>
        <w:rPr>
          <w:rFonts w:ascii="Arial" w:hAnsi="Arial" w:eastAsia="宋体" w:cs="Arial"/>
          <w:b/>
          <w:bCs/>
          <w:color w:val="auto"/>
          <w:szCs w:val="21"/>
          <w:highlight w:val="none"/>
        </w:rPr>
      </w:pPr>
      <w:r>
        <w:rPr>
          <w:rFonts w:ascii="Arial" w:hAnsi="Arial" w:eastAsia="宋体" w:cs="Arial"/>
          <w:b/>
          <w:bCs/>
          <w:color w:val="auto"/>
          <w:szCs w:val="21"/>
          <w:highlight w:val="none"/>
        </w:rPr>
        <w:t>6.3异议形式</w:t>
      </w:r>
    </w:p>
    <w:p w14:paraId="027D9830">
      <w:pPr>
        <w:tabs>
          <w:tab w:val="left" w:pos="1635"/>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异议应当采用供应商须知前附表所规定的形式，异议书应明确阐述谈判文件、谈判过程或成交结果中使自己合法权益受到损害的实质性内容，提供相关事实、依据和证据及其来源或线索，便于有关单位调查、答复和处理。不满足要求的异议将不予受理。</w:t>
      </w:r>
    </w:p>
    <w:p w14:paraId="64692F62">
      <w:pPr>
        <w:tabs>
          <w:tab w:val="left" w:pos="2190"/>
        </w:tabs>
        <w:spacing w:after="0" w:line="288" w:lineRule="auto"/>
        <w:ind w:firstLine="435"/>
        <w:rPr>
          <w:rFonts w:ascii="Arial" w:hAnsi="Arial" w:eastAsia="宋体" w:cs="Arial"/>
          <w:b/>
          <w:color w:val="auto"/>
          <w:szCs w:val="21"/>
          <w:highlight w:val="none"/>
        </w:rPr>
      </w:pPr>
      <w:r>
        <w:rPr>
          <w:rFonts w:ascii="Arial" w:hAnsi="Arial" w:eastAsia="宋体" w:cs="Arial"/>
          <w:b/>
          <w:color w:val="auto"/>
          <w:szCs w:val="21"/>
          <w:highlight w:val="none"/>
        </w:rPr>
        <w:t>7. 转包与分包</w:t>
      </w:r>
    </w:p>
    <w:p w14:paraId="3609615C">
      <w:pPr>
        <w:tabs>
          <w:tab w:val="left" w:pos="2190"/>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7.1 本项目不允许转包。</w:t>
      </w:r>
    </w:p>
    <w:p w14:paraId="2072B892">
      <w:pPr>
        <w:tabs>
          <w:tab w:val="left" w:pos="2190"/>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7.2 本项目不可以分包。</w:t>
      </w:r>
    </w:p>
    <w:p w14:paraId="77DACA95">
      <w:pPr>
        <w:tabs>
          <w:tab w:val="left" w:pos="1635"/>
        </w:tabs>
        <w:spacing w:after="0" w:line="288" w:lineRule="auto"/>
        <w:ind w:firstLine="435"/>
        <w:rPr>
          <w:rFonts w:ascii="Arial" w:hAnsi="Arial" w:eastAsia="宋体" w:cs="Arial"/>
          <w:b/>
          <w:color w:val="auto"/>
          <w:szCs w:val="21"/>
          <w:highlight w:val="none"/>
        </w:rPr>
      </w:pPr>
      <w:r>
        <w:rPr>
          <w:rFonts w:ascii="Arial" w:hAnsi="Arial" w:eastAsia="宋体" w:cs="Arial"/>
          <w:b/>
          <w:color w:val="auto"/>
          <w:szCs w:val="21"/>
          <w:highlight w:val="none"/>
        </w:rPr>
        <w:t>8. 关联供应商不得参加同一合同项下采购活动，否则响应文件将被视为无效：</w:t>
      </w:r>
    </w:p>
    <w:p w14:paraId="7310A301">
      <w:pPr>
        <w:tabs>
          <w:tab w:val="left" w:pos="163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（1）单位负责人为同一人或者存在直接控股、管理关系的不同供应商，不得参加同一合同项下的采购活动。</w:t>
      </w:r>
    </w:p>
    <w:p w14:paraId="30FF2EB7">
      <w:pPr>
        <w:tabs>
          <w:tab w:val="left" w:pos="1635"/>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（2）为本采购项目提供整体设计、规范编制或者项目管理、监理、检测等服务的供应商，不得再参加本次采购活动。</w:t>
      </w:r>
    </w:p>
    <w:p w14:paraId="514C05A2">
      <w:pPr>
        <w:tabs>
          <w:tab w:val="left" w:pos="1635"/>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（3）生产厂商授权给供应商后自己不得参加同一合同项下的采购活动；生产厂商对同一品牌同一型号的货物，仅能委托一个代理商参加谈判。</w:t>
      </w:r>
    </w:p>
    <w:p w14:paraId="2C1E297A">
      <w:pPr>
        <w:tabs>
          <w:tab w:val="left" w:pos="2190"/>
        </w:tabs>
        <w:spacing w:after="0" w:line="288" w:lineRule="auto"/>
        <w:ind w:firstLine="435"/>
        <w:jc w:val="center"/>
        <w:rPr>
          <w:rFonts w:ascii="Arial" w:hAnsi="Arial" w:eastAsia="宋体" w:cs="Arial"/>
          <w:b/>
          <w:color w:val="auto"/>
          <w:sz w:val="28"/>
          <w:szCs w:val="28"/>
          <w:highlight w:val="none"/>
        </w:rPr>
      </w:pPr>
    </w:p>
    <w:p w14:paraId="0EC7F73F">
      <w:pPr>
        <w:tabs>
          <w:tab w:val="left" w:pos="2190"/>
        </w:tabs>
        <w:spacing w:after="0" w:line="288" w:lineRule="auto"/>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二、谈判文件</w:t>
      </w:r>
    </w:p>
    <w:p w14:paraId="318111BC">
      <w:pPr>
        <w:tabs>
          <w:tab w:val="left" w:pos="2190"/>
        </w:tabs>
        <w:spacing w:after="0" w:line="288" w:lineRule="auto"/>
        <w:ind w:firstLine="437"/>
        <w:rPr>
          <w:rFonts w:ascii="Arial" w:hAnsi="Arial" w:eastAsia="宋体" w:cs="Arial"/>
          <w:b/>
          <w:color w:val="auto"/>
          <w:szCs w:val="21"/>
          <w:highlight w:val="none"/>
        </w:rPr>
      </w:pPr>
      <w:r>
        <w:rPr>
          <w:rFonts w:ascii="Arial" w:hAnsi="Arial" w:eastAsia="宋体" w:cs="Arial"/>
          <w:b/>
          <w:color w:val="auto"/>
          <w:szCs w:val="21"/>
          <w:highlight w:val="none"/>
        </w:rPr>
        <w:t>9. 谈判文件的构成</w:t>
      </w:r>
    </w:p>
    <w:p w14:paraId="678C1C52">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（1）竞争性谈判公告；</w:t>
      </w:r>
    </w:p>
    <w:p w14:paraId="503DFD2D">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（2）供应商须知；</w:t>
      </w:r>
    </w:p>
    <w:p w14:paraId="77C92E67">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（3）项目采购需求；</w:t>
      </w:r>
    </w:p>
    <w:p w14:paraId="7CC04CC6">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（4）评审办法；</w:t>
      </w:r>
    </w:p>
    <w:p w14:paraId="096E0D6B">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（5）采购合同（合同主要条款及格式）；</w:t>
      </w:r>
    </w:p>
    <w:p w14:paraId="3C22D6DC">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（6）响应文件（格式）。</w:t>
      </w:r>
    </w:p>
    <w:p w14:paraId="26E3B94B">
      <w:pPr>
        <w:tabs>
          <w:tab w:val="left" w:pos="2190"/>
        </w:tabs>
        <w:spacing w:after="0" w:line="288" w:lineRule="auto"/>
        <w:ind w:firstLine="437"/>
        <w:rPr>
          <w:rFonts w:ascii="Arial" w:hAnsi="Arial" w:eastAsia="宋体" w:cs="Arial"/>
          <w:b/>
          <w:color w:val="auto"/>
          <w:szCs w:val="21"/>
          <w:highlight w:val="none"/>
        </w:rPr>
      </w:pPr>
      <w:r>
        <w:rPr>
          <w:rFonts w:ascii="Arial" w:hAnsi="Arial" w:eastAsia="宋体" w:cs="Arial"/>
          <w:b/>
          <w:color w:val="auto"/>
          <w:szCs w:val="21"/>
          <w:highlight w:val="none"/>
        </w:rPr>
        <w:t>10. 谈判文件的澄清与修改</w:t>
      </w:r>
    </w:p>
    <w:p w14:paraId="068FB8B8">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63E7D846">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10.2</w:t>
      </w:r>
      <w:r>
        <w:rPr>
          <w:rFonts w:ascii="Arial" w:hAnsi="Arial" w:eastAsia="宋体" w:cs="Arial"/>
          <w:b/>
          <w:color w:val="auto"/>
          <w:szCs w:val="21"/>
          <w:highlight w:val="none"/>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225B657">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10.3澄清或者修改的内容为谈判文件的组成部分。当澄清或者修改通知就同一内容的表述不一致时，以最后发出的文件为准。</w:t>
      </w:r>
    </w:p>
    <w:p w14:paraId="2C5CFC48">
      <w:pPr>
        <w:tabs>
          <w:tab w:val="left" w:pos="2190"/>
        </w:tabs>
        <w:spacing w:after="0" w:line="288" w:lineRule="auto"/>
        <w:ind w:firstLine="437"/>
        <w:rPr>
          <w:rFonts w:ascii="Arial" w:hAnsi="Arial" w:eastAsia="宋体" w:cs="Arial"/>
          <w:color w:val="auto"/>
          <w:szCs w:val="21"/>
          <w:highlight w:val="none"/>
        </w:rPr>
      </w:pPr>
      <w:r>
        <w:rPr>
          <w:rFonts w:ascii="Arial" w:hAnsi="Arial" w:eastAsia="宋体" w:cs="Arial"/>
          <w:color w:val="auto"/>
          <w:szCs w:val="21"/>
          <w:highlight w:val="none"/>
        </w:rPr>
        <w:t>10.4 谈判文件的澄清或者修改都应该通过本项目采购代理机构以法定形式发布，采购人非通过本机构，不得擅自澄清或者修改谈判文件。</w:t>
      </w:r>
    </w:p>
    <w:p w14:paraId="7BAB071C">
      <w:pPr>
        <w:tabs>
          <w:tab w:val="left" w:pos="2190"/>
        </w:tabs>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10.5采购代理机构可以视采购具体情况，延长首次响应文件递交截止时间和谈判时间，并在本项目竞争性谈判公告发布的同一媒体上发布变更公告。</w:t>
      </w:r>
    </w:p>
    <w:p w14:paraId="5CAF22AB">
      <w:pPr>
        <w:tabs>
          <w:tab w:val="left" w:pos="2190"/>
        </w:tabs>
        <w:spacing w:after="0" w:line="288" w:lineRule="auto"/>
        <w:ind w:firstLine="435"/>
        <w:jc w:val="center"/>
        <w:rPr>
          <w:rFonts w:ascii="Arial" w:hAnsi="Arial" w:eastAsia="宋体" w:cs="Arial"/>
          <w:b/>
          <w:color w:val="auto"/>
          <w:sz w:val="28"/>
          <w:szCs w:val="28"/>
          <w:highlight w:val="none"/>
        </w:rPr>
      </w:pPr>
    </w:p>
    <w:p w14:paraId="07AAD22B">
      <w:pPr>
        <w:tabs>
          <w:tab w:val="left" w:pos="2190"/>
        </w:tabs>
        <w:spacing w:after="0" w:line="288" w:lineRule="auto"/>
        <w:ind w:firstLine="435"/>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三、竞争性谈判响应文件的编制</w:t>
      </w:r>
    </w:p>
    <w:p w14:paraId="282E7A9C">
      <w:pPr>
        <w:tabs>
          <w:tab w:val="left" w:pos="2190"/>
        </w:tabs>
        <w:spacing w:after="0" w:line="288" w:lineRule="auto"/>
        <w:ind w:firstLine="435"/>
        <w:rPr>
          <w:rFonts w:ascii="Arial" w:hAnsi="Arial" w:eastAsia="宋体" w:cs="Arial"/>
          <w:b/>
          <w:color w:val="auto"/>
          <w:szCs w:val="21"/>
          <w:highlight w:val="none"/>
        </w:rPr>
      </w:pPr>
      <w:r>
        <w:rPr>
          <w:rFonts w:ascii="Arial" w:hAnsi="Arial" w:eastAsia="宋体" w:cs="Arial"/>
          <w:b/>
          <w:color w:val="auto"/>
          <w:szCs w:val="21"/>
          <w:highlight w:val="none"/>
        </w:rPr>
        <w:t>11.竞争性谈判响应文件（以下简称响应文件）的组成及要求</w:t>
      </w:r>
    </w:p>
    <w:p w14:paraId="1965DB97">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11.1响应文件组成【格式见第六章“响应文件（格式）”】</w:t>
      </w:r>
    </w:p>
    <w:p w14:paraId="492E7CEA">
      <w:pPr>
        <w:tabs>
          <w:tab w:val="left" w:pos="1305"/>
        </w:tabs>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11.1.1资格性响应证明材料：</w:t>
      </w:r>
    </w:p>
    <w:p w14:paraId="65EA7A0D">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14:paraId="0A27CA47">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（2）供应商相应的法定代表人(负责人)身份证正反两面复印件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0E4694E4">
      <w:pPr>
        <w:tabs>
          <w:tab w:val="left" w:pos="1305"/>
          <w:tab w:val="left" w:pos="7020"/>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14:paraId="733F429E">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7E21AAA9">
      <w:pPr>
        <w:tabs>
          <w:tab w:val="left" w:pos="1305"/>
        </w:tabs>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0A42165">
      <w:pPr>
        <w:tabs>
          <w:tab w:val="left" w:pos="1305"/>
          <w:tab w:val="left" w:pos="7020"/>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rPr>
        <w:t>2023年</w:t>
      </w:r>
      <w:r>
        <w:rPr>
          <w:rFonts w:ascii="Arial" w:hAnsi="Arial" w:eastAsia="宋体" w:cs="Arial"/>
          <w:color w:val="auto"/>
          <w:szCs w:val="21"/>
          <w:highlight w:val="none"/>
        </w:rPr>
        <w:t>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（必须提供）</w:t>
      </w:r>
      <w:r>
        <w:rPr>
          <w:rFonts w:ascii="Arial" w:hAnsi="Arial" w:eastAsia="宋体" w:cs="Arial"/>
          <w:color w:val="auto"/>
          <w:szCs w:val="21"/>
          <w:highlight w:val="none"/>
        </w:rPr>
        <w:t xml:space="preserve"> ； </w:t>
      </w:r>
    </w:p>
    <w:p w14:paraId="0FC2AF0A">
      <w:pPr>
        <w:snapToGrid w:val="0"/>
        <w:spacing w:after="0" w:line="288" w:lineRule="auto"/>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7E8D22E2">
      <w:pPr>
        <w:tabs>
          <w:tab w:val="left" w:pos="1305"/>
          <w:tab w:val="left" w:pos="7020"/>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236C5D62">
      <w:pPr>
        <w:snapToGrid w:val="0"/>
        <w:spacing w:after="0" w:line="288" w:lineRule="auto"/>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（8）供应商参加采购活动前3年内在经营活动中没有重大违法记录及有关信用信息的书面声明</w:t>
      </w:r>
      <w:r>
        <w:rPr>
          <w:rFonts w:ascii="Arial" w:hAnsi="Arial" w:eastAsia="宋体" w:cs="Arial"/>
          <w:b/>
          <w:color w:val="auto"/>
          <w:szCs w:val="21"/>
          <w:highlight w:val="none"/>
        </w:rPr>
        <w:t>（必须提供）；</w:t>
      </w:r>
    </w:p>
    <w:p w14:paraId="0393A019">
      <w:pPr>
        <w:snapToGrid w:val="0"/>
        <w:spacing w:after="0" w:line="288" w:lineRule="auto"/>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color w:val="auto"/>
          <w:szCs w:val="21"/>
          <w:highlight w:val="none"/>
        </w:rPr>
        <w:t>（必须提供）</w:t>
      </w:r>
    </w:p>
    <w:p w14:paraId="61FF3F81">
      <w:pPr>
        <w:snapToGrid w:val="0"/>
        <w:spacing w:after="0" w:line="288" w:lineRule="auto"/>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color w:val="auto"/>
          <w:szCs w:val="21"/>
          <w:highlight w:val="none"/>
        </w:rPr>
        <w:t>（必须提供）</w:t>
      </w:r>
    </w:p>
    <w:p w14:paraId="340A89C0">
      <w:pPr>
        <w:snapToGrid w:val="0"/>
        <w:spacing w:after="0" w:line="288" w:lineRule="auto"/>
        <w:ind w:firstLine="411" w:firstLineChars="196"/>
        <w:jc w:val="left"/>
        <w:rPr>
          <w:rFonts w:ascii="Arial" w:hAnsi="Arial" w:eastAsia="宋体" w:cs="Arial"/>
          <w:b/>
          <w:color w:val="auto"/>
          <w:szCs w:val="21"/>
          <w:highlight w:val="none"/>
        </w:rPr>
      </w:pPr>
      <w:r>
        <w:rPr>
          <w:rFonts w:ascii="Arial" w:hAnsi="Arial" w:eastAsia="宋体" w:cs="Arial"/>
          <w:bCs/>
          <w:color w:val="auto"/>
          <w:szCs w:val="21"/>
          <w:highlight w:val="none"/>
        </w:rPr>
        <w:t>（11）谈判保证缴纳证明材料复印件</w:t>
      </w:r>
      <w:r>
        <w:rPr>
          <w:rFonts w:ascii="Arial" w:hAnsi="Arial" w:eastAsia="宋体" w:cs="Arial"/>
          <w:b/>
          <w:color w:val="auto"/>
          <w:szCs w:val="21"/>
          <w:highlight w:val="none"/>
        </w:rPr>
        <w:t>（必须提供）</w:t>
      </w:r>
    </w:p>
    <w:p w14:paraId="3B445F1F">
      <w:pPr>
        <w:tabs>
          <w:tab w:val="left" w:pos="1305"/>
        </w:tabs>
        <w:spacing w:after="0" w:line="288" w:lineRule="auto"/>
        <w:ind w:firstLine="630" w:firstLineChars="300"/>
        <w:rPr>
          <w:rFonts w:ascii="Arial" w:hAnsi="Arial" w:eastAsia="宋体" w:cs="Arial"/>
          <w:b/>
          <w:color w:val="auto"/>
          <w:szCs w:val="21"/>
          <w:highlight w:val="none"/>
        </w:rPr>
      </w:pPr>
      <w:r>
        <w:rPr>
          <w:rFonts w:ascii="Arial" w:hAnsi="Arial" w:eastAsia="宋体" w:cs="Arial"/>
          <w:b/>
          <w:color w:val="auto"/>
          <w:szCs w:val="21"/>
          <w:highlight w:val="none"/>
        </w:rPr>
        <w:t>11.1.2符合性响应证明材料：</w:t>
      </w:r>
    </w:p>
    <w:p w14:paraId="5BAF4C0F">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（1）谈判报价表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19CEE9F4">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（2）技术响应表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587002C4">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（3）供应商的项目实施方案</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755879B6">
      <w:pPr>
        <w:tabs>
          <w:tab w:val="left" w:pos="1305"/>
        </w:tabs>
        <w:spacing w:after="0" w:line="288" w:lineRule="auto"/>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（4）供应商的售后服务承诺书</w:t>
      </w:r>
      <w:r>
        <w:rPr>
          <w:rFonts w:ascii="Arial" w:hAnsi="Arial" w:eastAsia="宋体" w:cs="Arial"/>
          <w:b/>
          <w:color w:val="auto"/>
          <w:szCs w:val="21"/>
          <w:highlight w:val="none"/>
        </w:rPr>
        <w:t>（必须提供）；</w:t>
      </w:r>
    </w:p>
    <w:p w14:paraId="3C857FBA">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（5）商务响应表</w:t>
      </w:r>
      <w:r>
        <w:rPr>
          <w:rFonts w:ascii="Arial" w:hAnsi="Arial" w:eastAsia="宋体" w:cs="Arial"/>
          <w:b/>
          <w:color w:val="auto"/>
          <w:szCs w:val="21"/>
          <w:highlight w:val="none"/>
        </w:rPr>
        <w:t>（必须提供）；</w:t>
      </w:r>
    </w:p>
    <w:p w14:paraId="05D7BD34">
      <w:pPr>
        <w:widowControl/>
        <w:spacing w:after="0" w:line="288" w:lineRule="auto"/>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11.1.3其它有效证明材料：</w:t>
      </w:r>
    </w:p>
    <w:p w14:paraId="176F25A3">
      <w:pPr>
        <w:pStyle w:val="14"/>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（1）项目实施人员一览表</w:t>
      </w:r>
      <w:r>
        <w:rPr>
          <w:rFonts w:ascii="Arial" w:hAnsi="Arial" w:eastAsia="宋体" w:cs="Arial"/>
          <w:b/>
          <w:color w:val="auto"/>
          <w:szCs w:val="21"/>
          <w:highlight w:val="none"/>
        </w:rPr>
        <w:t>【如有，请提供，并一起提供由县级以上（含县级）社会养老保险经办机构出具的供应商为项目实施人员交纳社保证明复印件】；</w:t>
      </w:r>
    </w:p>
    <w:p w14:paraId="4192C0FD">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（2）供应商具有同类产品的销售业绩的相关证明材料（无不良记录，以中标、成交通知书或签订的销售合同为准，并能清晰反映所销售的货物名称、种类、金额）</w:t>
      </w:r>
      <w:r>
        <w:rPr>
          <w:rFonts w:ascii="Arial" w:hAnsi="Arial" w:eastAsia="宋体" w:cs="Arial"/>
          <w:b/>
          <w:color w:val="auto"/>
          <w:highlight w:val="none"/>
        </w:rPr>
        <w:t>（如有，请提供）；</w:t>
      </w:r>
    </w:p>
    <w:p w14:paraId="5906858D">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（3）供应商相关获奖证书、认证证书等复印件</w:t>
      </w:r>
      <w:r>
        <w:rPr>
          <w:rFonts w:ascii="Arial" w:hAnsi="Arial" w:eastAsia="宋体" w:cs="Arial"/>
          <w:b/>
          <w:color w:val="auto"/>
          <w:highlight w:val="none"/>
        </w:rPr>
        <w:t>（如有，请提供）；</w:t>
      </w:r>
    </w:p>
    <w:p w14:paraId="54DDE7C8">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highlight w:val="none"/>
        </w:rPr>
        <w:t>（4）供应商可结合本项目自身情况自行提交其它相关证明材料</w:t>
      </w:r>
      <w:r>
        <w:rPr>
          <w:rFonts w:ascii="Arial" w:hAnsi="Arial" w:eastAsia="宋体" w:cs="Arial"/>
          <w:b/>
          <w:color w:val="auto"/>
          <w:highlight w:val="none"/>
        </w:rPr>
        <w:t>（如有，请提供）</w:t>
      </w:r>
      <w:r>
        <w:rPr>
          <w:rFonts w:ascii="Arial" w:hAnsi="Arial" w:eastAsia="宋体" w:cs="Arial"/>
          <w:color w:val="auto"/>
          <w:szCs w:val="21"/>
          <w:highlight w:val="none"/>
        </w:rPr>
        <w:t>。</w:t>
      </w:r>
    </w:p>
    <w:p w14:paraId="7281C661">
      <w:pPr>
        <w:snapToGrid w:val="0"/>
        <w:spacing w:after="0" w:line="288" w:lineRule="auto"/>
        <w:ind w:firstLine="420" w:firstLineChars="200"/>
        <w:rPr>
          <w:rFonts w:ascii="Arial" w:hAnsi="Arial" w:eastAsia="宋体" w:cs="Arial"/>
          <w:color w:val="auto"/>
          <w:szCs w:val="20"/>
          <w:highlight w:val="none"/>
        </w:rPr>
      </w:pPr>
      <w:r>
        <w:rPr>
          <w:rFonts w:ascii="Arial" w:hAnsi="Arial" w:eastAsia="宋体" w:cs="Arial"/>
          <w:b/>
          <w:color w:val="auto"/>
          <w:szCs w:val="21"/>
          <w:highlight w:val="none"/>
        </w:rPr>
        <w:t>供应商提供的以上相关证明材料必须真实有效，属于“必须提供”的文件必须加盖供应商公章（扫描公章无效），否则响应文件作无效处理。</w:t>
      </w:r>
    </w:p>
    <w:p w14:paraId="491C3369">
      <w:pPr>
        <w:pStyle w:val="14"/>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11.2 供应商应按竞争性谈判文件第六章“响应文件（格式）”编制响应文件。</w:t>
      </w:r>
    </w:p>
    <w:p w14:paraId="3EE68E9D">
      <w:pPr>
        <w:tabs>
          <w:tab w:val="left" w:pos="1305"/>
        </w:tabs>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12. 响应文件的语言及计量</w:t>
      </w:r>
    </w:p>
    <w:p w14:paraId="008D76FC">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14:paraId="588018CA">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12.2 谈判计量单位，谈判文件已有明确规定的，使用谈判文件规定的计量单位；谈判文件没有规定的，必须采用中华人民共和国法定计量单位（货币单位：人民币元），否则视同未响应。</w:t>
      </w:r>
    </w:p>
    <w:p w14:paraId="512D3187">
      <w:pPr>
        <w:tabs>
          <w:tab w:val="left" w:pos="1305"/>
        </w:tabs>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13. 谈判报价及采购预算金额</w:t>
      </w:r>
    </w:p>
    <w:p w14:paraId="135D1E72">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ascii="Arial" w:hAnsi="Arial" w:eastAsia="宋体" w:cs="Arial"/>
          <w:b/>
          <w:bCs/>
          <w:color w:val="auto"/>
          <w:szCs w:val="21"/>
          <w:highlight w:val="none"/>
        </w:rPr>
        <w:t>采购预算金额：</w:t>
      </w:r>
      <w:r>
        <w:rPr>
          <w:rFonts w:hint="eastAsia" w:ascii="Arial" w:hAnsi="Arial" w:eastAsia="宋体" w:cs="Arial"/>
          <w:b/>
          <w:bCs/>
          <w:color w:val="auto"/>
          <w:szCs w:val="21"/>
          <w:highlight w:val="none"/>
        </w:rPr>
        <w:t>人民币肆拾伍万元整（¥450000.00）（</w:t>
      </w:r>
      <w:r>
        <w:rPr>
          <w:rFonts w:hint="eastAsia" w:ascii="Arial" w:hAnsi="Arial" w:eastAsia="宋体" w:cs="Arial"/>
          <w:color w:val="auto"/>
          <w:highlight w:val="none"/>
        </w:rPr>
        <w:t>其中：A分标：380000元，B分标：70000元</w:t>
      </w:r>
      <w:r>
        <w:rPr>
          <w:rFonts w:hint="eastAsia" w:ascii="Arial" w:hAnsi="Arial" w:eastAsia="宋体" w:cs="Arial"/>
          <w:b/>
          <w:bCs/>
          <w:color w:val="auto"/>
          <w:szCs w:val="21"/>
          <w:highlight w:val="none"/>
        </w:rPr>
        <w:t>）</w:t>
      </w:r>
      <w:r>
        <w:rPr>
          <w:rFonts w:ascii="Arial" w:hAnsi="Arial" w:eastAsia="宋体" w:cs="Arial"/>
          <w:color w:val="auto"/>
          <w:szCs w:val="21"/>
          <w:highlight w:val="none"/>
        </w:rPr>
        <w:t>。供应商报价超过相应采购预算金额的，响应文件作无效处理。</w:t>
      </w:r>
    </w:p>
    <w:p w14:paraId="4E9DC264">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13.2供应商必须就“项目采购需求”中所有内容作完整唯一报价，否则，其响应将被拒绝。</w:t>
      </w:r>
    </w:p>
    <w:p w14:paraId="2358FC8B">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13.3 谈判报价包括</w:t>
      </w:r>
      <w:r>
        <w:rPr>
          <w:rFonts w:hint="eastAsia" w:ascii="Arial" w:hAnsi="Arial" w:eastAsia="宋体" w:cs="Arial"/>
          <w:color w:val="auto"/>
          <w:szCs w:val="21"/>
          <w:highlight w:val="none"/>
        </w:rPr>
        <w:t>本次采购范围内货物货款、货物标准附件、备品备件、专用工具、包装、运输、装卸、保险、税金、货到就位以及安装、安装所需辅材、调试、培训、保修和采购文件要求提供的所有伴随服务、工程等费用和税费</w:t>
      </w:r>
      <w:r>
        <w:rPr>
          <w:rFonts w:ascii="Arial" w:hAnsi="Arial" w:eastAsia="宋体" w:cs="Arial"/>
          <w:color w:val="auto"/>
          <w:szCs w:val="21"/>
          <w:highlight w:val="none"/>
        </w:rPr>
        <w:t>；供应商综合考虑在报价中。</w:t>
      </w:r>
    </w:p>
    <w:p w14:paraId="0AE6E85B">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p w14:paraId="7BACE2C8">
      <w:pPr>
        <w:tabs>
          <w:tab w:val="left" w:pos="1305"/>
        </w:tabs>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14. 响应文件有效期</w:t>
      </w:r>
    </w:p>
    <w:p w14:paraId="6CA1DF43">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14.1 响应文件有效期：响应文件递交截止时间之日起90天，有效期不足的响应文件将被拒绝。</w:t>
      </w:r>
    </w:p>
    <w:p w14:paraId="292FC775">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8462E4A">
      <w:pPr>
        <w:tabs>
          <w:tab w:val="left" w:pos="1305"/>
        </w:tabs>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15. 响应文件的份数、装订、签署和包装、密封</w:t>
      </w:r>
    </w:p>
    <w:p w14:paraId="5A2CD32E">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15.1 响应文件份数：正本壹册，副本贰册，须完整提交（A4纸装订）。</w:t>
      </w:r>
    </w:p>
    <w:p w14:paraId="6DC7E01C">
      <w:pPr>
        <w:tabs>
          <w:tab w:val="left" w:pos="1305"/>
        </w:tabs>
        <w:spacing w:after="0" w:line="288" w:lineRule="auto"/>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15.2 响应文件装订要求：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p w14:paraId="7B59DADD">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15.3 响应文件的正本需打印或用不褪色的墨水填写，响应文件正本除本谈判文件中规定的可提供复印件外均须提供原件。</w:t>
      </w:r>
    </w:p>
    <w:p w14:paraId="581A8F68">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15.4响应文件须由供应商在规定位置加盖供应商公章（扫描公章无效）并由法定代表人（负责人)或相应的授权委托代理人签字，供应商应写全称，响应文件副本可以是加盖公章的正本的复印件，当正本与副本不一致时，以正本为准。</w:t>
      </w:r>
    </w:p>
    <w:p w14:paraId="0FEA7969">
      <w:pPr>
        <w:spacing w:after="0" w:line="288" w:lineRule="auto"/>
        <w:ind w:left="315" w:leftChars="150" w:firstLine="105" w:firstLineChars="50"/>
        <w:rPr>
          <w:rFonts w:ascii="Arial" w:hAnsi="Arial" w:eastAsia="宋体" w:cs="Arial"/>
          <w:color w:val="auto"/>
          <w:szCs w:val="21"/>
          <w:highlight w:val="none"/>
        </w:rPr>
      </w:pPr>
      <w:r>
        <w:rPr>
          <w:rFonts w:ascii="Arial" w:hAnsi="Arial" w:eastAsia="宋体" w:cs="Arial"/>
          <w:color w:val="auto"/>
          <w:szCs w:val="21"/>
          <w:highlight w:val="none"/>
        </w:rPr>
        <w:t>15.5响应文件不得涂改，若有修改错漏处，须加盖供应商公章及法定代表人、负责人或相应的授权</w:t>
      </w:r>
    </w:p>
    <w:p w14:paraId="7EAEECF6">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委托代理人签字。响应文件因字迹潦草或表达不清所引起的后果由供应商负责。</w:t>
      </w:r>
    </w:p>
    <w:p w14:paraId="12555C8E">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 响应文件包装、密封、标记：</w:t>
      </w:r>
    </w:p>
    <w:p w14:paraId="29CC1A12">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15.6.1 响应文件包装、密封：供应商须将</w:t>
      </w:r>
      <w:r>
        <w:rPr>
          <w:rFonts w:ascii="Arial" w:hAnsi="Arial" w:eastAsia="宋体" w:cs="Arial"/>
          <w:color w:val="auto"/>
          <w:highlight w:val="none"/>
        </w:rPr>
        <w:t>响应文件正、副本全部装入一个或多个包封袋/箱（响应文件的补充、修改可另行单独递交）中并加以密封，封口处必须密封签字【供应商的法定代表人</w:t>
      </w:r>
      <w:r>
        <w:rPr>
          <w:rFonts w:ascii="Arial" w:hAnsi="Arial" w:eastAsia="宋体" w:cs="Arial"/>
          <w:color w:val="auto"/>
          <w:szCs w:val="21"/>
          <w:highlight w:val="none"/>
        </w:rPr>
        <w:t>（负责人)</w:t>
      </w:r>
      <w:r>
        <w:rPr>
          <w:rFonts w:ascii="Arial" w:hAnsi="Arial" w:eastAsia="宋体" w:cs="Arial"/>
          <w:color w:val="auto"/>
          <w:highlight w:val="none"/>
        </w:rPr>
        <w:t>或委托代理人签字均可】或加盖供应商公章，以示密封。</w:t>
      </w:r>
    </w:p>
    <w:p w14:paraId="7E94E494">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15.6.2 响应文件袋（盒、箱）标记：</w:t>
      </w:r>
    </w:p>
    <w:p w14:paraId="084AAA97">
      <w:pPr>
        <w:snapToGrid w:val="0"/>
        <w:spacing w:after="0" w:line="288" w:lineRule="auto"/>
        <w:ind w:firstLine="1260" w:firstLineChars="600"/>
        <w:jc w:val="left"/>
        <w:rPr>
          <w:rFonts w:ascii="Arial" w:hAnsi="Arial" w:eastAsia="宋体" w:cs="Arial"/>
          <w:color w:val="auto"/>
          <w:szCs w:val="21"/>
          <w:highlight w:val="none"/>
        </w:rPr>
      </w:pPr>
      <w:r>
        <w:rPr>
          <w:rFonts w:ascii="Arial" w:hAnsi="Arial" w:eastAsia="宋体" w:cs="Arial"/>
          <w:color w:val="auto"/>
          <w:szCs w:val="21"/>
          <w:highlight w:val="none"/>
        </w:rPr>
        <w:t>项目名称：</w:t>
      </w:r>
      <w:r>
        <w:rPr>
          <w:rFonts w:hint="eastAsia" w:ascii="Arial" w:hAnsi="Arial" w:eastAsia="宋体" w:cs="Arial"/>
          <w:color w:val="auto"/>
          <w:szCs w:val="21"/>
          <w:highlight w:val="none"/>
        </w:rPr>
        <w:t>土木学院智慧建造专业实训平台采购项目</w:t>
      </w:r>
    </w:p>
    <w:p w14:paraId="1290D8E9">
      <w:pPr>
        <w:snapToGrid w:val="0"/>
        <w:spacing w:after="0" w:line="288" w:lineRule="auto"/>
        <w:ind w:firstLine="1260" w:firstLineChars="600"/>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GXJD-24114CC031162</w:t>
      </w:r>
    </w:p>
    <w:p w14:paraId="5DDFEF03">
      <w:pPr>
        <w:snapToGrid w:val="0"/>
        <w:spacing w:after="0" w:line="288" w:lineRule="auto"/>
        <w:ind w:firstLine="1260" w:firstLineChars="600"/>
        <w:jc w:val="left"/>
        <w:rPr>
          <w:rFonts w:ascii="Arial" w:hAnsi="Arial" w:eastAsia="宋体" w:cs="Arial"/>
          <w:color w:val="auto"/>
          <w:szCs w:val="21"/>
          <w:highlight w:val="none"/>
        </w:rPr>
      </w:pPr>
      <w:r>
        <w:rPr>
          <w:rFonts w:hint="eastAsia" w:ascii="Arial" w:hAnsi="Arial" w:eastAsia="宋体" w:cs="Arial"/>
          <w:color w:val="auto"/>
          <w:szCs w:val="21"/>
          <w:highlight w:val="none"/>
        </w:rPr>
        <w:t>分标号：</w:t>
      </w:r>
    </w:p>
    <w:p w14:paraId="004EAC85">
      <w:pPr>
        <w:snapToGrid w:val="0"/>
        <w:spacing w:after="0" w:line="288" w:lineRule="auto"/>
        <w:ind w:firstLine="1260" w:firstLineChars="600"/>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采购代理机构：</w:t>
      </w:r>
      <w:r>
        <w:rPr>
          <w:rFonts w:hint="eastAsia" w:ascii="Arial" w:hAnsi="Arial" w:eastAsia="宋体" w:cs="Arial"/>
          <w:color w:val="auto"/>
          <w:szCs w:val="21"/>
          <w:highlight w:val="none"/>
          <w:lang w:eastAsia="zh-CN"/>
        </w:rPr>
        <w:t>广西机电设备招标有限公司</w:t>
      </w:r>
    </w:p>
    <w:p w14:paraId="0D7909FD">
      <w:pPr>
        <w:snapToGrid w:val="0"/>
        <w:spacing w:after="0" w:line="288" w:lineRule="auto"/>
        <w:ind w:firstLine="1260" w:firstLineChars="600"/>
        <w:jc w:val="left"/>
        <w:rPr>
          <w:rFonts w:ascii="Arial" w:hAnsi="Arial" w:eastAsia="宋体" w:cs="Arial"/>
          <w:color w:val="auto"/>
          <w:szCs w:val="21"/>
          <w:highlight w:val="none"/>
        </w:rPr>
      </w:pPr>
      <w:r>
        <w:rPr>
          <w:rFonts w:ascii="Arial" w:hAnsi="Arial" w:eastAsia="宋体" w:cs="Arial"/>
          <w:color w:val="auto"/>
          <w:szCs w:val="21"/>
          <w:highlight w:val="none"/>
        </w:rPr>
        <w:t>供应商名称：</w:t>
      </w:r>
    </w:p>
    <w:p w14:paraId="6EEA0404">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15.7 供应商公章：</w:t>
      </w:r>
      <w:r>
        <w:rPr>
          <w:rFonts w:ascii="Arial" w:hAnsi="Arial" w:eastAsia="宋体" w:cs="Arial"/>
          <w:color w:val="auto"/>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p w14:paraId="5348D897">
      <w:pPr>
        <w:tabs>
          <w:tab w:val="left" w:pos="1305"/>
        </w:tabs>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16. 响应文件的修改和撤回</w:t>
      </w:r>
    </w:p>
    <w:p w14:paraId="7385942D">
      <w:pPr>
        <w:spacing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16.1 供应商在响应文件递交截止时间之前，可以对已递交的响应文件进行修改或撤回，并书面通知采购代理机构。</w:t>
      </w:r>
    </w:p>
    <w:p w14:paraId="7CC24567">
      <w:pPr>
        <w:tabs>
          <w:tab w:val="left" w:pos="1305"/>
        </w:tabs>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16.2 在响应文件递交截止时间后的响应文件有效期内，供应商不得撤回其响应文件。</w:t>
      </w:r>
    </w:p>
    <w:p w14:paraId="5654DE6E">
      <w:pPr>
        <w:tabs>
          <w:tab w:val="left" w:pos="1305"/>
        </w:tabs>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17. 响应文件的递交</w:t>
      </w:r>
    </w:p>
    <w:p w14:paraId="297DA99E">
      <w:pPr>
        <w:tabs>
          <w:tab w:val="left" w:pos="1305"/>
        </w:tabs>
        <w:spacing w:line="288" w:lineRule="auto"/>
        <w:ind w:left="210" w:leftChars="100" w:firstLine="210" w:firstLineChars="100"/>
        <w:rPr>
          <w:rFonts w:ascii="Arial" w:hAnsi="Arial" w:eastAsia="宋体" w:cs="Arial"/>
          <w:color w:val="auto"/>
          <w:szCs w:val="21"/>
          <w:highlight w:val="none"/>
        </w:rPr>
      </w:pPr>
      <w:r>
        <w:rPr>
          <w:rFonts w:ascii="Arial" w:hAnsi="Arial" w:eastAsia="宋体" w:cs="Arial"/>
          <w:color w:val="auto"/>
          <w:szCs w:val="21"/>
          <w:highlight w:val="none"/>
        </w:rPr>
        <w:t>17.1供应商必须于</w:t>
      </w:r>
      <w:r>
        <w:rPr>
          <w:rFonts w:ascii="Arial" w:hAnsi="Arial" w:eastAsia="宋体" w:cs="Arial"/>
          <w:color w:val="auto"/>
          <w:highlight w:val="none"/>
        </w:rPr>
        <w:t>2024年</w:t>
      </w:r>
      <w:r>
        <w:rPr>
          <w:rFonts w:hint="eastAsia" w:ascii="Arial" w:hAnsi="Arial" w:eastAsia="宋体" w:cs="Arial"/>
          <w:color w:val="auto"/>
          <w:szCs w:val="21"/>
          <w:highlight w:val="none"/>
        </w:rPr>
        <w:t>7月30日</w:t>
      </w:r>
      <w:r>
        <w:rPr>
          <w:rFonts w:hint="eastAsia" w:ascii="Arial" w:hAnsi="Arial" w:eastAsia="宋体" w:cs="Arial"/>
          <w:color w:val="auto"/>
          <w:szCs w:val="21"/>
          <w:highlight w:val="none"/>
          <w:lang w:val="en-US" w:eastAsia="zh-CN"/>
        </w:rPr>
        <w:t>14</w:t>
      </w:r>
      <w:r>
        <w:rPr>
          <w:rFonts w:ascii="Arial" w:hAnsi="Arial" w:eastAsia="宋体" w:cs="Arial"/>
          <w:color w:val="auto"/>
          <w:szCs w:val="21"/>
          <w:highlight w:val="none"/>
        </w:rPr>
        <w:t>时30分起至</w:t>
      </w:r>
      <w:r>
        <w:rPr>
          <w:rFonts w:hint="eastAsia" w:ascii="Arial" w:hAnsi="Arial" w:eastAsia="宋体" w:cs="Arial"/>
          <w:color w:val="auto"/>
          <w:szCs w:val="21"/>
          <w:highlight w:val="none"/>
          <w:lang w:val="en-US" w:eastAsia="zh-CN"/>
        </w:rPr>
        <w:t>15</w:t>
      </w:r>
      <w:r>
        <w:rPr>
          <w:rFonts w:ascii="Arial" w:hAnsi="Arial" w:eastAsia="宋体" w:cs="Arial"/>
          <w:color w:val="auto"/>
          <w:szCs w:val="21"/>
          <w:highlight w:val="none"/>
        </w:rPr>
        <w:t>时</w:t>
      </w:r>
      <w:r>
        <w:rPr>
          <w:rFonts w:hint="eastAsia" w:ascii="Arial" w:hAnsi="Arial" w:eastAsia="宋体" w:cs="Arial"/>
          <w:color w:val="auto"/>
          <w:szCs w:val="21"/>
          <w:highlight w:val="none"/>
          <w:lang w:val="en-US" w:eastAsia="zh-CN"/>
        </w:rPr>
        <w:t>0</w:t>
      </w:r>
      <w:r>
        <w:rPr>
          <w:rFonts w:ascii="Arial" w:hAnsi="Arial" w:eastAsia="宋体" w:cs="Arial"/>
          <w:color w:val="auto"/>
          <w:szCs w:val="21"/>
          <w:highlight w:val="none"/>
        </w:rPr>
        <w:t>0分止，将响应文件密封提交至</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桂林分公司开标室</w:t>
      </w:r>
      <w:r>
        <w:rPr>
          <w:rFonts w:ascii="Arial" w:hAnsi="Arial" w:eastAsia="宋体" w:cs="Arial"/>
          <w:color w:val="auto"/>
          <w:szCs w:val="21"/>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p>
    <w:p w14:paraId="2BC95D40">
      <w:pPr>
        <w:tabs>
          <w:tab w:val="left" w:pos="1305"/>
        </w:tabs>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17.2 除竞争性谈判文件另有规定外，供应商所递交的响应文件不予退还。</w:t>
      </w:r>
    </w:p>
    <w:p w14:paraId="1063F0B6">
      <w:pPr>
        <w:tabs>
          <w:tab w:val="left" w:pos="1305"/>
        </w:tabs>
        <w:spacing w:line="288" w:lineRule="auto"/>
        <w:ind w:firstLine="420" w:firstLineChars="200"/>
        <w:rPr>
          <w:rFonts w:ascii="Arial" w:hAnsi="Arial" w:eastAsia="宋体" w:cs="Arial"/>
          <w:color w:val="auto"/>
          <w:szCs w:val="21"/>
          <w:highlight w:val="none"/>
        </w:rPr>
      </w:pPr>
    </w:p>
    <w:p w14:paraId="51503462">
      <w:pPr>
        <w:tabs>
          <w:tab w:val="left" w:pos="1305"/>
        </w:tabs>
        <w:spacing w:line="288" w:lineRule="auto"/>
        <w:ind w:firstLine="560" w:firstLineChars="200"/>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四、竞争性谈判（简称谈判）与评审</w:t>
      </w:r>
    </w:p>
    <w:p w14:paraId="146C6395">
      <w:pPr>
        <w:tabs>
          <w:tab w:val="center" w:pos="4411"/>
          <w:tab w:val="left" w:pos="5475"/>
        </w:tabs>
        <w:spacing w:after="0" w:line="288" w:lineRule="auto"/>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18. 谈判小组组成及谈判时间、地点、人员</w:t>
      </w:r>
    </w:p>
    <w:p w14:paraId="3124240E">
      <w:pPr>
        <w:spacing w:after="0" w:line="288" w:lineRule="auto"/>
        <w:ind w:firstLine="435"/>
        <w:rPr>
          <w:rFonts w:ascii="Arial" w:hAnsi="Arial" w:eastAsia="宋体" w:cs="Arial"/>
          <w:b/>
          <w:color w:val="auto"/>
          <w:szCs w:val="21"/>
          <w:highlight w:val="none"/>
        </w:rPr>
      </w:pPr>
      <w:r>
        <w:rPr>
          <w:rFonts w:ascii="Arial" w:hAnsi="Arial" w:eastAsia="宋体" w:cs="Arial"/>
          <w:b/>
          <w:color w:val="auto"/>
          <w:szCs w:val="21"/>
          <w:highlight w:val="none"/>
        </w:rPr>
        <w:t>18.1 谈判小组组成：</w:t>
      </w:r>
    </w:p>
    <w:p w14:paraId="0528B8EC">
      <w:pPr>
        <w:spacing w:after="0" w:line="288" w:lineRule="auto"/>
        <w:ind w:firstLine="435"/>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w:t>
      </w:r>
      <w:r>
        <w:rPr>
          <w:rFonts w:ascii="Arial" w:hAnsi="Arial" w:eastAsia="宋体" w:cs="Arial"/>
          <w:color w:val="auto"/>
          <w:szCs w:val="21"/>
          <w:highlight w:val="none"/>
          <w:u w:val="single"/>
        </w:rPr>
        <w:t>3</w:t>
      </w:r>
      <w:r>
        <w:rPr>
          <w:rFonts w:ascii="Arial" w:hAnsi="Arial" w:eastAsia="宋体" w:cs="Arial"/>
          <w:color w:val="auto"/>
          <w:szCs w:val="21"/>
          <w:highlight w:val="none"/>
        </w:rPr>
        <w:t>人，其中采购人代表</w:t>
      </w:r>
      <w:r>
        <w:rPr>
          <w:rFonts w:ascii="Arial" w:hAnsi="Arial" w:eastAsia="宋体" w:cs="Arial"/>
          <w:color w:val="auto"/>
          <w:szCs w:val="21"/>
          <w:highlight w:val="none"/>
          <w:u w:val="single"/>
        </w:rPr>
        <w:t xml:space="preserve"> 1</w:t>
      </w:r>
      <w:r>
        <w:rPr>
          <w:rFonts w:ascii="Arial" w:hAnsi="Arial" w:eastAsia="宋体" w:cs="Arial"/>
          <w:color w:val="auto"/>
          <w:szCs w:val="21"/>
          <w:highlight w:val="none"/>
        </w:rPr>
        <w:t xml:space="preserve"> 人，有关专家 </w:t>
      </w:r>
      <w:r>
        <w:rPr>
          <w:rFonts w:ascii="Arial" w:hAnsi="Arial" w:eastAsia="宋体" w:cs="Arial"/>
          <w:color w:val="auto"/>
          <w:szCs w:val="21"/>
          <w:highlight w:val="none"/>
          <w:u w:val="single"/>
        </w:rPr>
        <w:t>2</w:t>
      </w:r>
      <w:r>
        <w:rPr>
          <w:rFonts w:ascii="Arial" w:hAnsi="Arial" w:eastAsia="宋体" w:cs="Arial"/>
          <w:color w:val="auto"/>
          <w:szCs w:val="21"/>
          <w:highlight w:val="none"/>
        </w:rPr>
        <w:t>人。</w:t>
      </w:r>
    </w:p>
    <w:p w14:paraId="68BF32A5">
      <w:pPr>
        <w:tabs>
          <w:tab w:val="left" w:pos="1140"/>
        </w:tabs>
        <w:spacing w:after="0" w:line="288" w:lineRule="auto"/>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18.2 谈判时间、地点、人员：</w:t>
      </w:r>
    </w:p>
    <w:p w14:paraId="6E8E0F4D">
      <w:pPr>
        <w:spacing w:after="0" w:line="288" w:lineRule="auto"/>
        <w:ind w:left="315" w:leftChars="150" w:firstLine="105" w:firstLineChars="50"/>
        <w:rPr>
          <w:rFonts w:ascii="Arial" w:hAnsi="Arial" w:eastAsia="宋体" w:cs="Arial"/>
          <w:color w:val="auto"/>
          <w:szCs w:val="21"/>
          <w:highlight w:val="none"/>
        </w:rPr>
      </w:pPr>
      <w:r>
        <w:rPr>
          <w:rFonts w:ascii="Arial" w:hAnsi="Arial" w:eastAsia="宋体" w:cs="Arial"/>
          <w:color w:val="auto"/>
          <w:szCs w:val="21"/>
          <w:highlight w:val="none"/>
        </w:rPr>
        <w:t>18.2.1 谈判时间：首次</w:t>
      </w:r>
      <w:r>
        <w:rPr>
          <w:rFonts w:ascii="Arial" w:hAnsi="Arial" w:eastAsia="宋体" w:cs="Arial"/>
          <w:color w:val="auto"/>
          <w:position w:val="-2"/>
          <w:szCs w:val="21"/>
          <w:highlight w:val="none"/>
        </w:rPr>
        <w:t>响应文件递交</w:t>
      </w:r>
      <w:r>
        <w:rPr>
          <w:rFonts w:ascii="Arial" w:hAnsi="Arial" w:eastAsia="宋体" w:cs="Arial"/>
          <w:color w:val="auto"/>
          <w:szCs w:val="21"/>
          <w:highlight w:val="none"/>
        </w:rPr>
        <w:t>截止时间后。</w:t>
      </w:r>
    </w:p>
    <w:p w14:paraId="756D4420">
      <w:pPr>
        <w:tabs>
          <w:tab w:val="left" w:pos="1305"/>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18.2.2</w:t>
      </w:r>
      <w:r>
        <w:rPr>
          <w:rFonts w:ascii="Arial" w:hAnsi="Arial" w:eastAsia="宋体" w:cs="Arial"/>
          <w:color w:val="auto"/>
          <w:position w:val="-2"/>
          <w:szCs w:val="21"/>
          <w:highlight w:val="none"/>
        </w:rPr>
        <w:t xml:space="preserve"> 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position w:val="-2"/>
          <w:szCs w:val="21"/>
          <w:highlight w:val="none"/>
        </w:rPr>
        <w:t>。</w:t>
      </w:r>
    </w:p>
    <w:p w14:paraId="1C8B31A2">
      <w:pPr>
        <w:tabs>
          <w:tab w:val="left" w:pos="1140"/>
        </w:tabs>
        <w:spacing w:after="0" w:line="288" w:lineRule="auto"/>
        <w:ind w:left="420" w:leftChars="200"/>
        <w:rPr>
          <w:rFonts w:ascii="Arial" w:hAnsi="Arial" w:eastAsia="宋体" w:cs="Arial"/>
          <w:color w:val="auto"/>
          <w:szCs w:val="21"/>
          <w:highlight w:val="none"/>
        </w:rPr>
      </w:pPr>
      <w:r>
        <w:rPr>
          <w:rFonts w:ascii="Arial" w:hAnsi="Arial" w:eastAsia="宋体" w:cs="Arial"/>
          <w:color w:val="auto"/>
          <w:szCs w:val="21"/>
          <w:highlight w:val="none"/>
        </w:rPr>
        <w:t>18.2.3 谈判参加人员：供应商法定代表人(负责人)或相应的委托代理人持有效身份证原件参加</w:t>
      </w:r>
    </w:p>
    <w:p w14:paraId="78834399">
      <w:pPr>
        <w:tabs>
          <w:tab w:val="left" w:pos="1140"/>
        </w:tabs>
        <w:spacing w:after="0" w:line="288" w:lineRule="auto"/>
        <w:ind w:left="420" w:leftChars="200"/>
        <w:rPr>
          <w:rFonts w:ascii="Arial" w:hAnsi="Arial" w:eastAsia="宋体" w:cs="Arial"/>
          <w:color w:val="auto"/>
          <w:szCs w:val="21"/>
          <w:highlight w:val="none"/>
        </w:rPr>
      </w:pPr>
      <w:r>
        <w:rPr>
          <w:rFonts w:ascii="Arial" w:hAnsi="Arial" w:eastAsia="宋体" w:cs="Arial"/>
          <w:color w:val="auto"/>
          <w:szCs w:val="21"/>
          <w:highlight w:val="none"/>
        </w:rPr>
        <w:t>谈判。请供应商按时到达指定地点等候当面谈判。</w:t>
      </w:r>
    </w:p>
    <w:p w14:paraId="3EAF1DA5">
      <w:pPr>
        <w:tabs>
          <w:tab w:val="left" w:pos="1140"/>
        </w:tabs>
        <w:spacing w:after="0" w:line="288" w:lineRule="auto"/>
        <w:ind w:left="420" w:leftChars="200"/>
        <w:rPr>
          <w:rFonts w:ascii="Arial" w:hAnsi="Arial" w:eastAsia="宋体" w:cs="Arial"/>
          <w:color w:val="auto"/>
          <w:szCs w:val="21"/>
          <w:highlight w:val="none"/>
        </w:rPr>
      </w:pPr>
      <w:r>
        <w:rPr>
          <w:rFonts w:ascii="Arial" w:hAnsi="Arial" w:eastAsia="宋体" w:cs="Arial"/>
          <w:color w:val="auto"/>
          <w:position w:val="-2"/>
          <w:szCs w:val="21"/>
          <w:highlight w:val="none"/>
        </w:rPr>
        <w:t>18.2.4首次响应文件递交</w:t>
      </w:r>
      <w:r>
        <w:rPr>
          <w:rFonts w:ascii="Arial" w:hAnsi="Arial" w:eastAsia="宋体" w:cs="Arial"/>
          <w:color w:val="auto"/>
          <w:szCs w:val="21"/>
          <w:highlight w:val="none"/>
        </w:rPr>
        <w:t xml:space="preserve">截止时间后，由谈判小组在评标室内开启响应文件。  </w:t>
      </w:r>
    </w:p>
    <w:p w14:paraId="31F3E15C">
      <w:pPr>
        <w:tabs>
          <w:tab w:val="left" w:pos="1140"/>
        </w:tabs>
        <w:spacing w:after="0" w:line="288" w:lineRule="auto"/>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19. 评审原则和评审办法</w:t>
      </w:r>
    </w:p>
    <w:p w14:paraId="019B57A5">
      <w:pPr>
        <w:tabs>
          <w:tab w:val="left" w:pos="1140"/>
        </w:tabs>
        <w:spacing w:after="0" w:line="288" w:lineRule="auto"/>
        <w:ind w:firstLine="359" w:firstLineChars="171"/>
        <w:rPr>
          <w:rFonts w:ascii="Arial" w:hAnsi="Arial" w:eastAsia="宋体" w:cs="Arial"/>
          <w:color w:val="auto"/>
          <w:szCs w:val="21"/>
          <w:highlight w:val="none"/>
        </w:rPr>
      </w:pPr>
      <w:r>
        <w:rPr>
          <w:rFonts w:ascii="Arial" w:hAnsi="Arial" w:eastAsia="宋体" w:cs="Arial"/>
          <w:color w:val="auto"/>
          <w:szCs w:val="20"/>
          <w:highlight w:val="none"/>
        </w:rPr>
        <w:t xml:space="preserve">19.1 </w:t>
      </w:r>
      <w:r>
        <w:rPr>
          <w:rFonts w:ascii="Arial" w:hAnsi="Arial" w:eastAsia="宋体" w:cs="Arial"/>
          <w:color w:val="auto"/>
          <w:szCs w:val="21"/>
          <w:highlight w:val="none"/>
        </w:rPr>
        <w:t>谈判小组必须坚持公平、公正、科学和择优的原则。</w:t>
      </w:r>
    </w:p>
    <w:p w14:paraId="1B2B6FA9">
      <w:pPr>
        <w:tabs>
          <w:tab w:val="left" w:pos="1140"/>
        </w:tabs>
        <w:spacing w:after="0" w:line="288" w:lineRule="auto"/>
        <w:ind w:firstLine="359" w:firstLineChars="171"/>
        <w:rPr>
          <w:rFonts w:ascii="Arial" w:hAnsi="Arial" w:eastAsia="宋体" w:cs="Arial"/>
          <w:color w:val="auto"/>
          <w:szCs w:val="21"/>
          <w:highlight w:val="none"/>
        </w:rPr>
      </w:pPr>
      <w:r>
        <w:rPr>
          <w:rFonts w:ascii="Arial" w:hAnsi="Arial" w:eastAsia="宋体" w:cs="Arial"/>
          <w:color w:val="auto"/>
          <w:szCs w:val="20"/>
          <w:highlight w:val="none"/>
        </w:rPr>
        <w:t xml:space="preserve">19.2 </w:t>
      </w:r>
      <w:r>
        <w:rPr>
          <w:rFonts w:ascii="Arial" w:hAnsi="Arial" w:eastAsia="宋体" w:cs="Arial"/>
          <w:color w:val="auto"/>
          <w:szCs w:val="21"/>
          <w:highlight w:val="none"/>
        </w:rPr>
        <w:t>评审办法：具体详见第四章评审办法。</w:t>
      </w:r>
    </w:p>
    <w:p w14:paraId="035ED2E9">
      <w:pPr>
        <w:pStyle w:val="14"/>
        <w:spacing w:after="0" w:line="288" w:lineRule="auto"/>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19.3 谈判小组应按谈判文件进行评审，不得擅自更改评审办法。</w:t>
      </w:r>
    </w:p>
    <w:p w14:paraId="62622C42">
      <w:pPr>
        <w:pStyle w:val="14"/>
        <w:spacing w:after="0" w:line="288" w:lineRule="auto"/>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19.4 在评审过程中，谈判小组任何人不得对某个供应商发表任何倾向性意见，不得向其他谈判小组成员明示或者暗示自己的评审意见。</w:t>
      </w:r>
    </w:p>
    <w:p w14:paraId="25EB7156">
      <w:pPr>
        <w:tabs>
          <w:tab w:val="left" w:pos="1140"/>
        </w:tabs>
        <w:spacing w:after="0" w:line="288" w:lineRule="auto"/>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19.5 谈判小组成员对需要共同认定的事项存在争议的，按照少数服从多数的原则作出结论。持不同意见的谈判小组成员应当在评审报告上签署不同意见并说明理由，否则视为同意。</w:t>
      </w:r>
    </w:p>
    <w:p w14:paraId="1D65FAAF">
      <w:pPr>
        <w:tabs>
          <w:tab w:val="left" w:pos="1140"/>
        </w:tabs>
        <w:spacing w:after="0" w:line="288" w:lineRule="auto"/>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20. 评审程序及谈判要求</w:t>
      </w:r>
    </w:p>
    <w:p w14:paraId="394AE284">
      <w:pPr>
        <w:pStyle w:val="14"/>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20.1谈判小组成员的通讯工具或相关电子设备交由</w:t>
      </w:r>
      <w:r>
        <w:rPr>
          <w:rFonts w:hint="eastAsia" w:ascii="Arial" w:hAnsi="Arial" w:eastAsia="宋体" w:cs="Arial"/>
          <w:color w:val="auto"/>
          <w:szCs w:val="21"/>
          <w:highlight w:val="none"/>
          <w:lang w:eastAsia="zh-CN"/>
        </w:rPr>
        <w:t>广西机电设备招标有限公司</w:t>
      </w:r>
      <w:r>
        <w:rPr>
          <w:rFonts w:ascii="Arial" w:hAnsi="Arial" w:eastAsia="宋体" w:cs="Arial"/>
          <w:color w:val="auto"/>
          <w:szCs w:val="21"/>
          <w:highlight w:val="none"/>
        </w:rPr>
        <w:t>统一保管，采购代理机构核实谈判小组成员身份，告知回避要求，宣布评审工作纪律和程序，推选谈判小组组长。</w:t>
      </w:r>
    </w:p>
    <w:p w14:paraId="376EAB16">
      <w:pPr>
        <w:pStyle w:val="14"/>
        <w:spacing w:after="0" w:line="288" w:lineRule="auto"/>
        <w:ind w:firstLine="420" w:firstLineChars="200"/>
        <w:rPr>
          <w:rFonts w:ascii="Arial" w:hAnsi="Arial" w:eastAsia="宋体" w:cs="Arial"/>
          <w:color w:val="auto"/>
          <w:highlight w:val="none"/>
        </w:rPr>
      </w:pPr>
      <w:r>
        <w:rPr>
          <w:rFonts w:ascii="Arial" w:hAnsi="Arial" w:eastAsia="宋体" w:cs="Arial"/>
          <w:color w:val="auto"/>
          <w:szCs w:val="21"/>
          <w:highlight w:val="none"/>
        </w:rPr>
        <w:t>20.2谈判小组应当对发布公告的竞争性谈判文件（简称谈判文件）进行确认，</w:t>
      </w:r>
      <w:r>
        <w:rPr>
          <w:rFonts w:ascii="Arial" w:hAnsi="Arial" w:eastAsia="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50BACD1D">
      <w:pPr>
        <w:pStyle w:val="14"/>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20.3谈判小组依据法律法规和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w:t>
      </w:r>
    </w:p>
    <w:p w14:paraId="7A321655">
      <w:pPr>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20.4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1627EE86">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eastAsia="宋体" w:cs="Arial"/>
          <w:color w:val="auto"/>
          <w:highlight w:val="none"/>
        </w:rPr>
        <w:t>http://www.gsxt.gov.cn/index.html</w:t>
      </w:r>
      <w:r>
        <w:rPr>
          <w:rFonts w:ascii="Arial" w:hAnsi="Arial" w:eastAsia="宋体" w:cs="Arial"/>
          <w:color w:val="auto"/>
          <w:highlight w:val="none"/>
        </w:rPr>
        <w:fldChar w:fldCharType="end"/>
      </w:r>
      <w:r>
        <w:rPr>
          <w:rFonts w:ascii="Arial" w:hAnsi="Arial" w:eastAsia="宋体" w:cs="Arial"/>
          <w:color w:val="auto"/>
          <w:szCs w:val="21"/>
          <w:highlight w:val="none"/>
        </w:rPr>
        <w:t>）</w:t>
      </w:r>
    </w:p>
    <w:p w14:paraId="5DD4BCC7">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20.4.2审查流程：</w:t>
      </w:r>
    </w:p>
    <w:p w14:paraId="6823A49E">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（1）进入《国家企业信用信息公示系统》（网址：http://www.gsxt.gov.cn/index.html），输入企业名称，进入企业信息主页面；</w:t>
      </w:r>
    </w:p>
    <w:p w14:paraId="07571C03">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（2）查看主页“股东及出资信息”栏，或年报中的“股东及出资信息”栏信息；</w:t>
      </w:r>
    </w:p>
    <w:p w14:paraId="3C8502CA">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（3）将各供应商的股东及出资信息进行比对，得出审查结论；</w:t>
      </w:r>
    </w:p>
    <w:p w14:paraId="3682C819">
      <w:pPr>
        <w:snapToGrid w:val="0"/>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（4）将相关资料作为评审资料打印存档。</w:t>
      </w:r>
    </w:p>
    <w:p w14:paraId="527FDF5E">
      <w:pPr>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4481A8D">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kern w:val="0"/>
          <w:szCs w:val="21"/>
          <w:highlight w:val="none"/>
        </w:rPr>
        <w:t>20.5谈判小组在对响应文件的有效性、完整性和响应程度进行审查时，可以要求供应商对</w:t>
      </w:r>
      <w:r>
        <w:rPr>
          <w:rFonts w:ascii="Arial" w:hAnsi="Arial" w:eastAsia="宋体" w:cs="Arial"/>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相应的授权委托代表签字或者加盖供应商公章。由授权委托代表签字的，应当附授权委托书。</w:t>
      </w:r>
    </w:p>
    <w:p w14:paraId="2883ED1E">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230EE0F9">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kern w:val="0"/>
          <w:szCs w:val="21"/>
          <w:highlight w:val="none"/>
        </w:rPr>
        <w:t>谈判小组</w:t>
      </w:r>
      <w:r>
        <w:rPr>
          <w:rFonts w:ascii="Arial" w:hAnsi="Arial" w:eastAsia="宋体" w:cs="Arial"/>
          <w:color w:val="auto"/>
          <w:szCs w:val="21"/>
          <w:highlight w:val="none"/>
        </w:rPr>
        <w:t>所有成员应当</w:t>
      </w:r>
      <w:r>
        <w:rPr>
          <w:rFonts w:ascii="Arial" w:hAnsi="Arial" w:eastAsia="宋体" w:cs="Arial"/>
          <w:color w:val="auto"/>
          <w:kern w:val="0"/>
          <w:szCs w:val="21"/>
          <w:highlight w:val="none"/>
        </w:rPr>
        <w:t>按已确定的</w:t>
      </w:r>
      <w:r>
        <w:rPr>
          <w:rFonts w:ascii="Arial" w:hAnsi="Arial" w:eastAsia="宋体" w:cs="Arial"/>
          <w:color w:val="auto"/>
          <w:szCs w:val="21"/>
          <w:highlight w:val="none"/>
        </w:rPr>
        <w:t>谈判顺序集中与单一供应商分别进行谈判，并给予所有实质性响应竞争性谈判文件要求的供应商平等的谈判机会。</w:t>
      </w:r>
    </w:p>
    <w:p w14:paraId="73E492B7">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谈判中，谈判小组不得透露与谈判有关的其他供应商的技术资料、价格和其他信息。</w:t>
      </w:r>
    </w:p>
    <w:p w14:paraId="653D471F">
      <w:pPr>
        <w:widowControl/>
        <w:tabs>
          <w:tab w:val="left" w:pos="540"/>
        </w:tabs>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采购代理机构对谈判过程和重要谈判内容进行记录，谈判双方在记录上签字确认。</w:t>
      </w:r>
    </w:p>
    <w:p w14:paraId="4892D03C">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20.6在谈判过程中，谈判小组可以根据谈判文件和谈判情况实质性变动项目需求中的技术、服务要求以及合同草案条款，但不得变动谈判文件中的其他内容。实质性变动的内容，须经采购人代表确认。</w:t>
      </w:r>
    </w:p>
    <w:p w14:paraId="5D623712">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对谈判文件作出的实质性变动是谈判文件的有效组成部分，谈判小组应当及时以书面形式同时通知所有参加谈判的供应商。</w:t>
      </w:r>
    </w:p>
    <w:p w14:paraId="5FAC42FB">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供应商应当按照谈判文件的变动情况和谈判小组的要求重新提交响应文件，并由其法定代表人（负责人)或相应的授权委托代表签字或者加盖供应商公章。逾时不交的，视同放弃谈判。</w:t>
      </w:r>
    </w:p>
    <w:p w14:paraId="2294C13D">
      <w:pPr>
        <w:widowControl/>
        <w:spacing w:after="0" w:line="288" w:lineRule="auto"/>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20.7在采购过程中符合竞争要求的供应商或者报价未超过采购预算的供应商不足3家的，采购人或者采购代理机构应当终止竞争性谈判采购活动。</w:t>
      </w:r>
    </w:p>
    <w:p w14:paraId="6A1EE65B">
      <w:pPr>
        <w:widowControl/>
        <w:spacing w:after="0" w:line="288" w:lineRule="auto"/>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20.8最后报价</w:t>
      </w:r>
    </w:p>
    <w:p w14:paraId="4B856949">
      <w:pPr>
        <w:spacing w:after="0" w:line="288" w:lineRule="auto"/>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20.8.1谈判文件能够详细列明采购标的的技术、服务要求的，谈判结束后，谈判小组应当要求所有继续参加谈判的供应商在规定时间内密封提交最后报价，提交最后报价的供应商不得少于3家。</w:t>
      </w:r>
    </w:p>
    <w:p w14:paraId="5D737FE9">
      <w:pPr>
        <w:spacing w:after="0" w:line="288" w:lineRule="auto"/>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14:paraId="59203A55">
      <w:pPr>
        <w:spacing w:after="0" w:line="288" w:lineRule="auto"/>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20.8.3最后报价是供应商响应文件的有效组成部分。</w:t>
      </w:r>
    </w:p>
    <w:p w14:paraId="0F4BEDB1">
      <w:pPr>
        <w:spacing w:after="0" w:line="288" w:lineRule="auto"/>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20.9已提交响应文件的供应商，在提交最后报价之前，可以根据谈判情况书面退出谈判。</w:t>
      </w:r>
    </w:p>
    <w:p w14:paraId="690134B7">
      <w:pPr>
        <w:spacing w:after="0" w:line="288" w:lineRule="auto"/>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未书面退出谈判的供应商应在规定时间内密封提交最后报价，其最后报价不得超出采购预算；谈判过程中谈判文件未作实质性变动的，最后报价不得超过首次报价。</w:t>
      </w:r>
    </w:p>
    <w:p w14:paraId="15127291">
      <w:pPr>
        <w:widowControl/>
        <w:tabs>
          <w:tab w:val="left" w:pos="540"/>
        </w:tabs>
        <w:spacing w:after="0" w:line="288" w:lineRule="auto"/>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20.10评审报告</w:t>
      </w:r>
    </w:p>
    <w:p w14:paraId="13D37F33">
      <w:pPr>
        <w:spacing w:after="0" w:line="288" w:lineRule="auto"/>
        <w:ind w:firstLine="420" w:firstLineChars="200"/>
        <w:rPr>
          <w:rFonts w:ascii="Arial" w:hAnsi="Arial" w:eastAsia="宋体" w:cs="Arial"/>
          <w:color w:val="auto"/>
          <w:kern w:val="0"/>
          <w:sz w:val="24"/>
          <w:highlight w:val="none"/>
        </w:rPr>
      </w:pPr>
      <w:r>
        <w:rPr>
          <w:rFonts w:ascii="Arial" w:hAnsi="Arial" w:eastAsia="宋体" w:cs="Arial"/>
          <w:color w:val="auto"/>
          <w:kern w:val="0"/>
          <w:szCs w:val="21"/>
          <w:highlight w:val="none"/>
        </w:rPr>
        <w:t>谈判小组应当从质量和服务均能满足谈判文件全部实质性响应要求的供应商中，按照评审报价（最后报价）由低到高的顺序提出3名以上（含3名）成交候选人，并编写评审报告。</w:t>
      </w:r>
    </w:p>
    <w:p w14:paraId="75BC2F81">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20.11在评审过程中出现法律法规和谈判文件均没有明确规定的情形时，由谈判小组现场协商解决，协商不一致的，由全体谈判小组投票表决，以得票率二分之一以上专家的意见为准。</w:t>
      </w:r>
    </w:p>
    <w:p w14:paraId="47832802">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20.12采购代理机构发现谈判小组有明显的违规倾向或歧视现象，或不按评审办法进行，或其他不正常行为的，应当及时制止。</w:t>
      </w:r>
    </w:p>
    <w:p w14:paraId="7212C7DC">
      <w:pPr>
        <w:pStyle w:val="14"/>
        <w:spacing w:after="0" w:line="288"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21. 确定成交供应商</w:t>
      </w:r>
    </w:p>
    <w:p w14:paraId="58C1C686">
      <w:pPr>
        <w:pStyle w:val="14"/>
        <w:tabs>
          <w:tab w:val="left" w:pos="4214"/>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（1）采购单位应当确定谈判小组推荐排名第一的成交候选人为成交供应商。</w:t>
      </w:r>
    </w:p>
    <w:p w14:paraId="569263BF">
      <w:pPr>
        <w:pStyle w:val="14"/>
        <w:spacing w:after="0" w:line="288" w:lineRule="auto"/>
        <w:ind w:firstLine="447" w:firstLineChars="213"/>
        <w:rPr>
          <w:rFonts w:ascii="Arial" w:hAnsi="Arial" w:eastAsia="宋体" w:cs="Arial"/>
          <w:color w:val="auto"/>
          <w:szCs w:val="21"/>
          <w:highlight w:val="none"/>
        </w:rPr>
      </w:pPr>
      <w:r>
        <w:rPr>
          <w:rFonts w:ascii="Arial" w:hAnsi="Arial" w:eastAsia="宋体"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14:paraId="2140A607">
      <w:pPr>
        <w:pStyle w:val="14"/>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（3）排名第二的成交候选人因前款规定的同样原因不能签订合同的，采购单位可以确定排名第三的成交候选人为成交供应商。</w:t>
      </w:r>
    </w:p>
    <w:p w14:paraId="7001731A">
      <w:pPr>
        <w:widowControl/>
        <w:shd w:val="clear" w:color="auto" w:fill="FFFFFF"/>
        <w:spacing w:after="0" w:line="288" w:lineRule="auto"/>
        <w:ind w:firstLine="480"/>
        <w:jc w:val="left"/>
        <w:rPr>
          <w:rFonts w:ascii="Arial" w:hAnsi="Arial" w:eastAsia="宋体" w:cs="Arial"/>
          <w:b/>
          <w:color w:val="auto"/>
          <w:szCs w:val="21"/>
          <w:highlight w:val="none"/>
        </w:rPr>
      </w:pPr>
      <w:r>
        <w:rPr>
          <w:rFonts w:ascii="Arial" w:hAnsi="Arial" w:eastAsia="宋体" w:cs="Arial"/>
          <w:b/>
          <w:bCs/>
          <w:color w:val="auto"/>
          <w:szCs w:val="21"/>
          <w:highlight w:val="none"/>
        </w:rPr>
        <w:t xml:space="preserve">22. </w:t>
      </w:r>
      <w:r>
        <w:rPr>
          <w:rFonts w:ascii="Arial" w:hAnsi="Arial" w:eastAsia="宋体" w:cs="Arial"/>
          <w:b/>
          <w:color w:val="auto"/>
          <w:szCs w:val="21"/>
          <w:highlight w:val="none"/>
        </w:rPr>
        <w:t>属于下列情况之一者，响应文件无效：</w:t>
      </w:r>
    </w:p>
    <w:p w14:paraId="24A3BF93">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（1）未按谈判文件规定完整提交响应文件或未按规定要求密封、签字、盖章的，或未提供授权委托书（委托代理的）；</w:t>
      </w:r>
    </w:p>
    <w:p w14:paraId="044C235B">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（2）超越了行政许可的经营范围的；</w:t>
      </w:r>
    </w:p>
    <w:p w14:paraId="3BD65EA6">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（3）不具备谈判文件规定的资格要求的</w:t>
      </w:r>
      <w:r>
        <w:rPr>
          <w:rFonts w:ascii="Arial" w:hAnsi="Arial" w:eastAsia="宋体" w:cs="Arial"/>
          <w:color w:val="auto"/>
          <w:highlight w:val="none"/>
        </w:rPr>
        <w:t>；</w:t>
      </w:r>
    </w:p>
    <w:p w14:paraId="270DD3A4">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（4）响应文件未按谈判文件的内容和要求编制，或提供虚假材料的；</w:t>
      </w:r>
    </w:p>
    <w:p w14:paraId="504A6AAD">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（5）响应文件有效期、交付使用期、质保期、售后服务不能满足谈判文件要求的；</w:t>
      </w:r>
    </w:p>
    <w:p w14:paraId="0D635761">
      <w:pPr>
        <w:snapToGrid w:val="0"/>
        <w:spacing w:after="0" w:line="288" w:lineRule="auto"/>
        <w:ind w:firstLine="411" w:firstLineChars="196"/>
        <w:rPr>
          <w:rFonts w:ascii="Arial" w:hAnsi="Arial" w:eastAsia="宋体" w:cs="Arial"/>
          <w:color w:val="auto"/>
          <w:highlight w:val="none"/>
        </w:rPr>
      </w:pPr>
      <w:r>
        <w:rPr>
          <w:rFonts w:ascii="Arial" w:hAnsi="Arial" w:eastAsia="宋体" w:cs="Arial"/>
          <w:color w:val="auto"/>
          <w:szCs w:val="21"/>
          <w:highlight w:val="none"/>
        </w:rPr>
        <w:t>（</w:t>
      </w:r>
      <w:r>
        <w:rPr>
          <w:rFonts w:ascii="Arial" w:hAnsi="Arial" w:eastAsia="宋体" w:cs="Arial"/>
          <w:color w:val="auto"/>
          <w:highlight w:val="none"/>
        </w:rPr>
        <w:t>6）供应商</w:t>
      </w:r>
      <w:r>
        <w:rPr>
          <w:rFonts w:ascii="Arial" w:hAnsi="Arial" w:eastAsia="宋体" w:cs="Arial"/>
          <w:color w:val="auto"/>
          <w:szCs w:val="21"/>
          <w:highlight w:val="none"/>
        </w:rPr>
        <w:t>未就“项目采购需求”中的所有货物内容作完整唯一报价的</w:t>
      </w:r>
      <w:r>
        <w:rPr>
          <w:rFonts w:ascii="Arial" w:hAnsi="Arial" w:eastAsia="宋体" w:cs="Arial"/>
          <w:color w:val="auto"/>
          <w:highlight w:val="none"/>
        </w:rPr>
        <w:t>，或报价超出采购预算金额的，或谈判过程中谈判文件未作实质性变动，最后报价超出首次报价的；</w:t>
      </w:r>
    </w:p>
    <w:p w14:paraId="6E8F64D7">
      <w:pPr>
        <w:pStyle w:val="14"/>
        <w:spacing w:after="0" w:line="288" w:lineRule="auto"/>
        <w:ind w:firstLine="420" w:firstLineChars="200"/>
        <w:rPr>
          <w:rFonts w:ascii="Arial" w:hAnsi="Arial" w:eastAsia="宋体" w:cs="Arial"/>
          <w:color w:val="auto"/>
          <w:szCs w:val="24"/>
          <w:highlight w:val="none"/>
        </w:rPr>
      </w:pPr>
      <w:r>
        <w:rPr>
          <w:rFonts w:ascii="Arial" w:hAnsi="Arial" w:eastAsia="宋体" w:cs="Arial"/>
          <w:color w:val="auto"/>
          <w:highlight w:val="none"/>
        </w:rPr>
        <w:t>（7）未在谈判小组规定的时间内重新提交响应文件的；</w:t>
      </w:r>
    </w:p>
    <w:p w14:paraId="5D52A38D">
      <w:pPr>
        <w:pStyle w:val="14"/>
        <w:spacing w:after="0" w:line="288" w:lineRule="auto"/>
        <w:ind w:firstLine="420" w:firstLineChars="200"/>
        <w:rPr>
          <w:rFonts w:ascii="Arial" w:hAnsi="Arial" w:eastAsia="宋体" w:cs="Arial"/>
          <w:color w:val="auto"/>
          <w:szCs w:val="24"/>
          <w:highlight w:val="none"/>
        </w:rPr>
      </w:pPr>
      <w:r>
        <w:rPr>
          <w:rFonts w:ascii="Arial" w:hAnsi="Arial" w:eastAsia="宋体" w:cs="Arial"/>
          <w:color w:val="auto"/>
          <w:szCs w:val="24"/>
          <w:highlight w:val="none"/>
        </w:rPr>
        <w:t>（8）未满足谈判文件全部实质性要求的；或者响应文件有采购人不能接受的附加条件的；</w:t>
      </w:r>
    </w:p>
    <w:p w14:paraId="60E452C6">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（9）未在规定时间或未足额缴纳谈判保证金的。</w:t>
      </w:r>
    </w:p>
    <w:p w14:paraId="6277C2D2">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（10）不符合法律、法规和谈判文件规定的其他实质性要求和条件的。</w:t>
      </w:r>
    </w:p>
    <w:p w14:paraId="3BB18951">
      <w:pPr>
        <w:snapToGrid w:val="0"/>
        <w:spacing w:after="0" w:line="288" w:lineRule="auto"/>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23. 供应商有下列23.1、23.2情形之一的，视为串通谈判或属于恶意串通行为，响应文件将被视为无效：</w:t>
      </w:r>
    </w:p>
    <w:p w14:paraId="3A95975E">
      <w:pPr>
        <w:snapToGrid w:val="0"/>
        <w:spacing w:after="0" w:line="288" w:lineRule="auto"/>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23.1供应商有下列情形之一的，视为串通参与谈判：</w:t>
      </w:r>
    </w:p>
    <w:p w14:paraId="0EB8EA78">
      <w:pPr>
        <w:snapToGrid w:val="0"/>
        <w:spacing w:after="0" w:line="288" w:lineRule="auto"/>
        <w:ind w:left="354" w:leftChars="169" w:firstLine="102" w:firstLineChars="49"/>
        <w:rPr>
          <w:rFonts w:ascii="Arial" w:hAnsi="Arial" w:eastAsia="宋体" w:cs="Arial"/>
          <w:color w:val="auto"/>
          <w:highlight w:val="none"/>
        </w:rPr>
      </w:pPr>
      <w:r>
        <w:rPr>
          <w:rFonts w:ascii="Arial" w:hAnsi="Arial" w:eastAsia="宋体" w:cs="Arial"/>
          <w:color w:val="auto"/>
          <w:highlight w:val="none"/>
        </w:rPr>
        <w:t>（1）不同供应商的响应文件由同一单位或者个人编制的；</w:t>
      </w:r>
    </w:p>
    <w:p w14:paraId="52378C33">
      <w:pPr>
        <w:snapToGrid w:val="0"/>
        <w:spacing w:after="0" w:line="288" w:lineRule="auto"/>
        <w:ind w:left="354" w:leftChars="169" w:firstLine="102" w:firstLineChars="49"/>
        <w:rPr>
          <w:rFonts w:ascii="Arial" w:hAnsi="Arial" w:eastAsia="宋体" w:cs="Arial"/>
          <w:color w:val="auto"/>
          <w:highlight w:val="none"/>
        </w:rPr>
      </w:pPr>
      <w:r>
        <w:rPr>
          <w:rFonts w:ascii="Arial" w:hAnsi="Arial" w:eastAsia="宋体" w:cs="Arial"/>
          <w:color w:val="auto"/>
          <w:highlight w:val="none"/>
        </w:rPr>
        <w:t>（2）不同供应商委托同一单位或者个人办理谈判事宜的；</w:t>
      </w:r>
    </w:p>
    <w:p w14:paraId="56932D66">
      <w:pPr>
        <w:snapToGrid w:val="0"/>
        <w:spacing w:after="0" w:line="288" w:lineRule="auto"/>
        <w:ind w:left="354" w:leftChars="169" w:firstLine="102" w:firstLineChars="49"/>
        <w:rPr>
          <w:rFonts w:ascii="Arial" w:hAnsi="Arial" w:eastAsia="宋体" w:cs="Arial"/>
          <w:color w:val="auto"/>
          <w:highlight w:val="none"/>
        </w:rPr>
      </w:pPr>
      <w:r>
        <w:rPr>
          <w:rFonts w:ascii="Arial" w:hAnsi="Arial" w:eastAsia="宋体" w:cs="Arial"/>
          <w:color w:val="auto"/>
          <w:highlight w:val="none"/>
        </w:rPr>
        <w:t>（3）不同的供应商的响应文件载明的项目管理员为同一个人的；</w:t>
      </w:r>
    </w:p>
    <w:p w14:paraId="1EA39A06">
      <w:pPr>
        <w:snapToGrid w:val="0"/>
        <w:spacing w:after="0" w:line="288" w:lineRule="auto"/>
        <w:ind w:left="354" w:leftChars="169" w:firstLine="102" w:firstLineChars="49"/>
        <w:rPr>
          <w:rFonts w:ascii="Arial" w:hAnsi="Arial" w:eastAsia="宋体" w:cs="Arial"/>
          <w:color w:val="auto"/>
          <w:highlight w:val="none"/>
        </w:rPr>
      </w:pPr>
      <w:r>
        <w:rPr>
          <w:rFonts w:ascii="Arial" w:hAnsi="Arial" w:eastAsia="宋体" w:cs="Arial"/>
          <w:color w:val="auto"/>
          <w:highlight w:val="none"/>
        </w:rPr>
        <w:t xml:space="preserve">（4）不同供应商的响应文件异常一致或最后报价呈规律性差异的； </w:t>
      </w:r>
    </w:p>
    <w:p w14:paraId="6D04A17A">
      <w:pPr>
        <w:snapToGrid w:val="0"/>
        <w:spacing w:after="0" w:line="288" w:lineRule="auto"/>
        <w:ind w:left="354" w:leftChars="169" w:firstLine="102" w:firstLineChars="49"/>
        <w:rPr>
          <w:rFonts w:ascii="Arial" w:hAnsi="Arial" w:eastAsia="宋体" w:cs="Arial"/>
          <w:color w:val="auto"/>
          <w:highlight w:val="none"/>
        </w:rPr>
      </w:pPr>
      <w:r>
        <w:rPr>
          <w:rFonts w:ascii="Arial" w:hAnsi="Arial" w:eastAsia="宋体" w:cs="Arial"/>
          <w:color w:val="auto"/>
          <w:highlight w:val="none"/>
        </w:rPr>
        <w:t>（5）不同供应商的响应文件相互混装的；</w:t>
      </w:r>
    </w:p>
    <w:p w14:paraId="597F88DD">
      <w:pPr>
        <w:snapToGrid w:val="0"/>
        <w:spacing w:after="0" w:line="288" w:lineRule="auto"/>
        <w:ind w:firstLine="516" w:firstLineChars="246"/>
        <w:rPr>
          <w:rFonts w:ascii="Arial" w:hAnsi="Arial" w:eastAsia="宋体" w:cs="Arial"/>
          <w:color w:val="auto"/>
          <w:szCs w:val="21"/>
          <w:highlight w:val="none"/>
        </w:rPr>
      </w:pPr>
      <w:r>
        <w:rPr>
          <w:rFonts w:ascii="Arial" w:hAnsi="Arial" w:eastAsia="宋体" w:cs="Arial"/>
          <w:color w:val="auto"/>
          <w:szCs w:val="21"/>
          <w:highlight w:val="none"/>
        </w:rPr>
        <w:t>（6）谈判文件未做实质性变动，供应商最后报价高于首次报价的。</w:t>
      </w:r>
    </w:p>
    <w:p w14:paraId="68D94AC7">
      <w:pPr>
        <w:snapToGrid w:val="0"/>
        <w:spacing w:after="0" w:line="288" w:lineRule="auto"/>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23.2供应商有下列情形之一的，属于恶意串通行为：</w:t>
      </w:r>
    </w:p>
    <w:p w14:paraId="7BBE2341">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（1）供应商直接或者间接从采购人或者采购代理机构处获得其他供应商的相关信息并修改其响应文件的：</w:t>
      </w:r>
    </w:p>
    <w:p w14:paraId="401F638B">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（2）供应商按照采购人或者采购代理机构的授意撤换、修改响应文件的；</w:t>
      </w:r>
    </w:p>
    <w:p w14:paraId="01490B7A">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（3）供应商之间协商报价、技术方案等响应文件的实质性内容的；</w:t>
      </w:r>
    </w:p>
    <w:p w14:paraId="37447126">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（4）属于同一集团、协会、商会等组织成员的供应商按照该组织要求协同参加政府采购活动的；</w:t>
      </w:r>
    </w:p>
    <w:p w14:paraId="464768CF">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（5）供应商之间事先约定一致抬高或者压低报价,或者在采购项目中事先约定轮流以高价位或者低价位成交,或者事先约定由某一特定供应商成交,然后再参加谈判的；</w:t>
      </w:r>
    </w:p>
    <w:p w14:paraId="449A1DF7">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（6）供应商之间商定部分供应商放弃参加政府采购活动或者放弃成交的；</w:t>
      </w:r>
    </w:p>
    <w:p w14:paraId="73133D58">
      <w:pPr>
        <w:snapToGrid w:val="0"/>
        <w:spacing w:after="0" w:line="288"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（7）供应商与采购人或者采购代理机构之间、供应商相互之间，为谋求特定供应商成交或者排斥其他供应商的其他串通行为的。</w:t>
      </w:r>
    </w:p>
    <w:p w14:paraId="4F57D3EF">
      <w:pPr>
        <w:snapToGrid w:val="0"/>
        <w:spacing w:after="0" w:line="288" w:lineRule="auto"/>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24. 出现下列情形之一的，采购人或者采购代理机构应当终止竞争性谈判采购活动，发布项目终止公告并说明原因，重新开展采购活动：</w:t>
      </w:r>
    </w:p>
    <w:p w14:paraId="31611CB3">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（1）因情况变化，不再符合规定的竞争性谈判采购方式适用情形的；</w:t>
      </w:r>
    </w:p>
    <w:p w14:paraId="3495C77B">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（2）出现影响采购公正的违法、违规行为的； </w:t>
      </w:r>
    </w:p>
    <w:p w14:paraId="18CE906F">
      <w:pPr>
        <w:snapToGrid w:val="0"/>
        <w:spacing w:after="0" w:line="288" w:lineRule="auto"/>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（3）在采购过程中符合竞争要求的供应商或者报价未超过采购预算的供应商不足3家的。  </w:t>
      </w:r>
    </w:p>
    <w:p w14:paraId="02575021">
      <w:pPr>
        <w:snapToGrid w:val="0"/>
        <w:spacing w:after="0" w:line="288" w:lineRule="auto"/>
        <w:ind w:firstLine="420" w:firstLineChars="200"/>
        <w:rPr>
          <w:rFonts w:ascii="Arial" w:hAnsi="Arial" w:eastAsia="宋体" w:cs="Arial"/>
          <w:b/>
          <w:color w:val="auto"/>
          <w:highlight w:val="none"/>
        </w:rPr>
      </w:pPr>
      <w:r>
        <w:rPr>
          <w:rFonts w:ascii="Arial" w:hAnsi="Arial" w:eastAsia="宋体" w:cs="Arial"/>
          <w:b/>
          <w:color w:val="auto"/>
          <w:highlight w:val="none"/>
        </w:rPr>
        <w:t>25. 谈判过程的监控</w:t>
      </w:r>
    </w:p>
    <w:p w14:paraId="15B1D2A6">
      <w:pPr>
        <w:pStyle w:val="14"/>
        <w:spacing w:after="0" w:line="288" w:lineRule="auto"/>
        <w:ind w:firstLine="411" w:firstLineChars="196"/>
        <w:rPr>
          <w:rFonts w:ascii="Arial" w:hAnsi="Arial" w:eastAsia="宋体" w:cs="Arial"/>
          <w:color w:val="auto"/>
          <w:highlight w:val="none"/>
        </w:rPr>
      </w:pPr>
      <w:r>
        <w:rPr>
          <w:rFonts w:ascii="Arial" w:hAnsi="Arial" w:eastAsia="宋体" w:cs="Arial"/>
          <w:color w:val="auto"/>
          <w:highlight w:val="none"/>
        </w:rPr>
        <w:t>本项目谈判过程实行全程录音、录像监控，供应商在谈判过程中所进行的试图影响谈判结果的不公正活动，可能导致其谈判被拒绝。</w:t>
      </w:r>
    </w:p>
    <w:p w14:paraId="4F0B1E0E">
      <w:pPr>
        <w:snapToGrid w:val="0"/>
        <w:spacing w:after="0" w:line="288" w:lineRule="auto"/>
        <w:ind w:firstLine="420" w:firstLineChars="200"/>
        <w:rPr>
          <w:rFonts w:ascii="Arial" w:hAnsi="Arial" w:eastAsia="宋体" w:cs="Arial"/>
          <w:b/>
          <w:color w:val="auto"/>
          <w:highlight w:val="none"/>
        </w:rPr>
      </w:pPr>
      <w:r>
        <w:rPr>
          <w:rFonts w:ascii="Arial" w:hAnsi="Arial" w:eastAsia="宋体" w:cs="Arial"/>
          <w:b/>
          <w:color w:val="auto"/>
          <w:highlight w:val="none"/>
        </w:rPr>
        <w:t xml:space="preserve">26. 信用查询 </w:t>
      </w:r>
    </w:p>
    <w:p w14:paraId="18EA2E6A">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根据《关于做好政府采购有关信用主体标识码登记及在政府采购活动中查询使用信用记录有关问题的通知》（桂财采〔2016〕37号），由采购代理机构对第一成交候选人进行信用查询：</w:t>
      </w:r>
    </w:p>
    <w:p w14:paraId="399F91D8">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14:paraId="3573CAC8">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14:paraId="4764916E">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14:paraId="0EDB00F0">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p w14:paraId="0FEC03B1">
      <w:pPr>
        <w:pStyle w:val="14"/>
        <w:spacing w:after="0" w:line="288" w:lineRule="auto"/>
        <w:ind w:firstLine="411" w:firstLineChars="196"/>
        <w:rPr>
          <w:rFonts w:ascii="Arial" w:hAnsi="Arial" w:eastAsia="宋体" w:cs="Arial"/>
          <w:b/>
          <w:color w:val="auto"/>
          <w:highlight w:val="none"/>
        </w:rPr>
      </w:pPr>
      <w:r>
        <w:rPr>
          <w:rFonts w:ascii="Arial" w:hAnsi="Arial" w:eastAsia="宋体" w:cs="Arial"/>
          <w:b/>
          <w:color w:val="auto"/>
          <w:highlight w:val="none"/>
        </w:rPr>
        <w:t>27</w:t>
      </w:r>
      <w:r>
        <w:rPr>
          <w:rFonts w:ascii="Arial" w:hAnsi="Arial" w:eastAsia="宋体" w:cs="Arial"/>
          <w:b/>
          <w:color w:val="auto"/>
          <w:szCs w:val="21"/>
          <w:highlight w:val="none"/>
        </w:rPr>
        <w:t xml:space="preserve">. </w:t>
      </w:r>
      <w:r>
        <w:rPr>
          <w:rFonts w:ascii="Arial" w:hAnsi="Arial" w:eastAsia="宋体" w:cs="Arial"/>
          <w:b/>
          <w:color w:val="auto"/>
          <w:szCs w:val="24"/>
          <w:highlight w:val="none"/>
        </w:rPr>
        <w:t>成交公告及成交通知书</w:t>
      </w:r>
    </w:p>
    <w:p w14:paraId="3D291FD5">
      <w:pPr>
        <w:pStyle w:val="14"/>
        <w:tabs>
          <w:tab w:val="left" w:pos="455"/>
        </w:tabs>
        <w:spacing w:after="0" w:line="288" w:lineRule="auto"/>
        <w:ind w:firstLine="420" w:firstLineChars="200"/>
        <w:rPr>
          <w:rFonts w:ascii="Arial" w:hAnsi="Arial" w:eastAsia="宋体" w:cs="Arial"/>
          <w:color w:val="auto"/>
          <w:szCs w:val="24"/>
          <w:highlight w:val="none"/>
        </w:rPr>
      </w:pPr>
      <w:r>
        <w:rPr>
          <w:rFonts w:ascii="Arial" w:hAnsi="Arial" w:eastAsia="宋体" w:cs="Arial"/>
          <w:color w:val="auto"/>
          <w:highlight w:val="none"/>
        </w:rPr>
        <w:t xml:space="preserve">27.1 </w:t>
      </w:r>
      <w:r>
        <w:rPr>
          <w:rFonts w:ascii="Arial" w:hAnsi="Arial" w:eastAsia="宋体" w:cs="Arial"/>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eastAsia="宋体" w:cs="Arial"/>
          <w:color w:val="auto"/>
          <w:szCs w:val="24"/>
          <w:highlight w:val="none"/>
        </w:rPr>
        <w:t>内发出成交通知书，并在指定媒体上公告成交信息。</w:t>
      </w:r>
    </w:p>
    <w:p w14:paraId="08642D7E">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27.2在发布成交公告的同时，采购代理机构向成交供应商发出成交通知书。成交供应商应自接到通知之日起七个工作日内，办理成交通知书领取手续。</w:t>
      </w:r>
    </w:p>
    <w:p w14:paraId="157CFE99">
      <w:pPr>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27.3 采购代理机构无义务向未成交的供应商解释未成交原因和退还响应文件。</w:t>
      </w:r>
    </w:p>
    <w:p w14:paraId="27F99E1B">
      <w:pPr>
        <w:tabs>
          <w:tab w:val="left" w:pos="1140"/>
        </w:tabs>
        <w:spacing w:after="0" w:line="288" w:lineRule="auto"/>
        <w:jc w:val="center"/>
        <w:rPr>
          <w:rFonts w:ascii="Arial" w:hAnsi="Arial" w:eastAsia="宋体" w:cs="Arial"/>
          <w:b/>
          <w:color w:val="auto"/>
          <w:sz w:val="28"/>
          <w:szCs w:val="28"/>
          <w:highlight w:val="none"/>
        </w:rPr>
      </w:pPr>
    </w:p>
    <w:p w14:paraId="051AB6BB">
      <w:pPr>
        <w:tabs>
          <w:tab w:val="left" w:pos="1140"/>
        </w:tabs>
        <w:spacing w:after="0" w:line="288" w:lineRule="auto"/>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五、签订合同</w:t>
      </w:r>
    </w:p>
    <w:p w14:paraId="0D3ED55A">
      <w:pPr>
        <w:spacing w:after="0" w:line="288" w:lineRule="auto"/>
        <w:ind w:firstLine="411" w:firstLineChars="196"/>
        <w:rPr>
          <w:rFonts w:ascii="Arial" w:hAnsi="Arial" w:eastAsia="宋体" w:cs="Arial"/>
          <w:b/>
          <w:color w:val="auto"/>
          <w:highlight w:val="none"/>
        </w:rPr>
      </w:pPr>
      <w:r>
        <w:rPr>
          <w:rFonts w:ascii="Arial" w:hAnsi="Arial" w:eastAsia="宋体" w:cs="Arial"/>
          <w:b/>
          <w:color w:val="auto"/>
          <w:highlight w:val="none"/>
        </w:rPr>
        <w:t>28</w:t>
      </w:r>
      <w:r>
        <w:rPr>
          <w:rFonts w:ascii="Arial" w:hAnsi="Arial" w:eastAsia="宋体" w:cs="Arial"/>
          <w:b/>
          <w:color w:val="auto"/>
          <w:szCs w:val="21"/>
          <w:highlight w:val="none"/>
        </w:rPr>
        <w:t xml:space="preserve">. </w:t>
      </w:r>
      <w:r>
        <w:rPr>
          <w:rFonts w:ascii="Arial" w:hAnsi="Arial" w:eastAsia="宋体" w:cs="Arial"/>
          <w:b/>
          <w:color w:val="auto"/>
          <w:highlight w:val="none"/>
        </w:rPr>
        <w:t>履约保证金</w:t>
      </w:r>
    </w:p>
    <w:p w14:paraId="74A17903">
      <w:pPr>
        <w:snapToGrid w:val="0"/>
        <w:spacing w:after="0" w:line="288" w:lineRule="auto"/>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28.1.履约保证金金额：在合同签订之前，成交供应商按成交金额的5%（如成交供应商为中小微企业的，按成交金额的2%）向采购人交纳履约保证金。</w:t>
      </w:r>
    </w:p>
    <w:p w14:paraId="73CB3ED7">
      <w:pPr>
        <w:snapToGrid w:val="0"/>
        <w:spacing w:after="0" w:line="288" w:lineRule="auto"/>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28.2.履约保证金递交方式：转账或电汇等非现金形式。</w:t>
      </w:r>
    </w:p>
    <w:p w14:paraId="14A4C2E0">
      <w:pPr>
        <w:snapToGrid w:val="0"/>
        <w:spacing w:after="0" w:line="288" w:lineRule="auto"/>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28.3.履约保证金指定账户</w:t>
      </w:r>
    </w:p>
    <w:p w14:paraId="072F34C5">
      <w:pPr>
        <w:snapToGrid w:val="0"/>
        <w:spacing w:after="0" w:line="288" w:lineRule="auto"/>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开户名称：桂林理工大学</w:t>
      </w:r>
    </w:p>
    <w:p w14:paraId="2E3C9CDA">
      <w:pPr>
        <w:snapToGrid w:val="0"/>
        <w:spacing w:after="0" w:line="288" w:lineRule="auto"/>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开户银行：中国银行桂林分行</w:t>
      </w:r>
    </w:p>
    <w:p w14:paraId="7C16F506">
      <w:pPr>
        <w:snapToGrid w:val="0"/>
        <w:spacing w:after="0" w:line="288" w:lineRule="auto"/>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账号：613257488744。</w:t>
      </w:r>
    </w:p>
    <w:p w14:paraId="4398D3E3">
      <w:pPr>
        <w:snapToGrid w:val="0"/>
        <w:spacing w:after="0" w:line="288" w:lineRule="auto"/>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28.4.履约保证金退付方式、时间及条件：</w:t>
      </w:r>
    </w:p>
    <w:p w14:paraId="4EADB2BA">
      <w:pPr>
        <w:snapToGrid w:val="0"/>
        <w:spacing w:after="0" w:line="288" w:lineRule="auto"/>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（1）成交供应商须按上述规定的金额、方式将履约保证金转入桂林理工大学账户。否则，不予签订合同。</w:t>
      </w:r>
    </w:p>
    <w:p w14:paraId="36C4B97F">
      <w:pPr>
        <w:snapToGrid w:val="0"/>
        <w:spacing w:after="0" w:line="288" w:lineRule="auto"/>
        <w:ind w:firstLine="411" w:firstLineChars="196"/>
        <w:rPr>
          <w:rFonts w:ascii="Arial" w:hAnsi="Arial" w:eastAsia="宋体" w:cs="Arial"/>
          <w:bCs/>
          <w:color w:val="auto"/>
          <w:kern w:val="0"/>
          <w:szCs w:val="21"/>
          <w:highlight w:val="none"/>
        </w:rPr>
      </w:pPr>
      <w:r>
        <w:rPr>
          <w:rFonts w:ascii="Arial" w:hAnsi="Arial" w:eastAsia="宋体" w:cs="Arial"/>
          <w:bCs/>
          <w:color w:val="auto"/>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p w14:paraId="3348C6D5">
      <w:pPr>
        <w:tabs>
          <w:tab w:val="left" w:pos="1140"/>
        </w:tabs>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29. 签订合同</w:t>
      </w:r>
    </w:p>
    <w:p w14:paraId="07A72928">
      <w:pPr>
        <w:tabs>
          <w:tab w:val="left" w:pos="1140"/>
        </w:tabs>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29.1 签订合同时间：成交通知书发出之日起2</w:t>
      </w:r>
      <w:r>
        <w:rPr>
          <w:rFonts w:hint="eastAsia" w:ascii="Arial" w:hAnsi="Arial" w:eastAsia="宋体" w:cs="Arial"/>
          <w:color w:val="auto"/>
          <w:highlight w:val="none"/>
        </w:rPr>
        <w:t>5</w:t>
      </w:r>
      <w:r>
        <w:rPr>
          <w:rFonts w:ascii="Arial" w:hAnsi="Arial" w:eastAsia="宋体" w:cs="Arial"/>
          <w:color w:val="auto"/>
          <w:highlight w:val="none"/>
        </w:rPr>
        <w:t>日内。</w:t>
      </w:r>
      <w:r>
        <w:rPr>
          <w:rFonts w:ascii="Arial" w:hAnsi="Arial" w:eastAsia="宋体" w:cs="Arial"/>
          <w:color w:val="auto"/>
          <w:szCs w:val="21"/>
          <w:highlight w:val="none"/>
        </w:rPr>
        <w:t>成交供应商领取成交通知书后，应按规定与采购人签订合同。</w:t>
      </w:r>
    </w:p>
    <w:p w14:paraId="6525A952">
      <w:pPr>
        <w:pStyle w:val="14"/>
        <w:spacing w:after="0" w:line="288" w:lineRule="auto"/>
        <w:ind w:firstLine="420" w:firstLineChars="200"/>
        <w:rPr>
          <w:rFonts w:ascii="Arial" w:hAnsi="Arial" w:eastAsia="宋体" w:cs="Arial"/>
          <w:color w:val="auto"/>
          <w:szCs w:val="24"/>
          <w:highlight w:val="none"/>
        </w:rPr>
      </w:pPr>
      <w:r>
        <w:rPr>
          <w:rFonts w:ascii="Arial" w:hAnsi="Arial" w:eastAsia="宋体" w:cs="Arial"/>
          <w:color w:val="auto"/>
          <w:szCs w:val="24"/>
          <w:highlight w:val="none"/>
        </w:rPr>
        <w:t>29.2 如成交供应商有下列情形之一，采购代理机构可从谈判小组推荐的成交候选人中按顺序重新确定成交供应商或重新组织采购。拒绝签订采购合同的成交供应商不得参加对该项目重新开展的采购活动。</w:t>
      </w:r>
    </w:p>
    <w:p w14:paraId="061AAB89">
      <w:pPr>
        <w:widowControl/>
        <w:spacing w:after="0" w:line="288" w:lineRule="auto"/>
        <w:jc w:val="left"/>
        <w:rPr>
          <w:rFonts w:ascii="Arial" w:hAnsi="Arial" w:eastAsia="宋体" w:cs="Arial"/>
          <w:color w:val="auto"/>
          <w:highlight w:val="none"/>
        </w:rPr>
      </w:pPr>
      <w:r>
        <w:rPr>
          <w:rFonts w:ascii="Arial" w:hAnsi="Arial" w:eastAsia="宋体" w:cs="Arial"/>
          <w:color w:val="auto"/>
          <w:highlight w:val="none"/>
        </w:rPr>
        <w:t>　　（1）成交后不与采购人签订合同的（不可抗力除外）；</w:t>
      </w:r>
    </w:p>
    <w:p w14:paraId="2D8B16F7">
      <w:pPr>
        <w:widowControl/>
        <w:spacing w:after="0" w:line="288" w:lineRule="auto"/>
        <w:jc w:val="left"/>
        <w:rPr>
          <w:rFonts w:ascii="Arial" w:hAnsi="Arial" w:eastAsia="宋体" w:cs="Arial"/>
          <w:color w:val="auto"/>
          <w:highlight w:val="none"/>
        </w:rPr>
      </w:pPr>
      <w:r>
        <w:rPr>
          <w:rFonts w:ascii="Arial" w:hAnsi="Arial" w:eastAsia="宋体" w:cs="Arial"/>
          <w:color w:val="auto"/>
          <w:highlight w:val="none"/>
        </w:rPr>
        <w:t xml:space="preserve">    （2）将成交项目转让给他人，或者在响应文件中未说明，且未经采购人同意，将成交项目分包给他人的；</w:t>
      </w:r>
    </w:p>
    <w:p w14:paraId="02012611">
      <w:pPr>
        <w:spacing w:after="0" w:line="288" w:lineRule="auto"/>
        <w:ind w:firstLine="420" w:firstLineChars="200"/>
        <w:rPr>
          <w:rFonts w:ascii="Arial" w:hAnsi="Arial" w:eastAsia="宋体" w:cs="Arial"/>
          <w:color w:val="auto"/>
          <w:highlight w:val="none"/>
        </w:rPr>
      </w:pPr>
      <w:r>
        <w:rPr>
          <w:rFonts w:ascii="Arial" w:hAnsi="Arial" w:eastAsia="宋体" w:cs="Arial"/>
          <w:color w:val="auto"/>
          <w:highlight w:val="none"/>
        </w:rPr>
        <w:t>（3）拒绝履行合同义务的。</w:t>
      </w:r>
    </w:p>
    <w:p w14:paraId="7BF1785C">
      <w:pPr>
        <w:snapToGrid w:val="0"/>
        <w:spacing w:after="0" w:line="288" w:lineRule="auto"/>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六、其他事项</w:t>
      </w:r>
    </w:p>
    <w:p w14:paraId="37017B6A">
      <w:pPr>
        <w:spacing w:after="0" w:line="288" w:lineRule="auto"/>
        <w:ind w:firstLine="514" w:firstLineChars="245"/>
        <w:rPr>
          <w:rFonts w:ascii="Arial" w:hAnsi="Arial" w:eastAsia="宋体" w:cs="Arial"/>
          <w:b/>
          <w:color w:val="auto"/>
          <w:highlight w:val="none"/>
        </w:rPr>
      </w:pPr>
      <w:r>
        <w:rPr>
          <w:rFonts w:ascii="Arial" w:hAnsi="Arial" w:eastAsia="宋体" w:cs="Arial"/>
          <w:b/>
          <w:color w:val="auto"/>
          <w:highlight w:val="none"/>
        </w:rPr>
        <w:t>30</w:t>
      </w:r>
      <w:r>
        <w:rPr>
          <w:rFonts w:ascii="Arial" w:hAnsi="Arial" w:eastAsia="宋体" w:cs="Arial"/>
          <w:b/>
          <w:color w:val="auto"/>
          <w:szCs w:val="21"/>
          <w:highlight w:val="none"/>
        </w:rPr>
        <w:t xml:space="preserve">. </w:t>
      </w:r>
      <w:r>
        <w:rPr>
          <w:rFonts w:ascii="Arial" w:hAnsi="Arial" w:eastAsia="宋体" w:cs="Arial"/>
          <w:b/>
          <w:color w:val="auto"/>
          <w:highlight w:val="none"/>
        </w:rPr>
        <w:t>采购代理服务费</w:t>
      </w:r>
    </w:p>
    <w:p w14:paraId="7FCC2550">
      <w:pPr>
        <w:spacing w:after="0" w:line="288"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30.1采购代理服务费：以项目的成交金额为计费额，按国家发展计划委员会文件计价格（2002）1980号“国家计委关于印发《招标代理服务收费管理暂行办法》的通知”规定的货物类费率标准（详见本须知第30.2条）采用差额定率累进法计算出收费基准价格，采购代理服务费按收费基准价格下浮60 %收取，由成交供应商在领取成交通知书前，向采购代理机构一次性支付。</w:t>
      </w:r>
    </w:p>
    <w:p w14:paraId="6CF6BE53">
      <w:pPr>
        <w:spacing w:after="0" w:line="288"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30.2采购代理服务费标准：</w:t>
      </w:r>
    </w:p>
    <w:tbl>
      <w:tblPr>
        <w:tblStyle w:val="24"/>
        <w:tblW w:w="6918" w:type="dxa"/>
        <w:jc w:val="center"/>
        <w:tblLayout w:type="fixed"/>
        <w:tblCellMar>
          <w:top w:w="0" w:type="dxa"/>
          <w:left w:w="108" w:type="dxa"/>
          <w:bottom w:w="0" w:type="dxa"/>
          <w:right w:w="108" w:type="dxa"/>
        </w:tblCellMar>
      </w:tblPr>
      <w:tblGrid>
        <w:gridCol w:w="3082"/>
        <w:gridCol w:w="1278"/>
        <w:gridCol w:w="1279"/>
        <w:gridCol w:w="1279"/>
      </w:tblGrid>
      <w:tr w14:paraId="3533810F">
        <w:tblPrEx>
          <w:tblCellMar>
            <w:top w:w="0" w:type="dxa"/>
            <w:left w:w="108" w:type="dxa"/>
            <w:bottom w:w="0" w:type="dxa"/>
            <w:right w:w="108" w:type="dxa"/>
          </w:tblCellMar>
        </w:tblPrEx>
        <w:trPr>
          <w:trHeight w:val="842" w:hRule="atLeast"/>
          <w:jc w:val="center"/>
        </w:trPr>
        <w:tc>
          <w:tcPr>
            <w:tcW w:w="3082"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14:paraId="354C69DB">
            <w:pPr>
              <w:spacing w:line="288" w:lineRule="auto"/>
              <w:rPr>
                <w:rFonts w:ascii="Arial" w:hAnsi="Arial" w:eastAsia="宋体" w:cs="Arial"/>
                <w:color w:val="auto"/>
                <w:highlight w:val="none"/>
              </w:rPr>
            </w:pPr>
            <w:r>
              <w:rPr>
                <w:rFonts w:ascii="Arial" w:hAnsi="Arial" w:eastAsia="宋体" w:cs="Arial"/>
                <w:color w:val="auto"/>
                <w:highlight w:val="none"/>
              </w:rPr>
              <w:t xml:space="preserve">             </w:t>
            </w:r>
            <w:r>
              <w:rPr>
                <w:rFonts w:hint="eastAsia" w:ascii="Arial" w:hAnsi="Arial" w:eastAsia="宋体" w:cs="Arial"/>
                <w:color w:val="auto"/>
                <w:highlight w:val="none"/>
              </w:rPr>
              <w:t xml:space="preserve">  </w:t>
            </w:r>
            <w:r>
              <w:rPr>
                <w:rFonts w:ascii="Arial" w:hAnsi="Arial" w:eastAsia="宋体" w:cs="Arial"/>
                <w:color w:val="auto"/>
                <w:highlight w:val="none"/>
              </w:rPr>
              <w:t>服务类型</w:t>
            </w:r>
          </w:p>
          <w:p w14:paraId="3AD20775">
            <w:pPr>
              <w:spacing w:line="288" w:lineRule="auto"/>
              <w:rPr>
                <w:rFonts w:ascii="Arial" w:hAnsi="Arial" w:eastAsia="宋体" w:cs="Arial"/>
                <w:color w:val="auto"/>
                <w:highlight w:val="none"/>
              </w:rPr>
            </w:pPr>
            <w:r>
              <w:rPr>
                <w:rFonts w:hint="eastAsia" w:ascii="Arial" w:hAnsi="Arial" w:eastAsia="宋体" w:cs="Arial"/>
                <w:color w:val="auto"/>
                <w:highlight w:val="none"/>
              </w:rPr>
              <w:t>成交</w:t>
            </w:r>
            <w:r>
              <w:rPr>
                <w:rFonts w:ascii="Arial" w:hAnsi="Arial" w:eastAsia="宋体" w:cs="Arial"/>
                <w:color w:val="auto"/>
                <w:highlight w:val="none"/>
              </w:rPr>
              <w:t>金额（万元）</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279FB5">
            <w:pPr>
              <w:spacing w:line="288" w:lineRule="auto"/>
              <w:jc w:val="center"/>
              <w:rPr>
                <w:rFonts w:ascii="Arial" w:hAnsi="Arial" w:eastAsia="宋体" w:cs="Arial"/>
                <w:color w:val="auto"/>
                <w:highlight w:val="none"/>
              </w:rPr>
            </w:pPr>
            <w:r>
              <w:rPr>
                <w:rFonts w:ascii="Arial" w:hAnsi="Arial" w:eastAsia="宋体" w:cs="Arial"/>
                <w:color w:val="auto"/>
                <w:highlight w:val="none"/>
              </w:rPr>
              <w:t>货物招标</w:t>
            </w:r>
          </w:p>
        </w:tc>
        <w:tc>
          <w:tcPr>
            <w:tcW w:w="12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148BB44D">
            <w:pPr>
              <w:spacing w:line="288" w:lineRule="auto"/>
              <w:jc w:val="center"/>
              <w:rPr>
                <w:rFonts w:ascii="Arial" w:hAnsi="Arial" w:eastAsia="宋体" w:cs="Arial"/>
                <w:color w:val="auto"/>
                <w:highlight w:val="none"/>
              </w:rPr>
            </w:pPr>
            <w:r>
              <w:rPr>
                <w:rFonts w:ascii="Arial" w:hAnsi="Arial" w:eastAsia="宋体" w:cs="Arial"/>
                <w:color w:val="auto"/>
                <w:highlight w:val="none"/>
              </w:rPr>
              <w:t>服务招标</w:t>
            </w:r>
          </w:p>
        </w:tc>
        <w:tc>
          <w:tcPr>
            <w:tcW w:w="12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0E0D84B3">
            <w:pPr>
              <w:spacing w:line="288" w:lineRule="auto"/>
              <w:jc w:val="center"/>
              <w:rPr>
                <w:rFonts w:ascii="Arial" w:hAnsi="Arial" w:eastAsia="宋体" w:cs="Arial"/>
                <w:color w:val="auto"/>
                <w:highlight w:val="none"/>
              </w:rPr>
            </w:pPr>
            <w:r>
              <w:rPr>
                <w:rFonts w:ascii="Arial" w:hAnsi="Arial" w:eastAsia="宋体" w:cs="Arial"/>
                <w:color w:val="auto"/>
                <w:highlight w:val="none"/>
              </w:rPr>
              <w:t>工程招标</w:t>
            </w:r>
          </w:p>
        </w:tc>
      </w:tr>
      <w:tr w14:paraId="1BF8ADD4">
        <w:tblPrEx>
          <w:tblCellMar>
            <w:top w:w="0" w:type="dxa"/>
            <w:left w:w="108" w:type="dxa"/>
            <w:bottom w:w="0" w:type="dxa"/>
            <w:right w:w="108" w:type="dxa"/>
          </w:tblCellMar>
        </w:tblPrEx>
        <w:trPr>
          <w:trHeight w:val="463" w:hRule="atLeast"/>
          <w:jc w:val="center"/>
        </w:trPr>
        <w:tc>
          <w:tcPr>
            <w:tcW w:w="30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3FAB27">
            <w:pPr>
              <w:spacing w:line="288" w:lineRule="auto"/>
              <w:jc w:val="center"/>
              <w:rPr>
                <w:rFonts w:ascii="Arial" w:hAnsi="Arial" w:eastAsia="宋体" w:cs="Arial"/>
                <w:color w:val="auto"/>
                <w:highlight w:val="none"/>
              </w:rPr>
            </w:pPr>
            <w:r>
              <w:rPr>
                <w:rFonts w:ascii="Arial" w:hAnsi="Arial" w:eastAsia="宋体" w:cs="Arial"/>
                <w:color w:val="auto"/>
                <w:highlight w:val="none"/>
              </w:rPr>
              <w:t>100以下</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AF04AF">
            <w:pPr>
              <w:spacing w:line="288" w:lineRule="auto"/>
              <w:jc w:val="center"/>
              <w:rPr>
                <w:rFonts w:ascii="Arial" w:hAnsi="Arial" w:eastAsia="宋体" w:cs="Arial"/>
                <w:color w:val="auto"/>
                <w:highlight w:val="none"/>
              </w:rPr>
            </w:pPr>
            <w:r>
              <w:rPr>
                <w:rFonts w:ascii="Arial" w:hAnsi="Arial" w:eastAsia="宋体" w:cs="Arial"/>
                <w:color w:val="auto"/>
                <w:highlight w:val="none"/>
              </w:rPr>
              <w:t>1.5％</w:t>
            </w:r>
          </w:p>
        </w:tc>
        <w:tc>
          <w:tcPr>
            <w:tcW w:w="12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B4544C">
            <w:pPr>
              <w:spacing w:line="288" w:lineRule="auto"/>
              <w:jc w:val="center"/>
              <w:rPr>
                <w:rFonts w:ascii="Arial" w:hAnsi="Arial" w:eastAsia="宋体" w:cs="Arial"/>
                <w:color w:val="auto"/>
                <w:highlight w:val="none"/>
              </w:rPr>
            </w:pPr>
            <w:r>
              <w:rPr>
                <w:rFonts w:ascii="Arial" w:hAnsi="Arial" w:eastAsia="宋体" w:cs="Arial"/>
                <w:color w:val="auto"/>
                <w:highlight w:val="none"/>
              </w:rPr>
              <w:t>1.5％</w:t>
            </w:r>
          </w:p>
        </w:tc>
        <w:tc>
          <w:tcPr>
            <w:tcW w:w="12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507A6C">
            <w:pPr>
              <w:spacing w:line="288" w:lineRule="auto"/>
              <w:jc w:val="center"/>
              <w:rPr>
                <w:rFonts w:ascii="Arial" w:hAnsi="Arial" w:eastAsia="宋体" w:cs="Arial"/>
                <w:color w:val="auto"/>
                <w:highlight w:val="none"/>
              </w:rPr>
            </w:pPr>
            <w:r>
              <w:rPr>
                <w:rFonts w:ascii="Arial" w:hAnsi="Arial" w:eastAsia="宋体" w:cs="Arial"/>
                <w:color w:val="auto"/>
                <w:highlight w:val="none"/>
              </w:rPr>
              <w:t>1.0％</w:t>
            </w:r>
          </w:p>
        </w:tc>
      </w:tr>
      <w:tr w14:paraId="7BEE61C3">
        <w:tblPrEx>
          <w:tblCellMar>
            <w:top w:w="0" w:type="dxa"/>
            <w:left w:w="108" w:type="dxa"/>
            <w:bottom w:w="0" w:type="dxa"/>
            <w:right w:w="108" w:type="dxa"/>
          </w:tblCellMar>
        </w:tblPrEx>
        <w:trPr>
          <w:trHeight w:val="463" w:hRule="atLeast"/>
          <w:jc w:val="center"/>
        </w:trPr>
        <w:tc>
          <w:tcPr>
            <w:tcW w:w="30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5243F9">
            <w:pPr>
              <w:spacing w:line="288" w:lineRule="auto"/>
              <w:jc w:val="center"/>
              <w:rPr>
                <w:rFonts w:ascii="Arial" w:hAnsi="Arial" w:eastAsia="宋体" w:cs="Arial"/>
                <w:color w:val="auto"/>
                <w:highlight w:val="none"/>
              </w:rPr>
            </w:pPr>
            <w:r>
              <w:rPr>
                <w:rFonts w:ascii="Arial" w:hAnsi="Arial" w:eastAsia="宋体" w:cs="Arial"/>
                <w:color w:val="auto"/>
                <w:highlight w:val="none"/>
              </w:rPr>
              <w:t>100-500</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C0C4E4">
            <w:pPr>
              <w:spacing w:line="288" w:lineRule="auto"/>
              <w:jc w:val="center"/>
              <w:rPr>
                <w:rFonts w:ascii="Arial" w:hAnsi="Arial" w:eastAsia="宋体" w:cs="Arial"/>
                <w:color w:val="auto"/>
                <w:highlight w:val="none"/>
              </w:rPr>
            </w:pPr>
            <w:r>
              <w:rPr>
                <w:rFonts w:ascii="Arial" w:hAnsi="Arial" w:eastAsia="宋体" w:cs="Arial"/>
                <w:color w:val="auto"/>
                <w:highlight w:val="none"/>
              </w:rPr>
              <w:t>1.1％</w:t>
            </w:r>
          </w:p>
        </w:tc>
        <w:tc>
          <w:tcPr>
            <w:tcW w:w="12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56D09C">
            <w:pPr>
              <w:spacing w:line="288" w:lineRule="auto"/>
              <w:jc w:val="center"/>
              <w:rPr>
                <w:rFonts w:ascii="Arial" w:hAnsi="Arial" w:eastAsia="宋体" w:cs="Arial"/>
                <w:color w:val="auto"/>
                <w:highlight w:val="none"/>
              </w:rPr>
            </w:pPr>
            <w:r>
              <w:rPr>
                <w:rFonts w:ascii="Arial" w:hAnsi="Arial" w:eastAsia="宋体" w:cs="Arial"/>
                <w:color w:val="auto"/>
                <w:highlight w:val="none"/>
              </w:rPr>
              <w:t>0.8％</w:t>
            </w:r>
          </w:p>
        </w:tc>
        <w:tc>
          <w:tcPr>
            <w:tcW w:w="12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A719D">
            <w:pPr>
              <w:spacing w:line="288" w:lineRule="auto"/>
              <w:jc w:val="center"/>
              <w:rPr>
                <w:rFonts w:ascii="Arial" w:hAnsi="Arial" w:eastAsia="宋体" w:cs="Arial"/>
                <w:color w:val="auto"/>
                <w:highlight w:val="none"/>
              </w:rPr>
            </w:pPr>
            <w:r>
              <w:rPr>
                <w:rFonts w:ascii="Arial" w:hAnsi="Arial" w:eastAsia="宋体" w:cs="Arial"/>
                <w:color w:val="auto"/>
                <w:highlight w:val="none"/>
              </w:rPr>
              <w:t>0.7％</w:t>
            </w:r>
          </w:p>
        </w:tc>
      </w:tr>
      <w:tr w14:paraId="39982D23">
        <w:tblPrEx>
          <w:tblCellMar>
            <w:top w:w="0" w:type="dxa"/>
            <w:left w:w="108" w:type="dxa"/>
            <w:bottom w:w="0" w:type="dxa"/>
            <w:right w:w="108" w:type="dxa"/>
          </w:tblCellMar>
        </w:tblPrEx>
        <w:trPr>
          <w:trHeight w:val="463" w:hRule="atLeast"/>
          <w:jc w:val="center"/>
        </w:trPr>
        <w:tc>
          <w:tcPr>
            <w:tcW w:w="30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F43259">
            <w:pPr>
              <w:spacing w:line="288" w:lineRule="auto"/>
              <w:jc w:val="center"/>
              <w:rPr>
                <w:rFonts w:ascii="Arial" w:hAnsi="Arial" w:eastAsia="宋体" w:cs="Arial"/>
                <w:color w:val="auto"/>
                <w:highlight w:val="none"/>
              </w:rPr>
            </w:pPr>
            <w:r>
              <w:rPr>
                <w:rFonts w:ascii="Arial" w:hAnsi="Arial" w:eastAsia="宋体" w:cs="Arial"/>
                <w:color w:val="auto"/>
                <w:highlight w:val="none"/>
              </w:rPr>
              <w:t>500-1000</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FB2986">
            <w:pPr>
              <w:spacing w:line="288" w:lineRule="auto"/>
              <w:jc w:val="center"/>
              <w:rPr>
                <w:rFonts w:ascii="Arial" w:hAnsi="Arial" w:eastAsia="宋体" w:cs="Arial"/>
                <w:color w:val="auto"/>
                <w:highlight w:val="none"/>
              </w:rPr>
            </w:pPr>
            <w:r>
              <w:rPr>
                <w:rFonts w:ascii="Arial" w:hAnsi="Arial" w:eastAsia="宋体" w:cs="Arial"/>
                <w:color w:val="auto"/>
                <w:highlight w:val="none"/>
              </w:rPr>
              <w:t>0.8％</w:t>
            </w:r>
          </w:p>
        </w:tc>
        <w:tc>
          <w:tcPr>
            <w:tcW w:w="12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6D2CE5">
            <w:pPr>
              <w:spacing w:line="288" w:lineRule="auto"/>
              <w:jc w:val="center"/>
              <w:rPr>
                <w:rFonts w:ascii="Arial" w:hAnsi="Arial" w:eastAsia="宋体" w:cs="Arial"/>
                <w:color w:val="auto"/>
                <w:highlight w:val="none"/>
              </w:rPr>
            </w:pPr>
            <w:r>
              <w:rPr>
                <w:rFonts w:ascii="Arial" w:hAnsi="Arial" w:eastAsia="宋体" w:cs="Arial"/>
                <w:color w:val="auto"/>
                <w:highlight w:val="none"/>
              </w:rPr>
              <w:t>0.45％</w:t>
            </w:r>
          </w:p>
        </w:tc>
        <w:tc>
          <w:tcPr>
            <w:tcW w:w="12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27AD13">
            <w:pPr>
              <w:spacing w:line="288" w:lineRule="auto"/>
              <w:jc w:val="center"/>
              <w:rPr>
                <w:rFonts w:ascii="Arial" w:hAnsi="Arial" w:eastAsia="宋体" w:cs="Arial"/>
                <w:color w:val="auto"/>
                <w:highlight w:val="none"/>
              </w:rPr>
            </w:pPr>
            <w:r>
              <w:rPr>
                <w:rFonts w:ascii="Arial" w:hAnsi="Arial" w:eastAsia="宋体" w:cs="Arial"/>
                <w:color w:val="auto"/>
                <w:highlight w:val="none"/>
              </w:rPr>
              <w:t>0.55％</w:t>
            </w:r>
          </w:p>
        </w:tc>
      </w:tr>
      <w:tr w14:paraId="0C926DE6">
        <w:tblPrEx>
          <w:tblCellMar>
            <w:top w:w="0" w:type="dxa"/>
            <w:left w:w="108" w:type="dxa"/>
            <w:bottom w:w="0" w:type="dxa"/>
            <w:right w:w="108" w:type="dxa"/>
          </w:tblCellMar>
        </w:tblPrEx>
        <w:trPr>
          <w:trHeight w:val="471" w:hRule="atLeast"/>
          <w:jc w:val="center"/>
        </w:trPr>
        <w:tc>
          <w:tcPr>
            <w:tcW w:w="30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989B08">
            <w:pPr>
              <w:spacing w:line="288" w:lineRule="auto"/>
              <w:jc w:val="center"/>
              <w:rPr>
                <w:rFonts w:ascii="Arial" w:hAnsi="Arial" w:eastAsia="宋体" w:cs="Arial"/>
                <w:color w:val="auto"/>
                <w:highlight w:val="none"/>
              </w:rPr>
            </w:pPr>
            <w:r>
              <w:rPr>
                <w:rFonts w:ascii="Arial" w:hAnsi="Arial" w:eastAsia="宋体" w:cs="Arial"/>
                <w:color w:val="auto"/>
                <w:highlight w:val="none"/>
              </w:rPr>
              <w:t>1000-5000</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F3E61">
            <w:pPr>
              <w:spacing w:line="288" w:lineRule="auto"/>
              <w:jc w:val="center"/>
              <w:rPr>
                <w:rFonts w:ascii="Arial" w:hAnsi="Arial" w:eastAsia="宋体" w:cs="Arial"/>
                <w:color w:val="auto"/>
                <w:highlight w:val="none"/>
              </w:rPr>
            </w:pPr>
            <w:r>
              <w:rPr>
                <w:rFonts w:ascii="Arial" w:hAnsi="Arial" w:eastAsia="宋体" w:cs="Arial"/>
                <w:color w:val="auto"/>
                <w:highlight w:val="none"/>
              </w:rPr>
              <w:t>0.5％</w:t>
            </w:r>
          </w:p>
        </w:tc>
        <w:tc>
          <w:tcPr>
            <w:tcW w:w="12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E56932">
            <w:pPr>
              <w:spacing w:line="288" w:lineRule="auto"/>
              <w:jc w:val="center"/>
              <w:rPr>
                <w:rFonts w:ascii="Arial" w:hAnsi="Arial" w:eastAsia="宋体" w:cs="Arial"/>
                <w:color w:val="auto"/>
                <w:highlight w:val="none"/>
              </w:rPr>
            </w:pPr>
            <w:r>
              <w:rPr>
                <w:rFonts w:ascii="Arial" w:hAnsi="Arial" w:eastAsia="宋体" w:cs="Arial"/>
                <w:color w:val="auto"/>
                <w:highlight w:val="none"/>
              </w:rPr>
              <w:t>0.25％</w:t>
            </w:r>
          </w:p>
        </w:tc>
        <w:tc>
          <w:tcPr>
            <w:tcW w:w="12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4F07E">
            <w:pPr>
              <w:spacing w:line="288" w:lineRule="auto"/>
              <w:jc w:val="center"/>
              <w:rPr>
                <w:rFonts w:ascii="Arial" w:hAnsi="Arial" w:eastAsia="宋体" w:cs="Arial"/>
                <w:color w:val="auto"/>
                <w:highlight w:val="none"/>
              </w:rPr>
            </w:pPr>
            <w:r>
              <w:rPr>
                <w:rFonts w:ascii="Arial" w:hAnsi="Arial" w:eastAsia="宋体" w:cs="Arial"/>
                <w:color w:val="auto"/>
                <w:highlight w:val="none"/>
              </w:rPr>
              <w:t>0.35％</w:t>
            </w:r>
          </w:p>
        </w:tc>
      </w:tr>
    </w:tbl>
    <w:p w14:paraId="2A0BED3E">
      <w:pPr>
        <w:pStyle w:val="14"/>
        <w:snapToGrid w:val="0"/>
        <w:spacing w:after="0" w:line="288" w:lineRule="auto"/>
        <w:ind w:firstLine="420" w:firstLineChars="200"/>
        <w:rPr>
          <w:rFonts w:ascii="Arial" w:hAnsi="Arial" w:eastAsia="宋体" w:cs="Arial"/>
          <w:b/>
          <w:color w:val="auto"/>
          <w:highlight w:val="none"/>
        </w:rPr>
      </w:pPr>
      <w:r>
        <w:rPr>
          <w:rFonts w:ascii="Arial" w:hAnsi="Arial" w:eastAsia="宋体" w:cs="Arial"/>
          <w:color w:val="auto"/>
          <w:highlight w:val="none"/>
        </w:rPr>
        <w:t>注：代理服务收费按差额定率累进法计算。</w:t>
      </w:r>
    </w:p>
    <w:p w14:paraId="7720B251">
      <w:pPr>
        <w:snapToGrid w:val="0"/>
        <w:spacing w:after="0" w:line="288" w:lineRule="auto"/>
        <w:ind w:firstLine="420" w:firstLineChars="200"/>
        <w:rPr>
          <w:rFonts w:ascii="Arial" w:hAnsi="Arial" w:eastAsia="宋体" w:cs="Arial"/>
          <w:b/>
          <w:color w:val="auto"/>
          <w:highlight w:val="none"/>
        </w:rPr>
      </w:pPr>
      <w:r>
        <w:rPr>
          <w:rFonts w:ascii="Arial" w:hAnsi="Arial" w:eastAsia="宋体" w:cs="Arial"/>
          <w:b/>
          <w:color w:val="auto"/>
          <w:highlight w:val="none"/>
        </w:rPr>
        <w:t>31.采购代理机构银行账户：</w:t>
      </w:r>
    </w:p>
    <w:p w14:paraId="09EEA4E6">
      <w:pPr>
        <w:pStyle w:val="14"/>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公司名称：广西机电设备招标有限公司</w:t>
      </w:r>
    </w:p>
    <w:p w14:paraId="5ADD3E4E">
      <w:pPr>
        <w:pStyle w:val="14"/>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开户银行：广西北部湾银行金湖支行</w:t>
      </w:r>
    </w:p>
    <w:p w14:paraId="0D761B1E">
      <w:pPr>
        <w:pStyle w:val="14"/>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银行账号：1705012090027723</w:t>
      </w:r>
    </w:p>
    <w:p w14:paraId="6B980788">
      <w:pPr>
        <w:pStyle w:val="14"/>
        <w:snapToGrid w:val="0"/>
        <w:spacing w:after="0" w:line="288" w:lineRule="auto"/>
        <w:ind w:left="420" w:leftChars="200"/>
        <w:rPr>
          <w:rFonts w:ascii="Arial" w:hAnsi="Arial" w:eastAsia="宋体" w:cs="Arial"/>
          <w:color w:val="auto"/>
          <w:highlight w:val="none"/>
        </w:rPr>
      </w:pPr>
      <w:r>
        <w:rPr>
          <w:rFonts w:ascii="Arial" w:hAnsi="Arial" w:eastAsia="宋体" w:cs="Arial"/>
          <w:b/>
          <w:color w:val="auto"/>
          <w:highlight w:val="none"/>
        </w:rPr>
        <w:t>32.解释权：</w:t>
      </w:r>
      <w:r>
        <w:rPr>
          <w:rFonts w:ascii="Arial" w:hAnsi="Arial" w:eastAsia="宋体" w:cs="Arial"/>
          <w:color w:val="auto"/>
          <w:highlight w:val="none"/>
        </w:rPr>
        <w:t>本竞争性谈判文件的解释权属于采购代理机构。</w:t>
      </w:r>
    </w:p>
    <w:p w14:paraId="5045410C">
      <w:pPr>
        <w:spacing w:line="288" w:lineRule="auto"/>
        <w:ind w:firstLine="360" w:firstLineChars="150"/>
        <w:rPr>
          <w:rFonts w:ascii="Arial" w:hAnsi="Arial" w:eastAsia="宋体" w:cs="Arial"/>
          <w:color w:val="auto"/>
          <w:kern w:val="0"/>
          <w:sz w:val="24"/>
          <w:highlight w:val="none"/>
        </w:rPr>
      </w:pPr>
    </w:p>
    <w:p w14:paraId="64C7C760">
      <w:pPr>
        <w:spacing w:line="288" w:lineRule="auto"/>
        <w:rPr>
          <w:rFonts w:ascii="Arial" w:hAnsi="Arial" w:eastAsia="宋体" w:cs="Arial"/>
          <w:b/>
          <w:color w:val="auto"/>
          <w:sz w:val="32"/>
          <w:szCs w:val="32"/>
          <w:highlight w:val="none"/>
        </w:rPr>
      </w:pPr>
      <w:r>
        <w:rPr>
          <w:rFonts w:ascii="Arial" w:hAnsi="Arial" w:eastAsia="宋体" w:cs="Arial"/>
          <w:color w:val="auto"/>
          <w:kern w:val="0"/>
          <w:sz w:val="24"/>
          <w:highlight w:val="none"/>
        </w:rPr>
        <w:br w:type="page"/>
      </w:r>
    </w:p>
    <w:p w14:paraId="67D34B99">
      <w:pPr>
        <w:pStyle w:val="2"/>
        <w:spacing w:line="288" w:lineRule="auto"/>
        <w:jc w:val="center"/>
        <w:rPr>
          <w:color w:val="auto"/>
          <w:highlight w:val="none"/>
        </w:rPr>
      </w:pPr>
      <w:bookmarkStart w:id="26" w:name="_Toc6011"/>
      <w:bookmarkStart w:id="27" w:name="_Toc8686"/>
      <w:r>
        <w:rPr>
          <w:color w:val="auto"/>
          <w:highlight w:val="none"/>
        </w:rPr>
        <w:t xml:space="preserve">第三章  </w:t>
      </w:r>
      <w:bookmarkEnd w:id="26"/>
      <w:r>
        <w:rPr>
          <w:color w:val="auto"/>
          <w:highlight w:val="none"/>
        </w:rPr>
        <w:t>项目采购需求</w:t>
      </w:r>
      <w:bookmarkEnd w:id="27"/>
    </w:p>
    <w:p w14:paraId="310A2626">
      <w:pPr>
        <w:widowControl/>
        <w:spacing w:after="0" w:line="288" w:lineRule="auto"/>
        <w:ind w:firstLine="420" w:firstLineChars="200"/>
        <w:jc w:val="left"/>
        <w:rPr>
          <w:rFonts w:ascii="Arial" w:hAnsi="Arial" w:eastAsia="宋体" w:cs="Arial"/>
          <w:b/>
          <w:color w:val="auto"/>
          <w:highlight w:val="none"/>
        </w:rPr>
      </w:pPr>
      <w:bookmarkStart w:id="28" w:name="_Toc23090"/>
      <w:r>
        <w:rPr>
          <w:rFonts w:ascii="Arial" w:hAnsi="Arial" w:eastAsia="宋体" w:cs="Arial"/>
          <w:b/>
          <w:color w:val="auto"/>
          <w:highlight w:val="none"/>
        </w:rPr>
        <w:t>说明：</w:t>
      </w:r>
      <w:r>
        <w:rPr>
          <w:rFonts w:hint="eastAsia" w:ascii="Arial" w:hAnsi="Arial" w:eastAsia="宋体" w:cs="Arial"/>
          <w:b/>
          <w:color w:val="auto"/>
          <w:highlight w:val="none"/>
        </w:rPr>
        <w:t>1.</w:t>
      </w:r>
      <w:r>
        <w:rPr>
          <w:rFonts w:ascii="Arial" w:hAnsi="Arial" w:eastAsia="宋体" w:cs="Arial"/>
          <w:b/>
          <w:color w:val="auto"/>
          <w:highlight w:val="none"/>
        </w:rPr>
        <w:t>“项目采购需求”中所有条款要求及竞争性谈判文件中要求“必须提供”的条款均为实质性要求，如有负偏离或不满足要求则响应被否决。</w:t>
      </w:r>
    </w:p>
    <w:p w14:paraId="08FD41FA">
      <w:pPr>
        <w:widowControl/>
        <w:spacing w:after="0" w:line="288" w:lineRule="auto"/>
        <w:ind w:firstLine="420" w:firstLineChars="200"/>
        <w:jc w:val="left"/>
        <w:rPr>
          <w:rFonts w:ascii="Arial" w:hAnsi="Arial" w:eastAsia="宋体" w:cs="Arial"/>
          <w:b/>
          <w:color w:val="auto"/>
          <w:highlight w:val="none"/>
        </w:rPr>
      </w:pPr>
      <w:r>
        <w:rPr>
          <w:rFonts w:hint="eastAsia" w:ascii="Arial" w:hAnsi="Arial" w:eastAsia="宋体" w:cs="Arial"/>
          <w:b/>
          <w:color w:val="auto"/>
          <w:highlight w:val="none"/>
        </w:rPr>
        <w:t>2.本项目共分为A、B两个分标，供应商可以参与任意一个或多个分标的谈判，但最多只能成为其中一个分标的成交供应商。处理原则如下：本项目按A分标→B分标的先后顺序推荐成交候选供应商，该供应商一旦被推荐为某一分标的第一成交候选供应商，则在其排名第一的后续分标不再推荐为成交候选供应商，其他供应商排名依次自动上升一位。即已成为前面分标第一成交候选供应商的供应商不应参与后续分标的候选排序，并且剩余分标中排除已成为第一成交候选供应商的供应商后，在实质性响应的供应商仍满足三家的情况下，相应分标可以继续评审及推荐成交候选供应商，否则，相应分标废标。</w:t>
      </w:r>
    </w:p>
    <w:p w14:paraId="7F85EC78">
      <w:pPr>
        <w:widowControl/>
        <w:spacing w:after="0" w:line="288" w:lineRule="auto"/>
        <w:ind w:firstLine="640" w:firstLineChars="200"/>
        <w:jc w:val="center"/>
        <w:rPr>
          <w:rFonts w:ascii="Arial" w:hAnsi="Arial" w:eastAsia="宋体" w:cs="Arial"/>
          <w:b/>
          <w:color w:val="auto"/>
          <w:sz w:val="32"/>
          <w:szCs w:val="40"/>
          <w:highlight w:val="none"/>
        </w:rPr>
      </w:pPr>
      <w:r>
        <w:rPr>
          <w:rFonts w:hint="eastAsia" w:ascii="Arial" w:hAnsi="Arial" w:eastAsia="宋体" w:cs="Arial"/>
          <w:b/>
          <w:color w:val="auto"/>
          <w:sz w:val="32"/>
          <w:szCs w:val="40"/>
          <w:highlight w:val="none"/>
        </w:rPr>
        <w:t>A分标</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200"/>
        <w:gridCol w:w="94"/>
        <w:gridCol w:w="570"/>
        <w:gridCol w:w="729"/>
        <w:gridCol w:w="6593"/>
      </w:tblGrid>
      <w:tr w14:paraId="35F6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168E272C">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一、采购标的及技术需求</w:t>
            </w:r>
          </w:p>
        </w:tc>
      </w:tr>
      <w:tr w14:paraId="6753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Align w:val="center"/>
          </w:tcPr>
          <w:p w14:paraId="59C1670B">
            <w:pPr>
              <w:spacing w:after="0" w:line="288" w:lineRule="auto"/>
              <w:jc w:val="center"/>
              <w:rPr>
                <w:rFonts w:ascii="Arial" w:hAnsi="Arial" w:eastAsia="宋体" w:cs="Arial"/>
                <w:b/>
                <w:color w:val="auto"/>
                <w:szCs w:val="21"/>
                <w:highlight w:val="none"/>
              </w:rPr>
            </w:pPr>
            <w:r>
              <w:rPr>
                <w:rFonts w:ascii="Arial" w:hAnsi="Arial" w:eastAsia="宋体" w:cs="Arial"/>
                <w:b/>
                <w:color w:val="auto"/>
                <w:szCs w:val="21"/>
                <w:highlight w:val="none"/>
              </w:rPr>
              <w:t>项号</w:t>
            </w:r>
          </w:p>
        </w:tc>
        <w:tc>
          <w:tcPr>
            <w:tcW w:w="1200" w:type="dxa"/>
            <w:vAlign w:val="center"/>
          </w:tcPr>
          <w:p w14:paraId="04F3FED7">
            <w:pPr>
              <w:spacing w:after="0" w:line="288" w:lineRule="auto"/>
              <w:jc w:val="center"/>
              <w:rPr>
                <w:rFonts w:ascii="Arial" w:hAnsi="Arial" w:eastAsia="宋体" w:cs="Arial"/>
                <w:b/>
                <w:color w:val="auto"/>
                <w:szCs w:val="21"/>
                <w:highlight w:val="none"/>
              </w:rPr>
            </w:pPr>
            <w:r>
              <w:rPr>
                <w:rFonts w:ascii="Arial" w:hAnsi="Arial" w:eastAsia="宋体" w:cs="Arial"/>
                <w:b/>
                <w:color w:val="auto"/>
                <w:szCs w:val="21"/>
                <w:highlight w:val="none"/>
              </w:rPr>
              <w:t>标的名称</w:t>
            </w:r>
          </w:p>
        </w:tc>
        <w:tc>
          <w:tcPr>
            <w:tcW w:w="664" w:type="dxa"/>
            <w:gridSpan w:val="2"/>
            <w:vAlign w:val="center"/>
          </w:tcPr>
          <w:p w14:paraId="7ADE6A26">
            <w:pPr>
              <w:spacing w:after="0" w:line="288" w:lineRule="auto"/>
              <w:jc w:val="center"/>
              <w:rPr>
                <w:rFonts w:ascii="Arial" w:hAnsi="Arial" w:eastAsia="宋体" w:cs="Arial"/>
                <w:b/>
                <w:color w:val="auto"/>
                <w:szCs w:val="21"/>
                <w:highlight w:val="none"/>
              </w:rPr>
            </w:pPr>
            <w:r>
              <w:rPr>
                <w:rFonts w:ascii="Arial" w:hAnsi="Arial" w:eastAsia="宋体" w:cs="Arial"/>
                <w:b/>
                <w:color w:val="auto"/>
                <w:szCs w:val="21"/>
                <w:highlight w:val="none"/>
              </w:rPr>
              <w:t>数量</w:t>
            </w:r>
          </w:p>
        </w:tc>
        <w:tc>
          <w:tcPr>
            <w:tcW w:w="729" w:type="dxa"/>
            <w:vAlign w:val="center"/>
          </w:tcPr>
          <w:p w14:paraId="2DDC1C29">
            <w:pPr>
              <w:spacing w:after="0" w:line="288" w:lineRule="auto"/>
              <w:jc w:val="center"/>
              <w:rPr>
                <w:rFonts w:ascii="Arial" w:hAnsi="Arial" w:eastAsia="宋体" w:cs="Arial"/>
                <w:b/>
                <w:color w:val="auto"/>
                <w:szCs w:val="21"/>
                <w:highlight w:val="none"/>
              </w:rPr>
            </w:pPr>
            <w:r>
              <w:rPr>
                <w:rFonts w:ascii="Arial" w:hAnsi="Arial" w:eastAsia="宋体" w:cs="Arial"/>
                <w:b/>
                <w:color w:val="auto"/>
                <w:szCs w:val="21"/>
                <w:highlight w:val="none"/>
              </w:rPr>
              <w:t>计量单位</w:t>
            </w:r>
          </w:p>
        </w:tc>
        <w:tc>
          <w:tcPr>
            <w:tcW w:w="6593" w:type="dxa"/>
            <w:vAlign w:val="center"/>
          </w:tcPr>
          <w:p w14:paraId="2FD3F371">
            <w:pPr>
              <w:adjustRightInd w:val="0"/>
              <w:snapToGrid w:val="0"/>
              <w:spacing w:after="0" w:line="288" w:lineRule="auto"/>
              <w:jc w:val="center"/>
              <w:rPr>
                <w:rFonts w:ascii="Arial" w:hAnsi="Arial" w:eastAsia="宋体" w:cs="Arial"/>
                <w:b/>
                <w:color w:val="auto"/>
                <w:szCs w:val="21"/>
                <w:highlight w:val="none"/>
              </w:rPr>
            </w:pPr>
            <w:r>
              <w:rPr>
                <w:rFonts w:ascii="Arial" w:hAnsi="Arial" w:eastAsia="宋体" w:cs="Arial"/>
                <w:b/>
                <w:color w:val="auto"/>
                <w:szCs w:val="21"/>
                <w:highlight w:val="none"/>
              </w:rPr>
              <w:t>项目要求及技术需求</w:t>
            </w:r>
          </w:p>
        </w:tc>
      </w:tr>
      <w:tr w14:paraId="091C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Align w:val="center"/>
          </w:tcPr>
          <w:p w14:paraId="05CE5E44">
            <w:pPr>
              <w:adjustRightInd w:val="0"/>
              <w:snapToGrid w:val="0"/>
              <w:spacing w:after="0" w:line="288" w:lineRule="auto"/>
              <w:jc w:val="center"/>
              <w:rPr>
                <w:rFonts w:ascii="Arial" w:hAnsi="Arial" w:eastAsia="宋体" w:cs="Arial"/>
                <w:color w:val="auto"/>
                <w:szCs w:val="21"/>
                <w:highlight w:val="none"/>
              </w:rPr>
            </w:pPr>
            <w:r>
              <w:rPr>
                <w:rFonts w:ascii="Arial" w:hAnsi="Arial" w:eastAsia="宋体" w:cs="Arial"/>
                <w:color w:val="auto"/>
                <w:highlight w:val="none"/>
              </w:rPr>
              <w:t>1</w:t>
            </w:r>
          </w:p>
        </w:tc>
        <w:tc>
          <w:tcPr>
            <w:tcW w:w="1200" w:type="dxa"/>
            <w:vAlign w:val="center"/>
          </w:tcPr>
          <w:p w14:paraId="45721BEB">
            <w:pPr>
              <w:adjustRightInd w:val="0"/>
              <w:snapToGrid w:val="0"/>
              <w:spacing w:after="0" w:line="288" w:lineRule="auto"/>
              <w:jc w:val="center"/>
              <w:rPr>
                <w:rFonts w:ascii="Arial" w:hAnsi="Arial" w:eastAsia="宋体" w:cs="Arial"/>
                <w:color w:val="auto"/>
                <w:szCs w:val="21"/>
                <w:highlight w:val="none"/>
              </w:rPr>
            </w:pPr>
            <w:r>
              <w:rPr>
                <w:rFonts w:ascii="Arial" w:hAnsi="Arial" w:eastAsia="宋体" w:cs="Arial"/>
                <w:color w:val="auto"/>
                <w:highlight w:val="none"/>
              </w:rPr>
              <w:t>《公路工程设计BIM系统》2024高校版</w:t>
            </w:r>
          </w:p>
        </w:tc>
        <w:tc>
          <w:tcPr>
            <w:tcW w:w="664" w:type="dxa"/>
            <w:gridSpan w:val="2"/>
            <w:vAlign w:val="center"/>
          </w:tcPr>
          <w:p w14:paraId="4F3DE2AE">
            <w:pPr>
              <w:adjustRightInd w:val="0"/>
              <w:snapToGrid w:val="0"/>
              <w:spacing w:after="0" w:line="288" w:lineRule="auto"/>
              <w:jc w:val="center"/>
              <w:rPr>
                <w:rFonts w:ascii="Arial" w:hAnsi="Arial" w:eastAsia="宋体" w:cs="Arial"/>
                <w:color w:val="auto"/>
                <w:szCs w:val="21"/>
                <w:highlight w:val="none"/>
              </w:rPr>
            </w:pPr>
            <w:r>
              <w:rPr>
                <w:rFonts w:ascii="Arial" w:hAnsi="Arial" w:eastAsia="宋体" w:cs="Arial"/>
                <w:color w:val="auto"/>
                <w:highlight w:val="none"/>
              </w:rPr>
              <w:t>1</w:t>
            </w:r>
          </w:p>
        </w:tc>
        <w:tc>
          <w:tcPr>
            <w:tcW w:w="729" w:type="dxa"/>
            <w:vAlign w:val="center"/>
          </w:tcPr>
          <w:p w14:paraId="40F32F89">
            <w:pPr>
              <w:adjustRightInd w:val="0"/>
              <w:snapToGrid w:val="0"/>
              <w:spacing w:after="0" w:line="288" w:lineRule="auto"/>
              <w:jc w:val="center"/>
              <w:rPr>
                <w:rFonts w:ascii="Arial" w:hAnsi="Arial" w:eastAsia="宋体" w:cs="Arial"/>
                <w:color w:val="auto"/>
                <w:szCs w:val="21"/>
                <w:highlight w:val="none"/>
              </w:rPr>
            </w:pPr>
            <w:r>
              <w:rPr>
                <w:rFonts w:ascii="Arial" w:hAnsi="Arial" w:eastAsia="宋体" w:cs="Arial"/>
                <w:color w:val="auto"/>
                <w:highlight w:val="none"/>
              </w:rPr>
              <w:t>套</w:t>
            </w:r>
          </w:p>
        </w:tc>
        <w:tc>
          <w:tcPr>
            <w:tcW w:w="6593" w:type="dxa"/>
          </w:tcPr>
          <w:p w14:paraId="07512E71">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一套公路BIM系统2024(5公里以内)，</w:t>
            </w:r>
            <w:r>
              <w:rPr>
                <w:rFonts w:ascii="Arial" w:hAnsi="Arial" w:eastAsia="宋体" w:cs="Arial"/>
                <w:color w:val="auto"/>
                <w:highlight w:val="none"/>
              </w:rPr>
              <w:t>至少</w:t>
            </w:r>
            <w:r>
              <w:rPr>
                <w:rFonts w:ascii="Arial" w:hAnsi="Arial" w:eastAsia="宋体" w:cs="Arial"/>
                <w:color w:val="auto"/>
                <w:highlight w:val="none"/>
              </w:rPr>
              <w:t>包含50个节点，每个节点均</w:t>
            </w:r>
            <w:r>
              <w:rPr>
                <w:rFonts w:ascii="Arial" w:hAnsi="Arial" w:eastAsia="宋体" w:cs="Arial"/>
                <w:color w:val="auto"/>
                <w:highlight w:val="none"/>
              </w:rPr>
              <w:t>至少</w:t>
            </w:r>
            <w:r>
              <w:rPr>
                <w:rFonts w:ascii="Arial" w:hAnsi="Arial" w:eastAsia="宋体" w:cs="Arial"/>
                <w:color w:val="auto"/>
                <w:highlight w:val="none"/>
              </w:rPr>
              <w:t>包含以下系统模块：</w:t>
            </w:r>
          </w:p>
          <w:p w14:paraId="737857E0">
            <w:pPr>
              <w:adjustRightInd w:val="0"/>
              <w:snapToGrid w:val="0"/>
              <w:spacing w:after="0" w:line="288" w:lineRule="auto"/>
              <w:rPr>
                <w:rFonts w:ascii="Arial" w:hAnsi="Arial" w:eastAsia="宋体" w:cs="Arial"/>
                <w:b/>
                <w:color w:val="auto"/>
                <w:highlight w:val="none"/>
              </w:rPr>
            </w:pPr>
            <w:r>
              <w:rPr>
                <w:rFonts w:ascii="Arial" w:hAnsi="Arial" w:eastAsia="宋体" w:cs="Arial"/>
                <w:b/>
                <w:color w:val="auto"/>
                <w:highlight w:val="none"/>
              </w:rPr>
              <w:t>1.总体子系统：</w:t>
            </w:r>
          </w:p>
          <w:p w14:paraId="544F8D62">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总体设计子系统可以完成总体路线专业从方案研究到施工图设计的总体设计工作。</w:t>
            </w:r>
          </w:p>
          <w:p w14:paraId="1237C28B">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1) 总体设计子系统基于BIM正向设计技术，从设计构思到方案拟定，达到设计全过程三维可视化，通过地形图建立的数模比较直观立体，再导入地面影像文件，可在设计时观察到实景环境和设计模型，查看方案合理性并及时修改。</w:t>
            </w:r>
          </w:p>
          <w:p w14:paraId="074C0EE6">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2)支持dwg、tin、tif、倾斜摄影、点云las文件和实测纵横地面线、地质资料、水文资料、影像资料导入，快速建立地面数据模型。</w:t>
            </w:r>
          </w:p>
          <w:p w14:paraId="33E49734">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3)支持EICAD、纬地、CARD/1、鸿业、DICAD、理正、海地、路线专家等设计软件的设计数据文件的导入；</w:t>
            </w:r>
          </w:p>
          <w:p w14:paraId="7D53CCFC">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4)路线设计支持导线法、线元法、积木法，并可在设计过程中互相转换；</w:t>
            </w:r>
          </w:p>
          <w:p w14:paraId="6BF32A9F">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5)互通立交设计:匝道分合流自动计算偏移值并生成线位；匝道自动接坡，附加路拱自动设计；端部自动匹配参数，宽度自动设计，路基边坡相交自动处理；一键布设变速车道，自动生成鼻端，加减速车道和端部等设计完成后软件自动生成模型。</w:t>
            </w:r>
          </w:p>
          <w:p w14:paraId="6514D037">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6)平交一键设计，自动设置特征点高程值，自动建模。</w:t>
            </w:r>
          </w:p>
          <w:p w14:paraId="5E4F413D">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7)纵断面设计具有区间观察功能，查询指定段落内填挖极值、平均纵坡等信息。</w:t>
            </w:r>
          </w:p>
          <w:p w14:paraId="5BD126EA">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8)横断面设计可运用可编辑的模板库及构造物布设原则实现一键建模。</w:t>
            </w:r>
          </w:p>
          <w:p w14:paraId="69F14F06">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9)设计过程中可三维漫游可对确定好的路线方案进行总体浏览。</w:t>
            </w:r>
          </w:p>
          <w:p w14:paraId="2B3015C7">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10）在成果输出方面，可导出osgb、3ds、fbx等多种格式的三维模型，也可导出纬地、EIcad设计数据；二维图纸方面可以一键出图，自动汇总成册，输出CAD和PDF两种格式。</w:t>
            </w:r>
          </w:p>
          <w:p w14:paraId="583D1F7A">
            <w:pPr>
              <w:adjustRightInd w:val="0"/>
              <w:snapToGrid w:val="0"/>
              <w:spacing w:after="0" w:line="288" w:lineRule="auto"/>
              <w:rPr>
                <w:rFonts w:ascii="Arial" w:hAnsi="Arial" w:eastAsia="宋体" w:cs="Arial"/>
                <w:color w:val="auto"/>
                <w:highlight w:val="none"/>
              </w:rPr>
            </w:pPr>
            <w:r>
              <w:rPr>
                <w:rFonts w:ascii="Arial" w:hAnsi="Arial" w:eastAsia="宋体" w:cs="Arial"/>
                <w:b/>
                <w:color w:val="auto"/>
                <w:highlight w:val="none"/>
              </w:rPr>
              <w:t>2.路基子系统：</w:t>
            </w:r>
            <w:r>
              <w:rPr>
                <w:rFonts w:ascii="Arial" w:hAnsi="Arial" w:eastAsia="宋体" w:cs="Arial"/>
                <w:color w:val="auto"/>
                <w:highlight w:val="none"/>
              </w:rPr>
              <w:t xml:space="preserve"> </w:t>
            </w:r>
          </w:p>
          <w:p w14:paraId="1E4A5C4B">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1)专业内容包括路基、路面、防护、支挡、排水、弃土场、土方调配等设计模块。</w:t>
            </w:r>
          </w:p>
          <w:p w14:paraId="3CBF42DA">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 xml:space="preserve">2)快速出路基方案，根据地模信息自动卡出相应段落，并应用相应的标准库，快速自动生成初始方案，边坡、挡墙、排水等构造物，可批量参数化修改，也可针对特殊的部位进行单独构造物修改设计； </w:t>
            </w:r>
          </w:p>
          <w:p w14:paraId="45886817">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3)可灵活对项目进行拆分合并，实现多人并行设计。</w:t>
            </w:r>
          </w:p>
          <w:p w14:paraId="092E4A7B">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4)挡土墙设计，程序根据地形、挡墙经验库、墙高控制参数等，自动布设挡墙，自动分台阶；支持挖方上挡墙图纸绘制；布设的挡墙自动绘制到横断面图中；支持挡墙布设桩基础；</w:t>
            </w:r>
          </w:p>
          <w:p w14:paraId="081EEEFE">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5)土石方调配，支持单线、跨线调配；支持清表土和路床土单独调配；支持导出土方TF数据。</w:t>
            </w:r>
          </w:p>
          <w:p w14:paraId="7C36B4CE">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6)取弃土场设计，在三维模型上直接选取位置，自动生成土方容量、支挡、排水等水保方案，一次性生成弃土场平、纵、横图纸及挡墙细部图纸。</w:t>
            </w:r>
          </w:p>
          <w:p w14:paraId="6B481F35">
            <w:pPr>
              <w:adjustRightInd w:val="0"/>
              <w:snapToGrid w:val="0"/>
              <w:spacing w:after="0" w:line="288" w:lineRule="auto"/>
              <w:rPr>
                <w:rFonts w:ascii="Arial" w:hAnsi="Arial" w:eastAsia="宋体" w:cs="Arial"/>
                <w:b/>
                <w:color w:val="auto"/>
                <w:highlight w:val="none"/>
              </w:rPr>
            </w:pPr>
            <w:r>
              <w:rPr>
                <w:rFonts w:ascii="Arial" w:hAnsi="Arial" w:eastAsia="宋体" w:cs="Arial"/>
                <w:b/>
                <w:color w:val="auto"/>
                <w:highlight w:val="none"/>
              </w:rPr>
              <w:t>3、涵洞子系统</w:t>
            </w:r>
          </w:p>
          <w:p w14:paraId="2A3A6078">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1)能够独立完成涵洞设计以及显示三维模型，能够根据纵断面数据预设原则进行一键布涵，一键生成涵洞设置表，可计算涵洞水文及生成水文计算表。</w:t>
            </w:r>
          </w:p>
          <w:p w14:paraId="1B49C761">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2)方案布设灵活多样。支持自动布设涵洞；支持划线设涵、定点设涵、涵洞表批量设涵；支持通过excel表、dwg文件导入涵洞；</w:t>
            </w:r>
          </w:p>
          <w:p w14:paraId="5823CBFE">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3)能够三维可视化完成拼宽路基、交叉口加宽断面路基、分离式路基整体式涵洞设计。支持批量旧涵接长设计，新旧涵洞可区分颜色显示；</w:t>
            </w:r>
          </w:p>
          <w:p w14:paraId="7D885EA0">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4)可生成涵洞一览表、数量表及一般布置图；可生成PDF和DWG两种文件格式，自动汇总成册。</w:t>
            </w:r>
          </w:p>
          <w:p w14:paraId="2A3C78E4">
            <w:pPr>
              <w:adjustRightInd w:val="0"/>
              <w:snapToGrid w:val="0"/>
              <w:spacing w:after="0" w:line="288" w:lineRule="auto"/>
              <w:rPr>
                <w:rFonts w:ascii="Arial" w:hAnsi="Arial" w:eastAsia="宋体" w:cs="Arial"/>
                <w:b/>
                <w:color w:val="auto"/>
                <w:highlight w:val="none"/>
              </w:rPr>
            </w:pPr>
            <w:r>
              <w:rPr>
                <w:rFonts w:ascii="Arial" w:hAnsi="Arial" w:eastAsia="宋体" w:cs="Arial"/>
                <w:b/>
                <w:color w:val="auto"/>
                <w:highlight w:val="none"/>
              </w:rPr>
              <w:t>4、隧道子系统</w:t>
            </w:r>
          </w:p>
          <w:p w14:paraId="745FADF9">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可通过三维可视的设计环境，实现快速的横-纵向设计、直观的洞口段设计、自动的三维建模、精确的延米模型。支持多种常规隧道类型。自动统计工程量，一键导出三维模型、二维图表。</w:t>
            </w:r>
          </w:p>
          <w:p w14:paraId="68962BCA">
            <w:pPr>
              <w:adjustRightInd w:val="0"/>
              <w:snapToGrid w:val="0"/>
              <w:spacing w:after="0" w:line="288" w:lineRule="auto"/>
              <w:rPr>
                <w:rFonts w:ascii="Arial" w:hAnsi="Arial" w:eastAsia="宋体" w:cs="Arial"/>
                <w:b/>
                <w:color w:val="auto"/>
                <w:highlight w:val="none"/>
              </w:rPr>
            </w:pPr>
            <w:r>
              <w:rPr>
                <w:rFonts w:ascii="Arial" w:hAnsi="Arial" w:eastAsia="宋体" w:cs="Arial"/>
                <w:b/>
                <w:color w:val="auto"/>
                <w:highlight w:val="none"/>
              </w:rPr>
              <w:t>5、交安子系统</w:t>
            </w:r>
          </w:p>
          <w:p w14:paraId="18722947">
            <w:pPr>
              <w:adjustRightInd w:val="0"/>
              <w:snapToGrid w:val="0"/>
              <w:spacing w:after="0" w:line="288" w:lineRule="auto"/>
              <w:rPr>
                <w:rFonts w:ascii="Arial" w:hAnsi="Arial" w:eastAsia="宋体" w:cs="Arial"/>
                <w:color w:val="auto"/>
                <w:highlight w:val="none"/>
              </w:rPr>
            </w:pPr>
            <w:r>
              <w:rPr>
                <w:rFonts w:ascii="Arial" w:hAnsi="Arial" w:eastAsia="宋体" w:cs="Arial"/>
                <w:color w:val="auto"/>
                <w:highlight w:val="none"/>
              </w:rPr>
              <w:t>公路交通安全设施设计内容包括：护栏、交通标线、交通标志及其他安全设施。可通过经验库，</w:t>
            </w:r>
            <w:r>
              <w:rPr>
                <w:rFonts w:ascii="Arial" w:hAnsi="Arial" w:eastAsia="宋体" w:cs="Arial"/>
                <w:color w:val="auto"/>
                <w:highlight w:val="none"/>
              </w:rPr>
              <w:t>可实现</w:t>
            </w:r>
            <w:r>
              <w:rPr>
                <w:rFonts w:ascii="Arial" w:hAnsi="Arial" w:eastAsia="宋体" w:cs="Arial"/>
                <w:color w:val="auto"/>
                <w:highlight w:val="none"/>
              </w:rPr>
              <w:t>自动化、智能化设计；支持特殊段交互设计，支持标志自定义设计；护栏支持多种过渡段及端部设计，同时支持隧道口、匝道三角端、防撞垫设计；支持添加围挡、水马、路栏、警示灯具等，进行施工段保通方案设计。支持一键出图、自动汇总成册。工程量自动统计；标志标牌布置图</w:t>
            </w:r>
            <w:r>
              <w:rPr>
                <w:rFonts w:ascii="Arial" w:hAnsi="Arial" w:eastAsia="宋体" w:cs="Arial"/>
                <w:color w:val="auto"/>
                <w:highlight w:val="none"/>
              </w:rPr>
              <w:t>可实现</w:t>
            </w:r>
            <w:r>
              <w:rPr>
                <w:rFonts w:ascii="Arial" w:hAnsi="Arial" w:eastAsia="宋体" w:cs="Arial"/>
                <w:color w:val="auto"/>
                <w:highlight w:val="none"/>
              </w:rPr>
              <w:t>跟随路线变化智能调整，支持输出三维模型。</w:t>
            </w:r>
          </w:p>
          <w:p w14:paraId="45D5183C">
            <w:pPr>
              <w:adjustRightInd w:val="0"/>
              <w:snapToGrid w:val="0"/>
              <w:spacing w:after="0" w:line="288" w:lineRule="auto"/>
              <w:rPr>
                <w:rFonts w:ascii="Arial" w:hAnsi="Arial" w:eastAsia="宋体" w:cs="Arial"/>
                <w:b/>
                <w:color w:val="auto"/>
                <w:highlight w:val="none"/>
              </w:rPr>
            </w:pPr>
            <w:r>
              <w:rPr>
                <w:rFonts w:ascii="Arial" w:hAnsi="Arial" w:eastAsia="宋体" w:cs="Arial"/>
                <w:b/>
                <w:color w:val="auto"/>
                <w:highlight w:val="none"/>
              </w:rPr>
              <w:t>6、沙盘子系统</w:t>
            </w:r>
          </w:p>
          <w:p w14:paraId="65AA0026">
            <w:pPr>
              <w:adjustRightInd w:val="0"/>
              <w:snapToGrid w:val="0"/>
              <w:spacing w:after="0" w:line="288" w:lineRule="auto"/>
              <w:rPr>
                <w:rFonts w:ascii="Arial" w:hAnsi="Arial" w:eastAsia="宋体" w:cs="Arial"/>
                <w:color w:val="auto"/>
                <w:szCs w:val="21"/>
                <w:highlight w:val="none"/>
              </w:rPr>
            </w:pPr>
            <w:r>
              <w:rPr>
                <w:rFonts w:ascii="Arial" w:hAnsi="Arial" w:eastAsia="宋体" w:cs="Arial"/>
                <w:color w:val="auto"/>
                <w:highlight w:val="none"/>
              </w:rPr>
              <w:t>电子沙盘子系统可以集成其他子系统的成果，供设计团队共享、沟通；支持模型的编辑和整体导出，可导出整个项目的三维模型文件，支持OSGB、FBX、3DS、OSG、OSGT、IVE、OBJ等格式；可以导出部分专业的IFC文件。</w:t>
            </w:r>
          </w:p>
        </w:tc>
      </w:tr>
      <w:tr w14:paraId="693C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4" w:type="dxa"/>
            <w:gridSpan w:val="6"/>
            <w:vAlign w:val="center"/>
          </w:tcPr>
          <w:p w14:paraId="12D9166E">
            <w:pPr>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预算金额(元)：本项目采购预算为</w:t>
            </w:r>
            <w:r>
              <w:rPr>
                <w:rFonts w:hint="eastAsia" w:ascii="Arial" w:hAnsi="Arial" w:eastAsia="宋体" w:cs="Arial"/>
                <w:b/>
                <w:color w:val="auto"/>
                <w:szCs w:val="21"/>
                <w:highlight w:val="none"/>
              </w:rPr>
              <w:t>：人民币叁拾捌万</w:t>
            </w:r>
            <w:r>
              <w:rPr>
                <w:rFonts w:ascii="Arial" w:hAnsi="Arial" w:eastAsia="宋体" w:cs="Arial"/>
                <w:b/>
                <w:color w:val="auto"/>
                <w:szCs w:val="21"/>
                <w:highlight w:val="none"/>
              </w:rPr>
              <w:t>元整(¥</w:t>
            </w:r>
            <w:r>
              <w:rPr>
                <w:rFonts w:hint="eastAsia" w:ascii="Arial" w:hAnsi="Arial" w:eastAsia="宋体" w:cs="Arial"/>
                <w:b/>
                <w:color w:val="auto"/>
                <w:szCs w:val="21"/>
                <w:highlight w:val="none"/>
              </w:rPr>
              <w:t>380000</w:t>
            </w:r>
            <w:r>
              <w:rPr>
                <w:rFonts w:ascii="Arial" w:hAnsi="Arial" w:eastAsia="宋体" w:cs="Arial"/>
                <w:b/>
                <w:color w:val="auto"/>
                <w:szCs w:val="21"/>
                <w:highlight w:val="none"/>
              </w:rPr>
              <w:t>.00)，响应报价超采购预算的，作响应无效处理。</w:t>
            </w:r>
          </w:p>
        </w:tc>
      </w:tr>
      <w:tr w14:paraId="4EDF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3796A7FA">
            <w:pPr>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二、核心产品：为第</w:t>
            </w:r>
            <w:r>
              <w:rPr>
                <w:rFonts w:ascii="Arial" w:hAnsi="Arial" w:eastAsia="宋体" w:cs="Arial"/>
                <w:b/>
                <w:color w:val="auto"/>
                <w:szCs w:val="21"/>
                <w:highlight w:val="none"/>
                <w:u w:val="single"/>
              </w:rPr>
              <w:t xml:space="preserve"> </w:t>
            </w:r>
            <w:r>
              <w:rPr>
                <w:rFonts w:hint="eastAsia" w:ascii="Arial" w:hAnsi="Arial" w:eastAsia="宋体" w:cs="Arial"/>
                <w:b/>
                <w:color w:val="auto"/>
                <w:szCs w:val="21"/>
                <w:highlight w:val="none"/>
                <w:u w:val="single"/>
              </w:rPr>
              <w:t>1</w:t>
            </w:r>
            <w:r>
              <w:rPr>
                <w:rFonts w:ascii="Arial" w:hAnsi="Arial" w:eastAsia="宋体" w:cs="Arial"/>
                <w:b/>
                <w:color w:val="auto"/>
                <w:szCs w:val="21"/>
                <w:highlight w:val="none"/>
                <w:u w:val="single"/>
              </w:rPr>
              <w:t xml:space="preserve"> </w:t>
            </w:r>
            <w:r>
              <w:rPr>
                <w:rFonts w:ascii="Arial" w:hAnsi="Arial" w:eastAsia="宋体" w:cs="Arial"/>
                <w:b/>
                <w:color w:val="auto"/>
                <w:szCs w:val="21"/>
                <w:highlight w:val="none"/>
              </w:rPr>
              <w:t>项号标的</w:t>
            </w:r>
            <w:r>
              <w:rPr>
                <w:rFonts w:ascii="Arial" w:hAnsi="Arial" w:eastAsia="宋体" w:cs="Arial"/>
                <w:b/>
                <w:color w:val="auto"/>
                <w:szCs w:val="21"/>
                <w:highlight w:val="none"/>
                <w:u w:val="single"/>
              </w:rPr>
              <w:t>“</w:t>
            </w:r>
            <w:r>
              <w:rPr>
                <w:rFonts w:hint="eastAsia" w:ascii="Arial" w:hAnsi="Arial" w:eastAsia="宋体" w:cs="Arial"/>
                <w:b/>
                <w:color w:val="auto"/>
                <w:szCs w:val="21"/>
                <w:highlight w:val="none"/>
                <w:u w:val="single"/>
              </w:rPr>
              <w:t>《公路工程设计BIM系统》高校版</w:t>
            </w:r>
            <w:r>
              <w:rPr>
                <w:rFonts w:ascii="Arial" w:hAnsi="Arial" w:eastAsia="宋体" w:cs="Arial"/>
                <w:b/>
                <w:color w:val="auto"/>
                <w:szCs w:val="21"/>
                <w:highlight w:val="none"/>
                <w:u w:val="single"/>
              </w:rPr>
              <w:t>”</w:t>
            </w:r>
            <w:r>
              <w:rPr>
                <w:rFonts w:ascii="Arial" w:hAnsi="Arial" w:eastAsia="宋体" w:cs="Arial"/>
                <w:b/>
                <w:color w:val="auto"/>
                <w:szCs w:val="21"/>
                <w:highlight w:val="none"/>
              </w:rPr>
              <w:t>。</w:t>
            </w:r>
          </w:p>
        </w:tc>
      </w:tr>
      <w:tr w14:paraId="7BF9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357EC546">
            <w:pPr>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三、商务要求</w:t>
            </w:r>
          </w:p>
        </w:tc>
      </w:tr>
      <w:tr w14:paraId="6077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0E08A110">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（一）免费保修期</w:t>
            </w:r>
          </w:p>
        </w:tc>
        <w:tc>
          <w:tcPr>
            <w:tcW w:w="7986" w:type="dxa"/>
            <w:gridSpan w:val="4"/>
          </w:tcPr>
          <w:p w14:paraId="426CD036">
            <w:pPr>
              <w:spacing w:after="0" w:line="288" w:lineRule="auto"/>
              <w:rPr>
                <w:rFonts w:ascii="Arial" w:hAnsi="Arial" w:eastAsia="宋体" w:cs="Arial"/>
                <w:color w:val="auto"/>
                <w:szCs w:val="21"/>
                <w:highlight w:val="none"/>
              </w:rPr>
            </w:pPr>
            <w:r>
              <w:rPr>
                <w:rFonts w:hint="eastAsia" w:ascii="Arial" w:hAnsi="Arial" w:eastAsia="宋体" w:cs="Arial"/>
                <w:color w:val="auto"/>
                <w:szCs w:val="21"/>
                <w:highlight w:val="none"/>
              </w:rPr>
              <w:t>1．免费保修期：按国家有关产品“三包”规定执行“三包”，免费保修期最短不得少于</w:t>
            </w:r>
            <w:r>
              <w:rPr>
                <w:rFonts w:hint="eastAsia" w:ascii="Arial" w:hAnsi="Arial" w:eastAsia="宋体" w:cs="Arial"/>
                <w:color w:val="auto"/>
                <w:szCs w:val="21"/>
                <w:highlight w:val="none"/>
                <w:u w:val="single"/>
              </w:rPr>
              <w:t xml:space="preserve"> </w:t>
            </w:r>
            <w:r>
              <w:rPr>
                <w:rFonts w:hint="eastAsia" w:ascii="Arial" w:hAnsi="Arial" w:eastAsia="宋体" w:cs="Arial"/>
                <w:b/>
                <w:bCs/>
                <w:color w:val="auto"/>
                <w:szCs w:val="21"/>
                <w:highlight w:val="none"/>
                <w:u w:val="single"/>
              </w:rPr>
              <w:t xml:space="preserve"> 3 </w:t>
            </w:r>
            <w:r>
              <w:rPr>
                <w:rFonts w:hint="eastAsia" w:ascii="Arial" w:hAnsi="Arial" w:eastAsia="宋体" w:cs="Arial"/>
                <w:color w:val="auto"/>
                <w:szCs w:val="21"/>
                <w:highlight w:val="none"/>
                <w:u w:val="single"/>
              </w:rPr>
              <w:t xml:space="preserve"> </w:t>
            </w:r>
            <w:r>
              <w:rPr>
                <w:rFonts w:hint="eastAsia" w:ascii="Arial" w:hAnsi="Arial" w:eastAsia="宋体" w:cs="Arial"/>
                <w:color w:val="auto"/>
                <w:szCs w:val="21"/>
                <w:highlight w:val="none"/>
              </w:rPr>
              <w:t>年（免费保修期从设备验收合格之日起计算，项目要求及技术需求中规定的，按规定执行）。免费保修期内免费上门维修（免收维修费和元器件费）、免费更换零部件，并提供终身维修服务。</w:t>
            </w:r>
          </w:p>
        </w:tc>
      </w:tr>
      <w:tr w14:paraId="4622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2DF70A46">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（二）售后服务要求</w:t>
            </w:r>
          </w:p>
        </w:tc>
        <w:tc>
          <w:tcPr>
            <w:tcW w:w="7986" w:type="dxa"/>
            <w:gridSpan w:val="4"/>
          </w:tcPr>
          <w:p w14:paraId="085E1F93">
            <w:pPr>
              <w:spacing w:after="0" w:line="288" w:lineRule="auto"/>
              <w:rPr>
                <w:rFonts w:ascii="Arial" w:hAnsi="Arial" w:eastAsia="宋体" w:cs="Arial"/>
                <w:color w:val="auto"/>
                <w:szCs w:val="21"/>
                <w:highlight w:val="none"/>
              </w:rPr>
            </w:pPr>
            <w:r>
              <w:rPr>
                <w:rFonts w:hint="eastAsia" w:ascii="Arial" w:hAnsi="Arial" w:eastAsia="宋体" w:cs="Arial"/>
                <w:color w:val="auto"/>
                <w:szCs w:val="21"/>
                <w:highlight w:val="none"/>
              </w:rPr>
              <w:t>1</w:t>
            </w:r>
            <w:r>
              <w:rPr>
                <w:rFonts w:ascii="Arial" w:hAnsi="Arial" w:eastAsia="宋体" w:cs="Arial"/>
                <w:color w:val="auto"/>
                <w:szCs w:val="21"/>
                <w:highlight w:val="none"/>
              </w:rPr>
              <w:t>．</w:t>
            </w:r>
            <w:r>
              <w:rPr>
                <w:rFonts w:hint="eastAsia" w:ascii="Arial" w:hAnsi="Arial" w:eastAsia="宋体" w:cs="Arial"/>
                <w:color w:val="auto"/>
                <w:szCs w:val="21"/>
                <w:highlight w:val="none"/>
              </w:rPr>
              <w:t>免费送货上门，免费按采购人要求安装调试，免费技术培训，直至操作人员熟练操作产品的各项功能。</w:t>
            </w:r>
          </w:p>
          <w:p w14:paraId="190A5F5F">
            <w:pPr>
              <w:spacing w:after="0" w:line="288" w:lineRule="auto"/>
              <w:rPr>
                <w:rFonts w:ascii="Arial" w:hAnsi="Arial" w:eastAsia="宋体" w:cs="Arial"/>
                <w:color w:val="auto"/>
                <w:szCs w:val="21"/>
                <w:highlight w:val="none"/>
              </w:rPr>
            </w:pPr>
            <w:r>
              <w:rPr>
                <w:rFonts w:hint="eastAsia" w:ascii="Arial" w:hAnsi="Arial" w:eastAsia="宋体" w:cs="Arial"/>
                <w:color w:val="auto"/>
                <w:szCs w:val="21"/>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w:t>
            </w:r>
            <w:r>
              <w:rPr>
                <w:rFonts w:hint="eastAsia" w:ascii="Arial" w:hAnsi="Arial" w:eastAsia="宋体" w:cs="Arial"/>
                <w:color w:val="auto"/>
                <w:szCs w:val="21"/>
                <w:highlight w:val="none"/>
                <w:lang w:val="zh-CN"/>
              </w:rPr>
              <w:t>产品自带</w:t>
            </w:r>
            <w:r>
              <w:rPr>
                <w:rFonts w:hint="eastAsia" w:ascii="Arial" w:hAnsi="Arial" w:eastAsia="宋体" w:cs="Arial"/>
                <w:color w:val="auto"/>
                <w:szCs w:val="21"/>
                <w:highlight w:val="none"/>
              </w:rPr>
              <w:t>软件的，则须提供免费保修期内免费升级服务。③其余按厂家承诺执行。</w:t>
            </w:r>
          </w:p>
        </w:tc>
      </w:tr>
      <w:tr w14:paraId="2795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0CAC58B4">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（三）</w:t>
            </w:r>
            <w:r>
              <w:rPr>
                <w:rFonts w:ascii="Arial" w:hAnsi="Arial" w:eastAsia="宋体" w:cs="Arial"/>
                <w:color w:val="auto"/>
                <w:szCs w:val="21"/>
                <w:highlight w:val="none"/>
              </w:rPr>
              <w:t>合同签订时间</w:t>
            </w:r>
          </w:p>
        </w:tc>
        <w:tc>
          <w:tcPr>
            <w:tcW w:w="7986" w:type="dxa"/>
            <w:gridSpan w:val="4"/>
            <w:vAlign w:val="center"/>
          </w:tcPr>
          <w:p w14:paraId="4E7B7ED3">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自</w:t>
            </w:r>
            <w:r>
              <w:rPr>
                <w:rFonts w:hint="eastAsia" w:ascii="Arial" w:hAnsi="Arial" w:eastAsia="宋体" w:cs="Arial"/>
                <w:color w:val="auto"/>
                <w:szCs w:val="21"/>
                <w:highlight w:val="none"/>
              </w:rPr>
              <w:t>成交</w:t>
            </w:r>
            <w:r>
              <w:rPr>
                <w:rFonts w:ascii="Arial" w:hAnsi="Arial" w:eastAsia="宋体" w:cs="Arial"/>
                <w:color w:val="auto"/>
                <w:szCs w:val="21"/>
                <w:highlight w:val="none"/>
              </w:rPr>
              <w:t>通知书发出之日起 25 日内签订采购合同。</w:t>
            </w:r>
          </w:p>
        </w:tc>
      </w:tr>
      <w:tr w14:paraId="711F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5998CC7D">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（四）</w:t>
            </w:r>
            <w:r>
              <w:rPr>
                <w:rFonts w:ascii="Arial" w:hAnsi="Arial" w:eastAsia="宋体" w:cs="Arial"/>
                <w:color w:val="auto"/>
                <w:szCs w:val="21"/>
                <w:highlight w:val="none"/>
              </w:rPr>
              <w:t>交货期及地点</w:t>
            </w:r>
          </w:p>
        </w:tc>
        <w:tc>
          <w:tcPr>
            <w:tcW w:w="7986" w:type="dxa"/>
            <w:gridSpan w:val="4"/>
            <w:vAlign w:val="center"/>
          </w:tcPr>
          <w:p w14:paraId="32896B54">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1.交货期：自签订合同之日起</w:t>
            </w:r>
            <w:r>
              <w:rPr>
                <w:rFonts w:hint="eastAsia" w:ascii="Arial" w:hAnsi="Arial" w:eastAsia="宋体" w:cs="Arial"/>
                <w:b/>
                <w:bCs/>
                <w:color w:val="auto"/>
                <w:szCs w:val="21"/>
                <w:highlight w:val="none"/>
                <w:u w:val="single"/>
              </w:rPr>
              <w:t>14</w:t>
            </w:r>
            <w:r>
              <w:rPr>
                <w:rFonts w:ascii="Arial" w:hAnsi="Arial" w:eastAsia="宋体" w:cs="Arial"/>
                <w:b/>
                <w:bCs/>
                <w:color w:val="auto"/>
                <w:szCs w:val="21"/>
                <w:highlight w:val="none"/>
                <w:u w:val="single"/>
              </w:rPr>
              <w:t>个</w:t>
            </w:r>
            <w:r>
              <w:rPr>
                <w:rFonts w:ascii="Arial" w:hAnsi="Arial" w:eastAsia="宋体" w:cs="Arial"/>
                <w:color w:val="auto"/>
                <w:szCs w:val="21"/>
                <w:highlight w:val="none"/>
              </w:rPr>
              <w:t>工作日内到货并全部安装调试合格完毕；</w:t>
            </w:r>
          </w:p>
          <w:p w14:paraId="584E57F4">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2.交货地点：广西桂林市采购人指定地点。</w:t>
            </w:r>
          </w:p>
        </w:tc>
      </w:tr>
      <w:tr w14:paraId="4511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447748A9">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（五）</w:t>
            </w:r>
            <w:r>
              <w:rPr>
                <w:rFonts w:ascii="Arial" w:hAnsi="Arial" w:eastAsia="宋体" w:cs="Arial"/>
                <w:color w:val="auto"/>
                <w:szCs w:val="21"/>
                <w:highlight w:val="none"/>
              </w:rPr>
              <w:t>付款方式</w:t>
            </w:r>
          </w:p>
        </w:tc>
        <w:tc>
          <w:tcPr>
            <w:tcW w:w="7986" w:type="dxa"/>
            <w:gridSpan w:val="4"/>
          </w:tcPr>
          <w:p w14:paraId="09CE36A2">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付款方式</w:t>
            </w:r>
            <w:r>
              <w:rPr>
                <w:rFonts w:hint="eastAsia" w:ascii="Arial" w:hAnsi="Arial" w:eastAsia="宋体" w:cs="Arial"/>
                <w:color w:val="auto"/>
                <w:szCs w:val="21"/>
                <w:highlight w:val="none"/>
              </w:rPr>
              <w:t>：</w:t>
            </w:r>
            <w:r>
              <w:rPr>
                <w:rFonts w:ascii="Arial" w:hAnsi="Arial" w:eastAsia="宋体" w:cs="Arial"/>
                <w:color w:val="auto"/>
                <w:szCs w:val="21"/>
                <w:highlight w:val="none"/>
              </w:rPr>
              <w:t>本项目通过最终验收后，成交供应商开具全额发票（国产设备必须开具增值税专用发票）给采购人，采购人收到发票后10个工作日内一次性付清100%的合同价款（无息）。</w:t>
            </w:r>
          </w:p>
        </w:tc>
      </w:tr>
      <w:tr w14:paraId="6295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1A910389">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（六）</w:t>
            </w:r>
            <w:r>
              <w:rPr>
                <w:rFonts w:ascii="Arial" w:hAnsi="Arial" w:eastAsia="宋体" w:cs="Arial"/>
                <w:color w:val="auto"/>
                <w:szCs w:val="21"/>
                <w:highlight w:val="none"/>
              </w:rPr>
              <w:t>包装和运输</w:t>
            </w:r>
          </w:p>
        </w:tc>
        <w:tc>
          <w:tcPr>
            <w:tcW w:w="7986" w:type="dxa"/>
            <w:gridSpan w:val="4"/>
          </w:tcPr>
          <w:p w14:paraId="753F18C8">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1.原厂原包装，包装完好、完整无破损、未开封。</w:t>
            </w:r>
          </w:p>
          <w:p w14:paraId="3AF46797">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2.包装及运输方式应综合考虑运输距离、防潮、防震、防锈和防破损装卸等要求。</w:t>
            </w:r>
          </w:p>
          <w:p w14:paraId="3AB37AD5">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3.国家对包装及运输有相关强制性标准或要求的，</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应当执行。</w:t>
            </w:r>
          </w:p>
          <w:p w14:paraId="720AAF03">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4.产品(含包装)运抵采购人指定交付地点前发生损坏的，相关损失由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自行承担。</w:t>
            </w:r>
          </w:p>
        </w:tc>
      </w:tr>
      <w:tr w14:paraId="5123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10D2A900">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（七）</w:t>
            </w:r>
            <w:r>
              <w:rPr>
                <w:rFonts w:ascii="Arial" w:hAnsi="Arial" w:eastAsia="宋体" w:cs="Arial"/>
                <w:color w:val="auto"/>
                <w:szCs w:val="21"/>
                <w:highlight w:val="none"/>
              </w:rPr>
              <w:t>保险</w:t>
            </w:r>
          </w:p>
        </w:tc>
        <w:tc>
          <w:tcPr>
            <w:tcW w:w="7986" w:type="dxa"/>
            <w:gridSpan w:val="4"/>
          </w:tcPr>
          <w:p w14:paraId="0D5562E4">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若</w:t>
            </w:r>
            <w:r>
              <w:rPr>
                <w:rFonts w:hint="eastAsia" w:ascii="Arial" w:hAnsi="Arial" w:eastAsia="宋体" w:cs="Arial"/>
                <w:color w:val="auto"/>
                <w:szCs w:val="21"/>
                <w:highlight w:val="none"/>
              </w:rPr>
              <w:t>供应商</w:t>
            </w:r>
            <w:r>
              <w:rPr>
                <w:rFonts w:ascii="Arial" w:hAnsi="Arial" w:eastAsia="宋体" w:cs="Arial"/>
                <w:color w:val="auto"/>
                <w:szCs w:val="21"/>
                <w:highlight w:val="none"/>
              </w:rPr>
              <w:t>为本项目标的及标的涉及的相关材料、设备、人员、运输等购买保险的，相关费用由</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自行承担。</w:t>
            </w:r>
          </w:p>
        </w:tc>
      </w:tr>
      <w:tr w14:paraId="2AA6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2CBC84DC">
            <w:pPr>
              <w:widowControl/>
              <w:spacing w:after="0" w:line="288" w:lineRule="auto"/>
              <w:jc w:val="center"/>
              <w:rPr>
                <w:rFonts w:ascii="Arial" w:hAnsi="Arial" w:eastAsia="宋体" w:cs="Arial"/>
                <w:color w:val="auto"/>
                <w:szCs w:val="21"/>
                <w:highlight w:val="none"/>
              </w:rPr>
            </w:pPr>
            <w:r>
              <w:rPr>
                <w:rFonts w:ascii="Arial" w:hAnsi="Arial" w:eastAsia="宋体" w:cs="Arial"/>
                <w:bCs/>
                <w:color w:val="auto"/>
                <w:kern w:val="0"/>
                <w:szCs w:val="21"/>
                <w:highlight w:val="none"/>
              </w:rPr>
              <w:t>（八）验收标准</w:t>
            </w:r>
          </w:p>
        </w:tc>
        <w:tc>
          <w:tcPr>
            <w:tcW w:w="7986" w:type="dxa"/>
            <w:gridSpan w:val="4"/>
            <w:vAlign w:val="center"/>
          </w:tcPr>
          <w:p w14:paraId="044FA6D6">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（1）质量标准：本项目执行国家相关标准、行业标准、地方标准或者其他标准、规范。如具体采购需求与标准、规范不一致的，高于标准、规范的按具体采购需求执行；低于标准、规范的按标准、规范执行。</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所提供的产品必须是全新、完好、无破损、未经使用的原装产品，产品符合制造厂家合格产品的出厂质量标准，且在正常安装、使用和保养条件下，其使用寿命期内各项指标均达到质量要求。</w:t>
            </w:r>
          </w:p>
          <w:p w14:paraId="19A2B47C">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（2）产品到货后，采购人现场根据</w:t>
            </w:r>
            <w:r>
              <w:rPr>
                <w:rFonts w:hint="eastAsia" w:ascii="Arial" w:hAnsi="Arial" w:eastAsia="宋体" w:cs="Arial"/>
                <w:color w:val="auto"/>
                <w:szCs w:val="21"/>
                <w:highlight w:val="none"/>
              </w:rPr>
              <w:t>采购</w:t>
            </w:r>
            <w:r>
              <w:rPr>
                <w:rFonts w:ascii="Arial" w:hAnsi="Arial" w:eastAsia="宋体" w:cs="Arial"/>
                <w:color w:val="auto"/>
                <w:szCs w:val="21"/>
                <w:highlight w:val="none"/>
              </w:rPr>
              <w:t>文件要求及</w:t>
            </w:r>
            <w:r>
              <w:rPr>
                <w:rFonts w:hint="eastAsia" w:ascii="Arial" w:hAnsi="Arial" w:eastAsia="宋体" w:cs="Arial"/>
                <w:color w:val="auto"/>
                <w:szCs w:val="21"/>
                <w:highlight w:val="none"/>
              </w:rPr>
              <w:t>响应</w:t>
            </w:r>
            <w:r>
              <w:rPr>
                <w:rFonts w:ascii="Arial" w:hAnsi="Arial" w:eastAsia="宋体" w:cs="Arial"/>
                <w:color w:val="auto"/>
                <w:szCs w:val="21"/>
                <w:highlight w:val="none"/>
              </w:rPr>
              <w:t>文件承诺逐条对应进行核验（含测试或试运行），核验不合格的，采购人有权不予验收，同时报相关监督管理部门，由此造成采购人经济损失的由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负责承担全部赔偿责任。</w:t>
            </w:r>
          </w:p>
          <w:p w14:paraId="05A53A9D">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（3）设备开机试运行，测试设备的技术性能指标，确认各项功能正常运行，同时检查随机文件应齐整。</w:t>
            </w:r>
          </w:p>
          <w:p w14:paraId="289CFA7D">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（4）验收时，采购人有权邀请国家认可的</w:t>
            </w:r>
            <w:r>
              <w:rPr>
                <w:rFonts w:ascii="Arial" w:hAnsi="Arial" w:eastAsia="宋体" w:cs="Arial"/>
                <w:bCs/>
                <w:color w:val="auto"/>
                <w:szCs w:val="21"/>
                <w:highlight w:val="none"/>
              </w:rPr>
              <w:t>第三方检测计量单位到现场进行校准</w:t>
            </w:r>
            <w:r>
              <w:rPr>
                <w:rFonts w:ascii="Arial" w:hAnsi="Arial" w:eastAsia="宋体" w:cs="Arial"/>
                <w:color w:val="auto"/>
                <w:szCs w:val="21"/>
                <w:highlight w:val="none"/>
              </w:rPr>
              <w:t>，并出具校准报告，</w:t>
            </w:r>
            <w:r>
              <w:rPr>
                <w:rFonts w:ascii="Arial" w:hAnsi="Arial" w:eastAsia="宋体" w:cs="Arial"/>
                <w:bCs/>
                <w:color w:val="auto"/>
                <w:szCs w:val="21"/>
                <w:highlight w:val="none"/>
              </w:rPr>
              <w:t>所涉及的相关费用</w:t>
            </w:r>
            <w:r>
              <w:rPr>
                <w:rFonts w:ascii="Arial" w:hAnsi="Arial" w:eastAsia="宋体" w:cs="Arial"/>
                <w:color w:val="auto"/>
                <w:szCs w:val="21"/>
                <w:highlight w:val="none"/>
              </w:rPr>
              <w:t>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承担（</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自行将费用综合考虑进入</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报价中）</w:t>
            </w:r>
            <w:r>
              <w:rPr>
                <w:rFonts w:ascii="Arial" w:hAnsi="Arial" w:eastAsia="宋体" w:cs="Arial"/>
                <w:bCs/>
                <w:color w:val="auto"/>
                <w:szCs w:val="21"/>
                <w:highlight w:val="none"/>
              </w:rPr>
              <w:t>，采购人不再另行支付。校准不合格的，采购人不予验收。</w:t>
            </w:r>
          </w:p>
          <w:p w14:paraId="5AABBF45">
            <w:pPr>
              <w:adjustRightInd w:val="0"/>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（5）因产品质量问题发生争议的，应邀请国家认可的质量检测机构对产品质量进行鉴定。产品符合标准的，鉴定费由采购人承担；产品不符合标准的，鉴定费由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承担。</w:t>
            </w:r>
          </w:p>
        </w:tc>
      </w:tr>
      <w:tr w14:paraId="6D6F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375EDB25">
            <w:pPr>
              <w:spacing w:after="0"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（九）知识产权</w:t>
            </w:r>
          </w:p>
        </w:tc>
        <w:tc>
          <w:tcPr>
            <w:tcW w:w="7986" w:type="dxa"/>
            <w:gridSpan w:val="4"/>
          </w:tcPr>
          <w:p w14:paraId="2A85DAB8">
            <w:pPr>
              <w:spacing w:after="0" w:line="288" w:lineRule="auto"/>
              <w:jc w:val="left"/>
              <w:rPr>
                <w:rFonts w:ascii="Arial" w:hAnsi="Arial" w:eastAsia="宋体" w:cs="Arial"/>
                <w:color w:val="auto"/>
                <w:szCs w:val="21"/>
                <w:highlight w:val="none"/>
              </w:rPr>
            </w:pP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负责解决由此引起的一切纠纷，采购人有权追究</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的法律责任，其不利后果</w:t>
            </w:r>
            <w:r>
              <w:rPr>
                <w:rFonts w:hint="eastAsia" w:ascii="Arial" w:hAnsi="Arial" w:eastAsia="宋体" w:cs="Arial"/>
                <w:color w:val="auto"/>
                <w:szCs w:val="21"/>
                <w:highlight w:val="none"/>
              </w:rPr>
              <w:t>由</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全部承担。</w:t>
            </w:r>
          </w:p>
        </w:tc>
      </w:tr>
      <w:tr w14:paraId="79B2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30EF7F7B">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（十）</w:t>
            </w:r>
            <w:r>
              <w:rPr>
                <w:rFonts w:ascii="Arial" w:hAnsi="Arial" w:eastAsia="宋体" w:cs="Arial"/>
                <w:color w:val="auto"/>
                <w:szCs w:val="21"/>
                <w:highlight w:val="none"/>
              </w:rPr>
              <w:t>履约保证金</w:t>
            </w:r>
          </w:p>
        </w:tc>
        <w:tc>
          <w:tcPr>
            <w:tcW w:w="7986" w:type="dxa"/>
            <w:gridSpan w:val="4"/>
          </w:tcPr>
          <w:p w14:paraId="6C3F7F68">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履约保证金：在合同签订之前，成交供应商按成交金额的5%（如成交供应商为中小微企业的，按成交金额的2%））向采购人交纳履约保证金。履约保证金交纳方式：转账或电汇等非现金形式。履约保证金指定账户【开户名称：桂林理工大学，开户银行：中国银行桂林分行，账号：613257488744】。成交供应商须按上述规定的金额、方式将履约保证金转入桂林理工大学账户。否则，不予签订合同。</w:t>
            </w:r>
          </w:p>
          <w:p w14:paraId="2F3F751E">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028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6DA1E115">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（十一）</w:t>
            </w:r>
            <w:r>
              <w:rPr>
                <w:rFonts w:ascii="Arial" w:hAnsi="Arial" w:eastAsia="宋体" w:cs="Arial"/>
                <w:color w:val="auto"/>
                <w:szCs w:val="21"/>
                <w:highlight w:val="none"/>
              </w:rPr>
              <w:t>违约责任</w:t>
            </w:r>
          </w:p>
        </w:tc>
        <w:tc>
          <w:tcPr>
            <w:tcW w:w="7986" w:type="dxa"/>
            <w:gridSpan w:val="4"/>
          </w:tcPr>
          <w:p w14:paraId="093FCF2E">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1.成交供应商所提供的产品名称、生产厂家、品牌、规格型号、技术参数等不符合投标（响应）文件承诺或质量不合格的，应在</w:t>
            </w:r>
            <w:r>
              <w:rPr>
                <w:rFonts w:ascii="Arial" w:hAnsi="Arial" w:eastAsia="宋体" w:cs="Arial"/>
                <w:color w:val="auto"/>
                <w:highlight w:val="none"/>
                <w:u w:val="single"/>
              </w:rPr>
              <w:t>2</w:t>
            </w:r>
            <w:r>
              <w:rPr>
                <w:rFonts w:ascii="Arial" w:hAnsi="Arial" w:eastAsia="宋体" w:cs="Arial"/>
                <w:color w:val="auto"/>
                <w:szCs w:val="21"/>
                <w:highlight w:val="none"/>
              </w:rPr>
              <w:t xml:space="preserve">日内及时更换，更换不及时的按逾期交货处罚；因质量问题采购人不同意接收的或特殊情况采购人同意接收的，成交供应商应向采购人支付违约货款额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违约金并赔偿采购人经济损失。</w:t>
            </w:r>
          </w:p>
          <w:p w14:paraId="666E277C">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2.成交供应商提供的货物如侵犯了第三方合法权益而引发的任何纠纷或诉讼，均由成交供应商负责交涉并承担全部责任。</w:t>
            </w:r>
          </w:p>
          <w:p w14:paraId="7A32F660">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14:paraId="53FEC9CF">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4.采购人无故延期接收货物、成交供应商逾期交货的，每天向对方偿付违约货款额3‰违约金，但违约金累计不得超过违约货款额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highlight w:val="none"/>
                <w:u w:val="single"/>
              </w:rPr>
              <w:t>7天</w:t>
            </w:r>
            <w:r>
              <w:rPr>
                <w:rFonts w:ascii="Arial" w:hAnsi="Arial" w:eastAsia="宋体" w:cs="Arial"/>
                <w:color w:val="auto"/>
                <w:szCs w:val="21"/>
                <w:highlight w:val="none"/>
              </w:rPr>
              <w:t>对方有权解除合同，违约方承担因此给对方造成经济损失；采购人延期付货款的，每天向成交供应商偿付延期货款额3‰滞纳金，但滞纳金累计不得超过延期货款额5%。</w:t>
            </w:r>
          </w:p>
          <w:p w14:paraId="50CC2ABB">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5.成交供应商未按本合同和投标（响应）文件中规定的服务承诺提供售后服务的，成交供应商应按本合同合计金额 5%向采购人支付违约金。</w:t>
            </w:r>
          </w:p>
          <w:p w14:paraId="7A39DE90">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6.成交供应商提供的货物在质量保证期内，因设计、工艺或材料的缺陷和其它质量原因造成的问题，由成交供应商负责，费用从履约保证金中扣除，不足另补。</w:t>
            </w:r>
          </w:p>
          <w:p w14:paraId="1ACEF73C">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14:paraId="4FA9039A">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8.成交供应商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成交供应商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成交供应商承担，并承担政府采购虚假竞标的相关法律责任。</w:t>
            </w:r>
          </w:p>
        </w:tc>
      </w:tr>
      <w:tr w14:paraId="6AAF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0153FFBC">
            <w:pPr>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（十二）</w:t>
            </w:r>
            <w:r>
              <w:rPr>
                <w:rFonts w:ascii="Arial" w:hAnsi="Arial" w:eastAsia="宋体" w:cs="Arial"/>
                <w:color w:val="auto"/>
                <w:szCs w:val="21"/>
                <w:highlight w:val="none"/>
              </w:rPr>
              <w:t>进口产品说明</w:t>
            </w:r>
          </w:p>
        </w:tc>
        <w:tc>
          <w:tcPr>
            <w:tcW w:w="7986" w:type="dxa"/>
            <w:gridSpan w:val="4"/>
          </w:tcPr>
          <w:p w14:paraId="1ACD6345">
            <w:pPr>
              <w:adjustRightInd w:val="0"/>
              <w:snapToGrid w:val="0"/>
              <w:spacing w:after="0" w:line="288" w:lineRule="auto"/>
              <w:rPr>
                <w:rFonts w:ascii="Arial" w:hAnsi="Arial" w:eastAsia="宋体" w:cs="Arial"/>
                <w:b/>
                <w:bCs/>
                <w:color w:val="auto"/>
                <w:szCs w:val="21"/>
                <w:highlight w:val="none"/>
              </w:rPr>
            </w:pPr>
            <w:r>
              <w:rPr>
                <w:rFonts w:ascii="Arial" w:hAnsi="Arial" w:eastAsia="宋体" w:cs="Arial"/>
                <w:b/>
                <w:bCs/>
                <w:color w:val="auto"/>
                <w:szCs w:val="21"/>
                <w:highlight w:val="none"/>
              </w:rPr>
              <w:sym w:font="Wingdings 2" w:char="0052"/>
            </w:r>
            <w:r>
              <w:rPr>
                <w:rFonts w:ascii="Arial" w:hAnsi="Arial" w:eastAsia="宋体" w:cs="Arial"/>
                <w:b/>
                <w:bCs/>
                <w:color w:val="auto"/>
                <w:szCs w:val="21"/>
                <w:highlight w:val="none"/>
              </w:rPr>
              <w:t xml:space="preserve"> 本项目标的不接受进口产品参与</w:t>
            </w:r>
            <w:r>
              <w:rPr>
                <w:rFonts w:hint="eastAsia" w:ascii="Arial" w:hAnsi="Arial" w:eastAsia="宋体" w:cs="Arial"/>
                <w:b/>
                <w:bCs/>
                <w:color w:val="auto"/>
                <w:szCs w:val="21"/>
                <w:highlight w:val="none"/>
              </w:rPr>
              <w:t>谈判</w:t>
            </w:r>
            <w:r>
              <w:rPr>
                <w:rFonts w:ascii="Arial" w:hAnsi="Arial" w:eastAsia="宋体" w:cs="Arial"/>
                <w:b/>
                <w:bCs/>
                <w:color w:val="auto"/>
                <w:szCs w:val="21"/>
                <w:highlight w:val="none"/>
              </w:rPr>
              <w:t>，如</w:t>
            </w:r>
            <w:r>
              <w:rPr>
                <w:rFonts w:hint="eastAsia" w:ascii="Arial" w:hAnsi="Arial" w:eastAsia="宋体" w:cs="Arial"/>
                <w:b/>
                <w:bCs/>
                <w:color w:val="auto"/>
                <w:szCs w:val="21"/>
                <w:highlight w:val="none"/>
              </w:rPr>
              <w:t>供应商</w:t>
            </w:r>
            <w:r>
              <w:rPr>
                <w:rFonts w:ascii="Arial" w:hAnsi="Arial" w:eastAsia="宋体" w:cs="Arial"/>
                <w:b/>
                <w:bCs/>
                <w:color w:val="auto"/>
                <w:szCs w:val="21"/>
                <w:highlight w:val="none"/>
              </w:rPr>
              <w:t>选用进口产品</w:t>
            </w:r>
            <w:r>
              <w:rPr>
                <w:rFonts w:hint="eastAsia" w:ascii="Arial" w:hAnsi="Arial" w:eastAsia="宋体" w:cs="Arial"/>
                <w:b/>
                <w:bCs/>
                <w:color w:val="auto"/>
                <w:szCs w:val="21"/>
                <w:highlight w:val="none"/>
              </w:rPr>
              <w:t>谈判</w:t>
            </w:r>
            <w:r>
              <w:rPr>
                <w:rFonts w:ascii="Arial" w:hAnsi="Arial" w:eastAsia="宋体" w:cs="Arial"/>
                <w:b/>
                <w:bCs/>
                <w:color w:val="auto"/>
                <w:szCs w:val="21"/>
                <w:highlight w:val="none"/>
              </w:rPr>
              <w:t>的，</w:t>
            </w:r>
            <w:r>
              <w:rPr>
                <w:rFonts w:hint="eastAsia" w:ascii="Arial" w:hAnsi="Arial" w:eastAsia="宋体" w:cs="Arial"/>
                <w:b/>
                <w:bCs/>
                <w:color w:val="auto"/>
                <w:szCs w:val="21"/>
                <w:highlight w:val="none"/>
              </w:rPr>
              <w:t>响应</w:t>
            </w:r>
            <w:r>
              <w:rPr>
                <w:rFonts w:ascii="Arial" w:hAnsi="Arial" w:eastAsia="宋体" w:cs="Arial"/>
                <w:b/>
                <w:bCs/>
                <w:color w:val="auto"/>
                <w:szCs w:val="21"/>
                <w:highlight w:val="none"/>
              </w:rPr>
              <w:t>文件按无效处理。</w:t>
            </w:r>
          </w:p>
          <w:p w14:paraId="6C24BF76">
            <w:pPr>
              <w:adjustRightInd w:val="0"/>
              <w:snapToGrid w:val="0"/>
              <w:spacing w:after="0" w:line="288" w:lineRule="auto"/>
              <w:rPr>
                <w:rFonts w:ascii="Arial" w:hAnsi="Arial" w:eastAsia="宋体" w:cs="Arial"/>
                <w:color w:val="auto"/>
                <w:szCs w:val="21"/>
                <w:highlight w:val="none"/>
              </w:rPr>
            </w:pPr>
          </w:p>
          <w:p w14:paraId="33F8E769">
            <w:pPr>
              <w:adjustRightInd w:val="0"/>
              <w:snapToGrid w:val="0"/>
              <w:spacing w:after="0" w:line="288" w:lineRule="auto"/>
              <w:rPr>
                <w:rFonts w:ascii="Arial" w:hAnsi="Arial" w:eastAsia="宋体" w:cs="Arial"/>
                <w:color w:val="auto"/>
                <w:szCs w:val="21"/>
                <w:highlight w:val="none"/>
              </w:rPr>
            </w:pPr>
            <w:r>
              <w:rPr>
                <w:rFonts w:hint="eastAsia" w:ascii="Arial" w:hAnsi="Arial" w:eastAsia="宋体" w:cs="Arial"/>
                <w:color w:val="auto"/>
                <w:szCs w:val="21"/>
                <w:highlight w:val="none"/>
              </w:rPr>
              <w:t>□</w:t>
            </w:r>
            <w:r>
              <w:rPr>
                <w:rFonts w:ascii="Arial" w:hAnsi="Arial" w:eastAsia="宋体" w:cs="Arial"/>
                <w:color w:val="auto"/>
                <w:szCs w:val="21"/>
                <w:highlight w:val="none"/>
              </w:rPr>
              <w:t>1.本项目货物已办理进口产品手续，接受进口产品（即通过中国海关报关验放进入中国境内且产自关境外的产品）参与</w:t>
            </w:r>
            <w:r>
              <w:rPr>
                <w:rFonts w:hint="eastAsia" w:ascii="Arial" w:hAnsi="Arial" w:eastAsia="宋体" w:cs="Arial"/>
                <w:color w:val="auto"/>
                <w:szCs w:val="21"/>
                <w:highlight w:val="none"/>
              </w:rPr>
              <w:t>谈判</w:t>
            </w:r>
            <w:r>
              <w:rPr>
                <w:rFonts w:ascii="Arial" w:hAnsi="Arial" w:eastAsia="宋体" w:cs="Arial"/>
                <w:color w:val="auto"/>
                <w:szCs w:val="21"/>
                <w:highlight w:val="none"/>
              </w:rPr>
              <w:t>。但如选用进口产品时必须为原装进口产品（即通过中国海关报关验放进入中国境内且产自境外的产品），</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报价必须为人民币报价，若</w:t>
            </w:r>
            <w:r>
              <w:rPr>
                <w:rFonts w:hint="eastAsia" w:ascii="Arial" w:hAnsi="Arial" w:eastAsia="宋体" w:cs="Arial"/>
                <w:color w:val="auto"/>
                <w:szCs w:val="21"/>
                <w:highlight w:val="none"/>
              </w:rPr>
              <w:t>供应商</w:t>
            </w:r>
            <w:r>
              <w:rPr>
                <w:rFonts w:ascii="Arial" w:hAnsi="Arial" w:eastAsia="宋体" w:cs="Arial"/>
                <w:color w:val="auto"/>
                <w:szCs w:val="21"/>
                <w:highlight w:val="none"/>
              </w:rPr>
              <w:t>选用进口产品</w:t>
            </w:r>
            <w:r>
              <w:rPr>
                <w:rFonts w:hint="eastAsia" w:ascii="Arial" w:hAnsi="Arial" w:eastAsia="宋体" w:cs="Arial"/>
                <w:color w:val="auto"/>
                <w:szCs w:val="21"/>
                <w:highlight w:val="none"/>
              </w:rPr>
              <w:t>谈判</w:t>
            </w:r>
            <w:r>
              <w:rPr>
                <w:rFonts w:ascii="Arial" w:hAnsi="Arial" w:eastAsia="宋体" w:cs="Arial"/>
                <w:color w:val="auto"/>
                <w:szCs w:val="21"/>
                <w:highlight w:val="none"/>
              </w:rPr>
              <w:t>用人民币之外的其他货币报价的，</w:t>
            </w:r>
            <w:r>
              <w:rPr>
                <w:rFonts w:hint="eastAsia" w:ascii="Arial" w:hAnsi="Arial" w:eastAsia="宋体" w:cs="Arial"/>
                <w:color w:val="auto"/>
                <w:szCs w:val="21"/>
                <w:highlight w:val="none"/>
              </w:rPr>
              <w:t>响应</w:t>
            </w:r>
            <w:r>
              <w:rPr>
                <w:rFonts w:ascii="Arial" w:hAnsi="Arial" w:eastAsia="宋体" w:cs="Arial"/>
                <w:color w:val="auto"/>
                <w:szCs w:val="21"/>
                <w:highlight w:val="none"/>
              </w:rPr>
              <w:t>文件无效处理；同时</w:t>
            </w:r>
            <w:r>
              <w:rPr>
                <w:rFonts w:hint="eastAsia" w:ascii="Arial" w:hAnsi="Arial" w:eastAsia="宋体" w:cs="Arial"/>
                <w:color w:val="auto"/>
                <w:szCs w:val="21"/>
                <w:highlight w:val="none"/>
              </w:rPr>
              <w:t>供应商</w:t>
            </w:r>
            <w:r>
              <w:rPr>
                <w:rFonts w:ascii="Arial" w:hAnsi="Arial" w:eastAsia="宋体" w:cs="Arial"/>
                <w:color w:val="auto"/>
                <w:szCs w:val="21"/>
                <w:highlight w:val="none"/>
              </w:rPr>
              <w:t>必须负责办理进口产品所有相关手续并承担所有费用，采购人不再支付除</w:t>
            </w:r>
            <w:r>
              <w:rPr>
                <w:rFonts w:hint="eastAsia" w:ascii="Arial" w:hAnsi="Arial" w:eastAsia="宋体" w:cs="Arial"/>
                <w:color w:val="auto"/>
                <w:szCs w:val="21"/>
                <w:highlight w:val="none"/>
              </w:rPr>
              <w:t>成交</w:t>
            </w:r>
            <w:r>
              <w:rPr>
                <w:rFonts w:ascii="Arial" w:hAnsi="Arial" w:eastAsia="宋体" w:cs="Arial"/>
                <w:color w:val="auto"/>
                <w:szCs w:val="21"/>
                <w:highlight w:val="none"/>
              </w:rPr>
              <w:t>价以外的任何费用，采购人协助办理免税审批手续。在进口产品最后报价相同的情况下，优先采购向我国企业转让技术、与我国企业签订消化吸收再创新方案的供应商的进口产品。  2.</w:t>
            </w:r>
            <w:r>
              <w:rPr>
                <w:rFonts w:hint="eastAsia" w:ascii="Arial" w:hAnsi="Arial" w:eastAsia="宋体" w:cs="Arial"/>
                <w:color w:val="auto"/>
                <w:szCs w:val="21"/>
                <w:highlight w:val="none"/>
              </w:rPr>
              <w:t>供应商</w:t>
            </w:r>
            <w:r>
              <w:rPr>
                <w:rFonts w:ascii="Arial" w:hAnsi="Arial" w:eastAsia="宋体" w:cs="Arial"/>
                <w:color w:val="auto"/>
                <w:szCs w:val="21"/>
                <w:highlight w:val="none"/>
              </w:rPr>
              <w:t>如所投本项目货物产品为进口产品时，</w:t>
            </w:r>
            <w:r>
              <w:rPr>
                <w:rFonts w:hint="eastAsia" w:ascii="Arial" w:hAnsi="Arial" w:eastAsia="宋体" w:cs="Arial"/>
                <w:color w:val="auto"/>
                <w:szCs w:val="21"/>
                <w:highlight w:val="none"/>
              </w:rPr>
              <w:t>供应商</w:t>
            </w:r>
            <w:r>
              <w:rPr>
                <w:rFonts w:ascii="Arial" w:hAnsi="Arial" w:eastAsia="宋体" w:cs="Arial"/>
                <w:color w:val="auto"/>
                <w:szCs w:val="21"/>
                <w:highlight w:val="none"/>
              </w:rPr>
              <w:t>的</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报价必须为免税价，如项目执行期间遭遇国家相关政策因素加征关税，凭政府出台征收该设备关税的相应文件和缴纳关税税额凭证予以办理合同补充协议，增加关税部分差价。</w:t>
            </w:r>
          </w:p>
        </w:tc>
      </w:tr>
      <w:tr w14:paraId="448A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5A0AC67A">
            <w:pPr>
              <w:snapToGrid w:val="0"/>
              <w:spacing w:line="288" w:lineRule="auto"/>
              <w:jc w:val="left"/>
              <w:rPr>
                <w:rFonts w:ascii="Arial" w:hAnsi="Arial" w:eastAsia="宋体" w:cs="Arial"/>
                <w:color w:val="auto"/>
                <w:szCs w:val="21"/>
                <w:highlight w:val="none"/>
              </w:rPr>
            </w:pPr>
            <w:r>
              <w:rPr>
                <w:rFonts w:ascii="Arial" w:hAnsi="Arial" w:eastAsia="宋体" w:cs="Arial"/>
                <w:b/>
                <w:color w:val="auto"/>
                <w:szCs w:val="21"/>
                <w:highlight w:val="none"/>
              </w:rPr>
              <w:t>四、</w:t>
            </w:r>
            <w:r>
              <w:rPr>
                <w:rFonts w:ascii="Arial" w:hAnsi="Arial" w:eastAsia="宋体" w:cs="Arial"/>
                <w:b/>
                <w:bCs/>
                <w:color w:val="auto"/>
                <w:szCs w:val="21"/>
                <w:highlight w:val="none"/>
              </w:rPr>
              <w:t>与实现项目目标相关的其他要求</w:t>
            </w:r>
          </w:p>
        </w:tc>
      </w:tr>
      <w:tr w14:paraId="63B7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2" w:type="dxa"/>
            <w:gridSpan w:val="3"/>
            <w:vAlign w:val="center"/>
          </w:tcPr>
          <w:p w14:paraId="1BB26B4B">
            <w:pPr>
              <w:snapToGrid w:val="0"/>
              <w:spacing w:line="288" w:lineRule="auto"/>
              <w:jc w:val="left"/>
              <w:rPr>
                <w:rFonts w:ascii="Arial" w:hAnsi="Arial" w:eastAsia="宋体" w:cs="Arial"/>
                <w:color w:val="auto"/>
                <w:szCs w:val="21"/>
                <w:highlight w:val="none"/>
              </w:rPr>
            </w:pPr>
            <w:r>
              <w:rPr>
                <w:rFonts w:ascii="Arial" w:hAnsi="Arial" w:eastAsia="宋体" w:cs="Arial"/>
                <w:bCs/>
                <w:color w:val="auto"/>
                <w:szCs w:val="21"/>
                <w:highlight w:val="none"/>
              </w:rPr>
              <w:t>（一）其他要求</w:t>
            </w:r>
          </w:p>
        </w:tc>
        <w:tc>
          <w:tcPr>
            <w:tcW w:w="7892" w:type="dxa"/>
            <w:gridSpan w:val="3"/>
            <w:vAlign w:val="center"/>
          </w:tcPr>
          <w:p w14:paraId="1139D5B4">
            <w:pPr>
              <w:snapToGrid w:val="0"/>
              <w:spacing w:line="288" w:lineRule="auto"/>
              <w:jc w:val="left"/>
              <w:rPr>
                <w:rFonts w:ascii="Arial" w:hAnsi="Arial" w:eastAsia="宋体" w:cs="Arial"/>
                <w:color w:val="auto"/>
                <w:szCs w:val="21"/>
                <w:highlight w:val="none"/>
              </w:rPr>
            </w:pPr>
            <w:r>
              <w:rPr>
                <w:rFonts w:ascii="Arial" w:hAnsi="Arial" w:eastAsia="宋体" w:cs="Arial"/>
                <w:bCs/>
                <w:color w:val="auto"/>
                <w:szCs w:val="21"/>
                <w:highlight w:val="none"/>
              </w:rPr>
              <w:t>1.本项目采购需求中的内容为实质性要求，必须全部满足，否则视为无效</w:t>
            </w:r>
            <w:r>
              <w:rPr>
                <w:rFonts w:hint="eastAsia" w:ascii="Arial" w:hAnsi="Arial" w:eastAsia="宋体" w:cs="Arial"/>
                <w:bCs/>
                <w:color w:val="auto"/>
                <w:szCs w:val="21"/>
                <w:highlight w:val="none"/>
              </w:rPr>
              <w:t>响应</w:t>
            </w:r>
            <w:r>
              <w:rPr>
                <w:rFonts w:ascii="Arial" w:hAnsi="Arial" w:eastAsia="宋体" w:cs="Arial"/>
                <w:bCs/>
                <w:color w:val="auto"/>
                <w:szCs w:val="21"/>
                <w:highlight w:val="none"/>
              </w:rPr>
              <w:t>。</w:t>
            </w:r>
          </w:p>
        </w:tc>
      </w:tr>
    </w:tbl>
    <w:p w14:paraId="3C3850AB">
      <w:pPr>
        <w:spacing w:line="288" w:lineRule="auto"/>
        <w:rPr>
          <w:rFonts w:ascii="Arial" w:hAnsi="Arial" w:eastAsia="宋体" w:cs="Arial"/>
          <w:b/>
          <w:color w:val="auto"/>
          <w:highlight w:val="none"/>
        </w:rPr>
      </w:pPr>
      <w:r>
        <w:rPr>
          <w:rFonts w:ascii="Arial" w:hAnsi="Arial" w:eastAsia="宋体" w:cs="Arial"/>
          <w:b/>
          <w:color w:val="auto"/>
          <w:highlight w:val="none"/>
        </w:rPr>
        <w:br w:type="page"/>
      </w:r>
    </w:p>
    <w:p w14:paraId="70108CD5">
      <w:pPr>
        <w:widowControl/>
        <w:spacing w:line="288" w:lineRule="auto"/>
        <w:jc w:val="center"/>
        <w:rPr>
          <w:rFonts w:ascii="Arial" w:hAnsi="Arial" w:eastAsia="宋体" w:cs="Arial"/>
          <w:b/>
          <w:color w:val="auto"/>
          <w:sz w:val="32"/>
          <w:szCs w:val="40"/>
          <w:highlight w:val="none"/>
        </w:rPr>
      </w:pPr>
      <w:r>
        <w:rPr>
          <w:rFonts w:hint="eastAsia" w:ascii="Arial" w:hAnsi="Arial" w:eastAsia="宋体" w:cs="Arial"/>
          <w:b/>
          <w:color w:val="auto"/>
          <w:sz w:val="32"/>
          <w:szCs w:val="40"/>
          <w:highlight w:val="none"/>
        </w:rPr>
        <w:t>B分标</w:t>
      </w:r>
    </w:p>
    <w:tbl>
      <w:tblPr>
        <w:tblStyle w:val="25"/>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47"/>
        <w:gridCol w:w="18"/>
        <w:gridCol w:w="150"/>
        <w:gridCol w:w="717"/>
        <w:gridCol w:w="740"/>
        <w:gridCol w:w="6424"/>
      </w:tblGrid>
      <w:tr w14:paraId="6496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771" w:type="dxa"/>
            <w:gridSpan w:val="7"/>
          </w:tcPr>
          <w:p w14:paraId="44592118">
            <w:pPr>
              <w:spacing w:after="0" w:line="288" w:lineRule="auto"/>
              <w:rPr>
                <w:rFonts w:ascii="Arial" w:hAnsi="Arial" w:eastAsia="宋体" w:cs="Arial"/>
                <w:color w:val="auto"/>
                <w:szCs w:val="21"/>
                <w:highlight w:val="none"/>
              </w:rPr>
            </w:pPr>
            <w:r>
              <w:rPr>
                <w:rFonts w:ascii="Arial" w:hAnsi="Arial" w:eastAsia="宋体" w:cs="Arial"/>
                <w:b/>
                <w:color w:val="auto"/>
                <w:szCs w:val="21"/>
                <w:highlight w:val="none"/>
              </w:rPr>
              <w:t>一、采购标的及技术需求</w:t>
            </w:r>
          </w:p>
        </w:tc>
      </w:tr>
      <w:tr w14:paraId="6641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5" w:type="dxa"/>
            <w:vAlign w:val="center"/>
          </w:tcPr>
          <w:p w14:paraId="0D878AAC">
            <w:pPr>
              <w:widowControl/>
              <w:spacing w:after="0" w:line="288"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项号</w:t>
            </w:r>
          </w:p>
        </w:tc>
        <w:tc>
          <w:tcPr>
            <w:tcW w:w="1215" w:type="dxa"/>
            <w:gridSpan w:val="3"/>
            <w:vAlign w:val="center"/>
          </w:tcPr>
          <w:p w14:paraId="0910DFFB">
            <w:pPr>
              <w:widowControl/>
              <w:spacing w:after="0" w:line="288"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标的的名称</w:t>
            </w:r>
          </w:p>
        </w:tc>
        <w:tc>
          <w:tcPr>
            <w:tcW w:w="717" w:type="dxa"/>
            <w:vAlign w:val="center"/>
          </w:tcPr>
          <w:p w14:paraId="46385837">
            <w:pPr>
              <w:widowControl/>
              <w:spacing w:after="0" w:line="288"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数量</w:t>
            </w:r>
          </w:p>
        </w:tc>
        <w:tc>
          <w:tcPr>
            <w:tcW w:w="740" w:type="dxa"/>
            <w:tcBorders>
              <w:right w:val="single" w:color="auto" w:sz="4" w:space="0"/>
            </w:tcBorders>
            <w:vAlign w:val="center"/>
          </w:tcPr>
          <w:p w14:paraId="5929AD05">
            <w:pPr>
              <w:widowControl/>
              <w:spacing w:after="0" w:line="288"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计量</w:t>
            </w:r>
          </w:p>
          <w:p w14:paraId="7ADD5ED4">
            <w:pPr>
              <w:spacing w:after="0" w:line="288"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单位</w:t>
            </w:r>
          </w:p>
        </w:tc>
        <w:tc>
          <w:tcPr>
            <w:tcW w:w="6424" w:type="dxa"/>
            <w:tcBorders>
              <w:left w:val="single" w:color="auto" w:sz="4" w:space="0"/>
            </w:tcBorders>
            <w:vAlign w:val="center"/>
          </w:tcPr>
          <w:p w14:paraId="5709659D">
            <w:pPr>
              <w:spacing w:after="0" w:line="288" w:lineRule="auto"/>
              <w:jc w:val="center"/>
              <w:rPr>
                <w:rFonts w:ascii="Arial" w:hAnsi="Arial" w:eastAsia="宋体" w:cs="Arial"/>
                <w:b/>
                <w:bCs/>
                <w:color w:val="auto"/>
                <w:kern w:val="0"/>
                <w:szCs w:val="21"/>
                <w:highlight w:val="none"/>
              </w:rPr>
            </w:pPr>
            <w:r>
              <w:rPr>
                <w:rFonts w:ascii="Arial" w:hAnsi="Arial" w:eastAsia="宋体" w:cs="Arial"/>
                <w:b/>
                <w:color w:val="auto"/>
                <w:szCs w:val="21"/>
                <w:highlight w:val="none"/>
              </w:rPr>
              <w:t>项目要求及技术需求</w:t>
            </w:r>
          </w:p>
        </w:tc>
      </w:tr>
      <w:tr w14:paraId="1EF0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75" w:type="dxa"/>
            <w:vAlign w:val="center"/>
          </w:tcPr>
          <w:p w14:paraId="62AC01E8">
            <w:pPr>
              <w:adjustRightInd w:val="0"/>
              <w:snapToGrid w:val="0"/>
              <w:spacing w:after="0" w:line="288" w:lineRule="auto"/>
              <w:jc w:val="center"/>
              <w:rPr>
                <w:rFonts w:ascii="Arial" w:hAnsi="Arial" w:eastAsia="宋体" w:cs="Arial"/>
                <w:color w:val="auto"/>
                <w:szCs w:val="21"/>
                <w:highlight w:val="none"/>
              </w:rPr>
            </w:pPr>
            <w:r>
              <w:rPr>
                <w:rFonts w:ascii="Arial" w:hAnsi="Arial" w:eastAsia="宋体" w:cs="Arial"/>
                <w:color w:val="auto"/>
                <w:highlight w:val="none"/>
              </w:rPr>
              <w:t>1</w:t>
            </w:r>
          </w:p>
        </w:tc>
        <w:tc>
          <w:tcPr>
            <w:tcW w:w="1215" w:type="dxa"/>
            <w:gridSpan w:val="3"/>
            <w:vAlign w:val="center"/>
          </w:tcPr>
          <w:p w14:paraId="53DE2067">
            <w:pPr>
              <w:adjustRightInd w:val="0"/>
              <w:snapToGrid w:val="0"/>
              <w:spacing w:after="0" w:line="288" w:lineRule="auto"/>
              <w:jc w:val="center"/>
              <w:rPr>
                <w:rFonts w:ascii="Arial" w:hAnsi="Arial" w:eastAsia="宋体" w:cs="Arial"/>
                <w:color w:val="auto"/>
                <w:szCs w:val="21"/>
                <w:highlight w:val="none"/>
              </w:rPr>
            </w:pPr>
            <w:r>
              <w:rPr>
                <w:rFonts w:ascii="Arial" w:hAnsi="Arial" w:eastAsia="宋体" w:cs="Arial"/>
                <w:color w:val="auto"/>
                <w:highlight w:val="none"/>
              </w:rPr>
              <w:t>智能讲解机器人</w:t>
            </w:r>
          </w:p>
        </w:tc>
        <w:tc>
          <w:tcPr>
            <w:tcW w:w="717" w:type="dxa"/>
            <w:vAlign w:val="center"/>
          </w:tcPr>
          <w:p w14:paraId="4DAF524C">
            <w:pPr>
              <w:adjustRightInd w:val="0"/>
              <w:snapToGrid w:val="0"/>
              <w:spacing w:after="0" w:line="288" w:lineRule="auto"/>
              <w:jc w:val="center"/>
              <w:rPr>
                <w:rFonts w:ascii="Arial" w:hAnsi="Arial" w:eastAsia="宋体" w:cs="Arial"/>
                <w:color w:val="auto"/>
                <w:szCs w:val="21"/>
                <w:highlight w:val="none"/>
              </w:rPr>
            </w:pPr>
            <w:r>
              <w:rPr>
                <w:rFonts w:ascii="Arial" w:hAnsi="Arial" w:eastAsia="宋体" w:cs="Arial"/>
                <w:color w:val="auto"/>
                <w:highlight w:val="none"/>
              </w:rPr>
              <w:t>1</w:t>
            </w:r>
          </w:p>
        </w:tc>
        <w:tc>
          <w:tcPr>
            <w:tcW w:w="740" w:type="dxa"/>
            <w:tcBorders>
              <w:right w:val="single" w:color="auto" w:sz="4" w:space="0"/>
            </w:tcBorders>
            <w:vAlign w:val="center"/>
          </w:tcPr>
          <w:p w14:paraId="492C478C">
            <w:pPr>
              <w:adjustRightInd w:val="0"/>
              <w:snapToGrid w:val="0"/>
              <w:spacing w:after="0" w:line="288" w:lineRule="auto"/>
              <w:jc w:val="center"/>
              <w:rPr>
                <w:rFonts w:ascii="Arial" w:hAnsi="Arial" w:eastAsia="宋体" w:cs="Arial"/>
                <w:color w:val="auto"/>
                <w:szCs w:val="21"/>
                <w:highlight w:val="none"/>
              </w:rPr>
            </w:pPr>
            <w:r>
              <w:rPr>
                <w:rFonts w:ascii="Arial" w:hAnsi="Arial" w:eastAsia="宋体" w:cs="Arial"/>
                <w:color w:val="auto"/>
                <w:highlight w:val="none"/>
              </w:rPr>
              <w:t>套</w:t>
            </w:r>
          </w:p>
        </w:tc>
        <w:tc>
          <w:tcPr>
            <w:tcW w:w="6424" w:type="dxa"/>
            <w:tcBorders>
              <w:left w:val="single" w:color="auto" w:sz="4" w:space="0"/>
            </w:tcBorders>
            <w:vAlign w:val="center"/>
          </w:tcPr>
          <w:p w14:paraId="09AFA9EE">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w:t>
            </w:r>
            <w:r>
              <w:rPr>
                <w:rFonts w:ascii="Arial" w:hAnsi="Arial" w:eastAsia="宋体" w:cs="Arial"/>
                <w:color w:val="auto"/>
                <w:szCs w:val="21"/>
                <w:highlight w:val="none"/>
              </w:rPr>
              <w:t>具有导航系统：激光雷达+视觉定位+视觉避障+里程计+惯性制导。</w:t>
            </w:r>
          </w:p>
          <w:p w14:paraId="34F90774">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2、</w:t>
            </w:r>
            <w:r>
              <w:rPr>
                <w:rFonts w:ascii="Arial" w:hAnsi="Arial" w:eastAsia="宋体" w:cs="Arial"/>
                <w:color w:val="auto"/>
                <w:szCs w:val="21"/>
                <w:highlight w:val="none"/>
              </w:rPr>
              <w:t>交互能力：语音交互+触摸屏操控+人脸识别。</w:t>
            </w:r>
          </w:p>
          <w:p w14:paraId="62D9BE95">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3、</w:t>
            </w:r>
            <w:r>
              <w:rPr>
                <w:rFonts w:ascii="Arial" w:hAnsi="Arial" w:eastAsia="宋体" w:cs="Arial"/>
                <w:color w:val="auto"/>
                <w:szCs w:val="21"/>
                <w:highlight w:val="none"/>
              </w:rPr>
              <w:t>Mic阵列：6麦阵列，360°音源定位。</w:t>
            </w:r>
          </w:p>
          <w:p w14:paraId="44E4CB7D">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4、</w:t>
            </w:r>
            <w:r>
              <w:rPr>
                <w:rFonts w:ascii="Arial" w:hAnsi="Arial" w:eastAsia="宋体" w:cs="Arial"/>
                <w:color w:val="auto"/>
                <w:szCs w:val="21"/>
                <w:highlight w:val="none"/>
              </w:rPr>
              <w:t>屏幕尺寸：≥10.1inch1080P，≥1200x1920像素。</w:t>
            </w:r>
          </w:p>
          <w:p w14:paraId="5C144D50">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5、</w:t>
            </w:r>
            <w:r>
              <w:rPr>
                <w:rFonts w:ascii="Arial" w:hAnsi="Arial" w:eastAsia="宋体" w:cs="Arial"/>
                <w:color w:val="auto"/>
                <w:szCs w:val="21"/>
                <w:highlight w:val="none"/>
              </w:rPr>
              <w:t>定位精度：厘米级别。</w:t>
            </w:r>
          </w:p>
          <w:p w14:paraId="034BACED">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6、</w:t>
            </w:r>
            <w:r>
              <w:rPr>
                <w:rFonts w:ascii="Arial" w:hAnsi="Arial" w:eastAsia="宋体" w:cs="Arial"/>
                <w:color w:val="auto"/>
                <w:szCs w:val="21"/>
                <w:highlight w:val="none"/>
              </w:rPr>
              <w:t>充电方式：线充自动回充。</w:t>
            </w:r>
          </w:p>
          <w:p w14:paraId="6F125AC7">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7、</w:t>
            </w:r>
            <w:r>
              <w:rPr>
                <w:rFonts w:ascii="Arial" w:hAnsi="Arial" w:eastAsia="宋体" w:cs="Arial"/>
                <w:color w:val="auto"/>
                <w:szCs w:val="21"/>
                <w:highlight w:val="none"/>
              </w:rPr>
              <w:t>充电时间：≦3.5小时。</w:t>
            </w:r>
          </w:p>
          <w:p w14:paraId="51FC38D2">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8、</w:t>
            </w:r>
            <w:r>
              <w:rPr>
                <w:rFonts w:ascii="Arial" w:hAnsi="Arial" w:eastAsia="宋体" w:cs="Arial"/>
                <w:color w:val="auto"/>
                <w:szCs w:val="21"/>
                <w:highlight w:val="none"/>
              </w:rPr>
              <w:t>巡航速度：0.5～1.2m/s（可调节）。</w:t>
            </w:r>
          </w:p>
          <w:p w14:paraId="0321058D">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9、</w:t>
            </w:r>
            <w:r>
              <w:rPr>
                <w:rFonts w:ascii="Arial" w:hAnsi="Arial" w:eastAsia="宋体" w:cs="Arial"/>
                <w:color w:val="auto"/>
                <w:szCs w:val="21"/>
                <w:highlight w:val="none"/>
              </w:rPr>
              <w:t>续航时间：≧9～12小时（根据实际工况），待机时间15小时以上。</w:t>
            </w:r>
          </w:p>
          <w:p w14:paraId="1DB8FDE3">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10、</w:t>
            </w:r>
            <w:r>
              <w:rPr>
                <w:rFonts w:ascii="Arial" w:hAnsi="Arial" w:eastAsia="宋体" w:cs="Arial"/>
                <w:color w:val="auto"/>
                <w:szCs w:val="21"/>
                <w:highlight w:val="none"/>
              </w:rPr>
              <w:t>交互方式：支持人脸识别、语音交互、触屏交互。</w:t>
            </w:r>
          </w:p>
          <w:p w14:paraId="67DC8536">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11、</w:t>
            </w:r>
            <w:r>
              <w:rPr>
                <w:rFonts w:ascii="Arial" w:hAnsi="Arial" w:eastAsia="宋体" w:cs="Arial"/>
                <w:color w:val="auto"/>
                <w:szCs w:val="21"/>
                <w:highlight w:val="none"/>
              </w:rPr>
              <w:t>需支持口罩检测及防疫宣教功能。</w:t>
            </w:r>
          </w:p>
          <w:p w14:paraId="6187BC94">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12、</w:t>
            </w:r>
            <w:r>
              <w:rPr>
                <w:rFonts w:ascii="Arial" w:hAnsi="Arial" w:eastAsia="宋体" w:cs="Arial"/>
                <w:color w:val="auto"/>
                <w:szCs w:val="21"/>
                <w:highlight w:val="none"/>
              </w:rPr>
              <w:t>支持自主认路功能：采用雷达扫描+鱼目摄像头+RGBD多传感器融合。</w:t>
            </w:r>
          </w:p>
          <w:p w14:paraId="32B5C54C">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13、</w:t>
            </w:r>
            <w:r>
              <w:rPr>
                <w:rFonts w:ascii="Arial" w:hAnsi="Arial" w:eastAsia="宋体" w:cs="Arial"/>
                <w:color w:val="auto"/>
                <w:szCs w:val="21"/>
                <w:highlight w:val="none"/>
              </w:rPr>
              <w:t>支持避障功能：支持自动避障，灵活避障，遇到行人和障碍物主动避开。</w:t>
            </w:r>
          </w:p>
          <w:p w14:paraId="4A6C2B05">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14、运营商支持：移动:3G/4G 联通:3G/4G 电信:4G(仅供上网使用)，联网配置：TD-SCDMA:1880-1920MHz 2010-2025MHzWCDMA:1940-1965MHzCDMA2000:825-835MHzTD-LTE:1880-1920MHz 2300-2370MHz 2555-2655MHzLTE FDD:1735-1765MHz 1765-1780MHz。</w:t>
            </w:r>
          </w:p>
          <w:p w14:paraId="7E808F07">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15、</w:t>
            </w:r>
            <w:r>
              <w:rPr>
                <w:rFonts w:ascii="Arial" w:hAnsi="Arial" w:eastAsia="宋体" w:cs="Arial"/>
                <w:color w:val="auto"/>
                <w:szCs w:val="21"/>
                <w:highlight w:val="none"/>
              </w:rPr>
              <w:t>支持无线连接：Wi-Fi：2.4G（2400-2483.5MHz）/5G（5725-5852MHz）</w:t>
            </w:r>
          </w:p>
          <w:p w14:paraId="2A4DB45F">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16、</w:t>
            </w:r>
            <w:r>
              <w:rPr>
                <w:rFonts w:ascii="Arial" w:hAnsi="Arial" w:eastAsia="宋体" w:cs="Arial"/>
                <w:color w:val="auto"/>
                <w:szCs w:val="21"/>
                <w:highlight w:val="none"/>
              </w:rPr>
              <w:t>操作系统：基于Android9.0及以上。</w:t>
            </w:r>
          </w:p>
          <w:p w14:paraId="695766F7">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17、</w:t>
            </w:r>
            <w:r>
              <w:rPr>
                <w:rFonts w:ascii="Arial" w:hAnsi="Arial" w:eastAsia="宋体" w:cs="Arial"/>
                <w:color w:val="auto"/>
                <w:szCs w:val="21"/>
                <w:highlight w:val="none"/>
              </w:rPr>
              <w:t>充电方式：自动充电。</w:t>
            </w:r>
          </w:p>
          <w:p w14:paraId="199BC718">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18、</w:t>
            </w:r>
            <w:r>
              <w:rPr>
                <w:rFonts w:ascii="Arial" w:hAnsi="Arial" w:eastAsia="宋体" w:cs="Arial"/>
                <w:color w:val="auto"/>
                <w:szCs w:val="21"/>
                <w:highlight w:val="none"/>
              </w:rPr>
              <w:t>人脸识别功能：须支持人脸识别，人脸跟随；≤300ms反馈时间，支持个人化问候，可推荐业务，须支持云端数据库，自动同步更新数据。</w:t>
            </w:r>
          </w:p>
          <w:p w14:paraId="2826C570">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19、</w:t>
            </w:r>
            <w:r>
              <w:rPr>
                <w:rFonts w:ascii="Arial" w:hAnsi="Arial" w:eastAsia="宋体" w:cs="Arial"/>
                <w:color w:val="auto"/>
                <w:szCs w:val="21"/>
                <w:highlight w:val="none"/>
              </w:rPr>
              <w:t>后台功能：需要自带NLP开发后台（云服务），能进行NLP自然语言处理的开发，同时能进行NLP内容导入、管理、学习，并能对语音交互数据进行记录。</w:t>
            </w:r>
          </w:p>
          <w:p w14:paraId="3A17FC3D">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20、</w:t>
            </w:r>
            <w:r>
              <w:rPr>
                <w:rFonts w:ascii="Arial" w:hAnsi="Arial" w:eastAsia="宋体" w:cs="Arial"/>
                <w:color w:val="auto"/>
                <w:szCs w:val="21"/>
                <w:highlight w:val="none"/>
              </w:rPr>
              <w:t>TTS更改功能：支持不低于两种或两种以上的音色进行更换。</w:t>
            </w:r>
          </w:p>
          <w:p w14:paraId="2619C876">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21、</w:t>
            </w:r>
            <w:r>
              <w:rPr>
                <w:rFonts w:ascii="Arial" w:hAnsi="Arial" w:eastAsia="宋体" w:cs="Arial"/>
                <w:color w:val="auto"/>
                <w:szCs w:val="21"/>
                <w:highlight w:val="none"/>
              </w:rPr>
              <w:t>远程功能：支持远程操作，远程视频通话，远程遥控，远程监控，远程OTA升系统级。</w:t>
            </w:r>
          </w:p>
          <w:p w14:paraId="7D53CE60">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22、</w:t>
            </w:r>
            <w:r>
              <w:rPr>
                <w:rFonts w:ascii="Arial" w:hAnsi="Arial" w:eastAsia="宋体" w:cs="Arial"/>
                <w:color w:val="auto"/>
                <w:szCs w:val="21"/>
                <w:highlight w:val="none"/>
              </w:rPr>
              <w:t>软件系统特性：支持根据每台机器配置不同的算法模型，支持自定义配置主页，具备大数据平台，可定期提供分析报告（不少于一季度一次），用作机器人日常使用情况、数据分析及客户咨询问题分析。支持远程控制系统，具备后台数据统计功能，能够记录设备使用状态及常见客户咨询问题，支持轻应用中心，支持URL导入，支持小程序、web端对机器管理，实时查看机器人设备当前状态，进行访客邀约、控制机器人充电。</w:t>
            </w:r>
          </w:p>
          <w:p w14:paraId="3545C394">
            <w:pPr>
              <w:pStyle w:val="65"/>
              <w:widowControl/>
              <w:wordWrap w:val="0"/>
              <w:adjustRightInd w:val="0"/>
              <w:snapToGrid w:val="0"/>
              <w:spacing w:after="0" w:line="288" w:lineRule="auto"/>
              <w:ind w:firstLine="0" w:firstLineChars="0"/>
              <w:rPr>
                <w:rFonts w:ascii="Arial" w:hAnsi="Arial" w:eastAsia="宋体" w:cs="Arial"/>
                <w:color w:val="auto"/>
                <w:szCs w:val="21"/>
                <w:highlight w:val="none"/>
              </w:rPr>
            </w:pPr>
            <w:r>
              <w:rPr>
                <w:rFonts w:hint="eastAsia" w:ascii="Arial" w:hAnsi="Arial" w:eastAsia="宋体" w:cs="Arial"/>
                <w:color w:val="auto"/>
                <w:szCs w:val="21"/>
                <w:highlight w:val="none"/>
              </w:rPr>
              <w:t>23、</w:t>
            </w:r>
            <w:r>
              <w:rPr>
                <w:rFonts w:ascii="Arial" w:hAnsi="Arial" w:eastAsia="宋体" w:cs="Arial"/>
                <w:color w:val="auto"/>
                <w:szCs w:val="21"/>
                <w:highlight w:val="none"/>
              </w:rPr>
              <w:t>讲解员功能：可自主控制多媒体展示设备，具备多媒体讲解PPT控制。</w:t>
            </w:r>
          </w:p>
          <w:p w14:paraId="4823B03D">
            <w:pPr>
              <w:pStyle w:val="65"/>
              <w:widowControl/>
              <w:wordWrap w:val="0"/>
              <w:adjustRightInd w:val="0"/>
              <w:snapToGrid w:val="0"/>
              <w:spacing w:after="0" w:line="288" w:lineRule="auto"/>
              <w:ind w:firstLine="0" w:firstLineChars="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rPr>
              <w:t>24、</w:t>
            </w:r>
            <w:r>
              <w:rPr>
                <w:rFonts w:ascii="Arial" w:hAnsi="Arial" w:eastAsia="宋体" w:cs="Arial"/>
                <w:color w:val="auto"/>
                <w:szCs w:val="21"/>
                <w:highlight w:val="none"/>
              </w:rPr>
              <w:t>所投产品应</w:t>
            </w:r>
            <w:r>
              <w:rPr>
                <w:rFonts w:ascii="Arial" w:hAnsi="Arial" w:eastAsia="宋体" w:cs="Arial"/>
                <w:color w:val="auto"/>
                <w:szCs w:val="21"/>
                <w:highlight w:val="none"/>
              </w:rPr>
              <w:t>具有</w:t>
            </w:r>
            <w:r>
              <w:rPr>
                <w:rFonts w:hint="eastAsia" w:ascii="Arial" w:hAnsi="Arial" w:eastAsia="宋体" w:cs="Arial"/>
                <w:color w:val="auto"/>
                <w:szCs w:val="21"/>
                <w:highlight w:val="none"/>
              </w:rPr>
              <w:t>国家认可的第三方权威机构出具</w:t>
            </w:r>
            <w:r>
              <w:rPr>
                <w:rFonts w:ascii="Arial" w:hAnsi="Arial" w:eastAsia="宋体" w:cs="Arial"/>
                <w:color w:val="auto"/>
                <w:szCs w:val="21"/>
                <w:highlight w:val="none"/>
              </w:rPr>
              <w:t>的</w:t>
            </w:r>
            <w:r>
              <w:rPr>
                <w:rFonts w:ascii="Arial" w:hAnsi="Arial" w:eastAsia="宋体" w:cs="Arial"/>
                <w:color w:val="auto"/>
                <w:szCs w:val="21"/>
                <w:highlight w:val="none"/>
              </w:rPr>
              <w:t>《中国机器人认证证书》</w:t>
            </w:r>
            <w:r>
              <w:rPr>
                <w:rFonts w:hint="eastAsia" w:ascii="Arial" w:hAnsi="Arial" w:eastAsia="宋体" w:cs="Arial"/>
                <w:b/>
                <w:bCs/>
                <w:color w:val="auto"/>
                <w:szCs w:val="21"/>
                <w:highlight w:val="none"/>
              </w:rPr>
              <w:t>（</w:t>
            </w:r>
            <w:r>
              <w:rPr>
                <w:rFonts w:hint="eastAsia" w:ascii="Arial" w:hAnsi="Arial" w:eastAsia="宋体" w:cs="Arial"/>
                <w:b/>
                <w:bCs/>
                <w:color w:val="auto"/>
                <w:szCs w:val="21"/>
                <w:highlight w:val="none"/>
                <w:lang w:val="en-US" w:eastAsia="zh-CN"/>
              </w:rPr>
              <w:t>响应文件中</w:t>
            </w:r>
            <w:r>
              <w:rPr>
                <w:rFonts w:hint="eastAsia" w:ascii="Arial" w:hAnsi="Arial" w:eastAsia="宋体" w:cs="Arial"/>
                <w:b/>
                <w:bCs/>
                <w:color w:val="auto"/>
                <w:szCs w:val="21"/>
                <w:highlight w:val="none"/>
              </w:rPr>
              <w:t>提供认证证书复印件加盖供应商公章）</w:t>
            </w:r>
            <w:r>
              <w:rPr>
                <w:rFonts w:hint="eastAsia" w:ascii="Arial" w:hAnsi="Arial" w:eastAsia="宋体" w:cs="Arial"/>
                <w:b/>
                <w:bCs/>
                <w:color w:val="auto"/>
                <w:szCs w:val="21"/>
                <w:highlight w:val="none"/>
                <w:lang w:eastAsia="zh-CN"/>
              </w:rPr>
              <w:t>。</w:t>
            </w:r>
          </w:p>
          <w:p w14:paraId="06ED9554">
            <w:pPr>
              <w:pStyle w:val="65"/>
              <w:widowControl/>
              <w:wordWrap w:val="0"/>
              <w:adjustRightInd w:val="0"/>
              <w:snapToGrid w:val="0"/>
              <w:spacing w:after="0" w:line="288" w:lineRule="auto"/>
              <w:ind w:firstLine="0" w:firstLineChars="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rPr>
              <w:t>25、</w:t>
            </w:r>
            <w:r>
              <w:rPr>
                <w:rFonts w:ascii="Arial" w:hAnsi="Arial" w:eastAsia="宋体" w:cs="Arial"/>
                <w:color w:val="auto"/>
                <w:szCs w:val="21"/>
                <w:highlight w:val="none"/>
              </w:rPr>
              <w:t>为保障数据安全，AI智能服务机器人的人脸识别技术、语音合成技术、语音识别技术、室内自主导航技术属于设备生产厂商自主研发</w:t>
            </w:r>
            <w:r>
              <w:rPr>
                <w:rFonts w:hint="eastAsia" w:ascii="Arial" w:hAnsi="Arial" w:eastAsia="宋体" w:cs="Arial"/>
                <w:color w:val="auto"/>
                <w:szCs w:val="21"/>
                <w:highlight w:val="none"/>
                <w:lang w:eastAsia="zh-CN"/>
              </w:rPr>
              <w:t>。</w:t>
            </w:r>
          </w:p>
        </w:tc>
      </w:tr>
      <w:tr w14:paraId="7467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771" w:type="dxa"/>
            <w:gridSpan w:val="7"/>
          </w:tcPr>
          <w:p w14:paraId="127F7492">
            <w:pPr>
              <w:spacing w:after="0" w:line="288" w:lineRule="auto"/>
              <w:rPr>
                <w:rFonts w:ascii="Arial" w:hAnsi="Arial" w:eastAsia="宋体" w:cs="Arial"/>
                <w:color w:val="auto"/>
                <w:szCs w:val="21"/>
                <w:highlight w:val="none"/>
              </w:rPr>
            </w:pPr>
            <w:r>
              <w:rPr>
                <w:rFonts w:ascii="Arial" w:hAnsi="Arial" w:eastAsia="宋体" w:cs="Arial"/>
                <w:b/>
                <w:color w:val="auto"/>
                <w:szCs w:val="21"/>
                <w:highlight w:val="none"/>
              </w:rPr>
              <w:t>预算金额（元）：</w:t>
            </w:r>
            <w:r>
              <w:rPr>
                <w:rFonts w:ascii="Arial" w:hAnsi="Arial" w:eastAsia="宋体" w:cs="Arial"/>
                <w:color w:val="auto"/>
                <w:szCs w:val="21"/>
                <w:highlight w:val="none"/>
              </w:rPr>
              <w:t>本项目采购</w:t>
            </w:r>
            <w:r>
              <w:rPr>
                <w:rFonts w:ascii="Arial" w:hAnsi="Arial" w:eastAsia="宋体" w:cs="Arial"/>
                <w:b/>
                <w:color w:val="auto"/>
                <w:szCs w:val="21"/>
                <w:highlight w:val="none"/>
                <w:u w:val="single"/>
              </w:rPr>
              <w:t>预算为</w:t>
            </w:r>
            <w:r>
              <w:rPr>
                <w:rFonts w:hint="eastAsia" w:ascii="Arial" w:hAnsi="Arial" w:eastAsia="宋体" w:cs="Arial"/>
                <w:b/>
                <w:color w:val="auto"/>
                <w:szCs w:val="21"/>
                <w:highlight w:val="none"/>
                <w:u w:val="single"/>
              </w:rPr>
              <w:t>：人民币柒</w:t>
            </w:r>
            <w:r>
              <w:rPr>
                <w:rFonts w:ascii="Arial" w:hAnsi="Arial" w:eastAsia="宋体" w:cs="Arial"/>
                <w:b/>
                <w:color w:val="auto"/>
                <w:szCs w:val="21"/>
                <w:highlight w:val="none"/>
                <w:u w:val="single"/>
              </w:rPr>
              <w:t>万元整（¥</w:t>
            </w:r>
            <w:r>
              <w:rPr>
                <w:rFonts w:hint="eastAsia" w:ascii="Arial" w:hAnsi="Arial" w:eastAsia="宋体" w:cs="Arial"/>
                <w:b/>
                <w:color w:val="auto"/>
                <w:szCs w:val="21"/>
                <w:highlight w:val="none"/>
                <w:u w:val="single"/>
              </w:rPr>
              <w:t>70000</w:t>
            </w:r>
            <w:r>
              <w:rPr>
                <w:rFonts w:ascii="Arial" w:hAnsi="Arial" w:eastAsia="宋体" w:cs="Arial"/>
                <w:b/>
                <w:color w:val="auto"/>
                <w:szCs w:val="21"/>
                <w:highlight w:val="none"/>
                <w:u w:val="single"/>
              </w:rPr>
              <w:t>.00）</w:t>
            </w:r>
            <w:r>
              <w:rPr>
                <w:rFonts w:ascii="Arial" w:hAnsi="Arial" w:eastAsia="宋体" w:cs="Arial"/>
                <w:color w:val="auto"/>
                <w:szCs w:val="21"/>
                <w:highlight w:val="none"/>
              </w:rPr>
              <w:t>，</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报价超采购预算的，作</w:t>
            </w:r>
            <w:r>
              <w:rPr>
                <w:rFonts w:hint="eastAsia" w:ascii="Arial" w:hAnsi="Arial" w:eastAsia="宋体" w:cs="Arial"/>
                <w:color w:val="auto"/>
                <w:szCs w:val="21"/>
                <w:highlight w:val="none"/>
              </w:rPr>
              <w:t>响应</w:t>
            </w:r>
            <w:r>
              <w:rPr>
                <w:rFonts w:ascii="Arial" w:hAnsi="Arial" w:eastAsia="宋体" w:cs="Arial"/>
                <w:color w:val="auto"/>
                <w:szCs w:val="21"/>
                <w:highlight w:val="none"/>
              </w:rPr>
              <w:t>无效处理</w:t>
            </w:r>
          </w:p>
        </w:tc>
      </w:tr>
      <w:tr w14:paraId="3BCE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771" w:type="dxa"/>
            <w:gridSpan w:val="7"/>
          </w:tcPr>
          <w:p w14:paraId="2F86A107">
            <w:pPr>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二、核心产品：为第</w:t>
            </w:r>
            <w:r>
              <w:rPr>
                <w:rFonts w:ascii="Arial" w:hAnsi="Arial" w:eastAsia="宋体" w:cs="Arial"/>
                <w:b/>
                <w:color w:val="auto"/>
                <w:szCs w:val="21"/>
                <w:highlight w:val="none"/>
                <w:u w:val="single"/>
              </w:rPr>
              <w:t xml:space="preserve"> 1 </w:t>
            </w:r>
            <w:r>
              <w:rPr>
                <w:rFonts w:ascii="Arial" w:hAnsi="Arial" w:eastAsia="宋体" w:cs="Arial"/>
                <w:b/>
                <w:color w:val="auto"/>
                <w:szCs w:val="21"/>
                <w:highlight w:val="none"/>
              </w:rPr>
              <w:t>项号标的“</w:t>
            </w:r>
            <w:r>
              <w:rPr>
                <w:rFonts w:hint="eastAsia" w:ascii="Arial" w:hAnsi="Arial" w:eastAsia="宋体" w:cs="Arial"/>
                <w:b/>
                <w:color w:val="auto"/>
                <w:szCs w:val="21"/>
                <w:highlight w:val="none"/>
                <w:u w:val="single"/>
              </w:rPr>
              <w:t>智能讲解机器人</w:t>
            </w:r>
            <w:r>
              <w:rPr>
                <w:rFonts w:ascii="Arial" w:hAnsi="Arial" w:eastAsia="宋体" w:cs="Arial"/>
                <w:b/>
                <w:color w:val="auto"/>
                <w:szCs w:val="21"/>
                <w:highlight w:val="none"/>
              </w:rPr>
              <w:t>”。</w:t>
            </w:r>
          </w:p>
        </w:tc>
      </w:tr>
      <w:tr w14:paraId="4658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771" w:type="dxa"/>
            <w:gridSpan w:val="7"/>
          </w:tcPr>
          <w:p w14:paraId="7B7DDA40">
            <w:pPr>
              <w:spacing w:after="0" w:line="288" w:lineRule="auto"/>
              <w:rPr>
                <w:rFonts w:ascii="Arial" w:hAnsi="Arial" w:eastAsia="宋体" w:cs="Arial"/>
                <w:color w:val="auto"/>
                <w:szCs w:val="21"/>
                <w:highlight w:val="none"/>
              </w:rPr>
            </w:pPr>
            <w:r>
              <w:rPr>
                <w:rFonts w:ascii="Arial" w:hAnsi="Arial" w:eastAsia="宋体" w:cs="Arial"/>
                <w:b/>
                <w:bCs/>
                <w:color w:val="auto"/>
                <w:szCs w:val="21"/>
                <w:highlight w:val="none"/>
              </w:rPr>
              <w:t>三、商务要求</w:t>
            </w:r>
          </w:p>
        </w:tc>
      </w:tr>
      <w:tr w14:paraId="127B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722" w:type="dxa"/>
            <w:gridSpan w:val="2"/>
            <w:vAlign w:val="center"/>
          </w:tcPr>
          <w:p w14:paraId="17F6989F">
            <w:pPr>
              <w:snapToGrid w:val="0"/>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（一）免费保修期</w:t>
            </w:r>
          </w:p>
        </w:tc>
        <w:tc>
          <w:tcPr>
            <w:tcW w:w="8049" w:type="dxa"/>
            <w:gridSpan w:val="5"/>
            <w:vAlign w:val="center"/>
          </w:tcPr>
          <w:p w14:paraId="5797BA7E">
            <w:pPr>
              <w:snapToGrid w:val="0"/>
              <w:spacing w:after="0" w:line="288" w:lineRule="auto"/>
              <w:jc w:val="left"/>
              <w:rPr>
                <w:rFonts w:ascii="Arial" w:hAnsi="Arial" w:eastAsia="宋体" w:cs="Arial"/>
                <w:color w:val="auto"/>
                <w:szCs w:val="21"/>
                <w:highlight w:val="none"/>
              </w:rPr>
            </w:pPr>
            <w:r>
              <w:rPr>
                <w:rFonts w:hint="eastAsia" w:ascii="Arial" w:hAnsi="Arial" w:eastAsia="宋体" w:cs="Arial"/>
                <w:color w:val="auto"/>
                <w:szCs w:val="21"/>
                <w:highlight w:val="none"/>
              </w:rPr>
              <w:t>1．免费保修期：按国家有关产品“三包”规定执行“三包”，免费保修期最短不得少于</w:t>
            </w:r>
            <w:r>
              <w:rPr>
                <w:rFonts w:hint="eastAsia" w:ascii="Arial" w:hAnsi="Arial" w:eastAsia="宋体" w:cs="Arial"/>
                <w:color w:val="auto"/>
                <w:szCs w:val="21"/>
                <w:highlight w:val="none"/>
                <w:u w:val="single"/>
              </w:rPr>
              <w:t xml:space="preserve"> 2 </w:t>
            </w:r>
            <w:r>
              <w:rPr>
                <w:rFonts w:hint="eastAsia" w:ascii="Arial" w:hAnsi="Arial" w:eastAsia="宋体" w:cs="Arial"/>
                <w:color w:val="auto"/>
                <w:szCs w:val="21"/>
                <w:highlight w:val="none"/>
              </w:rPr>
              <w:t>年（免费保修期从设备验收合格之日起计算，项目要求及技术需求中规定的，按规定执行）。免费保修期内免费上门维修（免收维修费和元器件费）、免费更换零部件，并提供终身维修服务。</w:t>
            </w:r>
          </w:p>
        </w:tc>
      </w:tr>
      <w:tr w14:paraId="315F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722" w:type="dxa"/>
            <w:gridSpan w:val="2"/>
            <w:vAlign w:val="center"/>
          </w:tcPr>
          <w:p w14:paraId="254784AA">
            <w:pPr>
              <w:snapToGrid w:val="0"/>
              <w:spacing w:after="0"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rPr>
              <w:t>（二）售后服务要求</w:t>
            </w:r>
          </w:p>
        </w:tc>
        <w:tc>
          <w:tcPr>
            <w:tcW w:w="8049" w:type="dxa"/>
            <w:gridSpan w:val="5"/>
            <w:vAlign w:val="center"/>
          </w:tcPr>
          <w:p w14:paraId="55AEEDD8">
            <w:pPr>
              <w:snapToGrid w:val="0"/>
              <w:spacing w:after="0" w:line="288" w:lineRule="auto"/>
              <w:jc w:val="left"/>
              <w:rPr>
                <w:rFonts w:ascii="Arial" w:hAnsi="Arial" w:eastAsia="宋体" w:cs="Arial"/>
                <w:color w:val="auto"/>
                <w:szCs w:val="21"/>
                <w:highlight w:val="none"/>
              </w:rPr>
            </w:pPr>
            <w:r>
              <w:rPr>
                <w:rFonts w:hint="eastAsia" w:ascii="Arial" w:hAnsi="Arial" w:eastAsia="宋体" w:cs="Arial"/>
                <w:color w:val="auto"/>
                <w:szCs w:val="21"/>
                <w:highlight w:val="none"/>
              </w:rPr>
              <w:t>1</w:t>
            </w:r>
            <w:r>
              <w:rPr>
                <w:rFonts w:ascii="Arial" w:hAnsi="Arial" w:eastAsia="宋体" w:cs="Arial"/>
                <w:color w:val="auto"/>
                <w:szCs w:val="21"/>
                <w:highlight w:val="none"/>
              </w:rPr>
              <w:t>．</w:t>
            </w:r>
            <w:r>
              <w:rPr>
                <w:rFonts w:hint="eastAsia" w:ascii="Arial" w:hAnsi="Arial" w:eastAsia="宋体" w:cs="Arial"/>
                <w:color w:val="auto"/>
                <w:szCs w:val="21"/>
                <w:highlight w:val="none"/>
              </w:rPr>
              <w:t>免费送货上门，免费按采购人要求安装调试，免费技术培训，直至操作人员熟练操作产品的各项功能。</w:t>
            </w:r>
          </w:p>
          <w:p w14:paraId="07ACBC84">
            <w:pPr>
              <w:snapToGrid w:val="0"/>
              <w:spacing w:after="0" w:line="288" w:lineRule="auto"/>
              <w:jc w:val="left"/>
              <w:rPr>
                <w:rFonts w:ascii="Arial" w:hAnsi="Arial" w:eastAsia="宋体" w:cs="Arial"/>
                <w:color w:val="auto"/>
                <w:szCs w:val="21"/>
                <w:highlight w:val="none"/>
              </w:rPr>
            </w:pPr>
            <w:r>
              <w:rPr>
                <w:rFonts w:hint="eastAsia" w:ascii="Arial" w:hAnsi="Arial" w:eastAsia="宋体" w:cs="Arial"/>
                <w:color w:val="auto"/>
                <w:szCs w:val="21"/>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w:t>
            </w:r>
            <w:r>
              <w:rPr>
                <w:rFonts w:hint="eastAsia" w:ascii="Arial" w:hAnsi="Arial" w:eastAsia="宋体" w:cs="Arial"/>
                <w:color w:val="auto"/>
                <w:szCs w:val="21"/>
                <w:highlight w:val="none"/>
                <w:lang w:val="zh-CN"/>
              </w:rPr>
              <w:t>产品自带</w:t>
            </w:r>
            <w:r>
              <w:rPr>
                <w:rFonts w:hint="eastAsia" w:ascii="Arial" w:hAnsi="Arial" w:eastAsia="宋体" w:cs="Arial"/>
                <w:color w:val="auto"/>
                <w:szCs w:val="21"/>
                <w:highlight w:val="none"/>
              </w:rPr>
              <w:t>软件的，则须提供免费保修期内免费升级服务。③其余按厂家承诺执行。</w:t>
            </w:r>
          </w:p>
          <w:p w14:paraId="25BF1F61">
            <w:pPr>
              <w:snapToGrid w:val="0"/>
              <w:spacing w:after="0" w:line="288" w:lineRule="auto"/>
              <w:jc w:val="left"/>
              <w:rPr>
                <w:rFonts w:ascii="Arial" w:hAnsi="Arial" w:eastAsia="宋体" w:cs="Arial"/>
                <w:color w:val="auto"/>
                <w:szCs w:val="21"/>
                <w:highlight w:val="none"/>
              </w:rPr>
            </w:pPr>
            <w:r>
              <w:rPr>
                <w:rFonts w:hint="eastAsia" w:ascii="Arial" w:hAnsi="Arial" w:eastAsia="宋体" w:cs="Arial"/>
                <w:b/>
                <w:bCs/>
                <w:color w:val="auto"/>
                <w:szCs w:val="21"/>
                <w:highlight w:val="none"/>
              </w:rPr>
              <w:t>3</w:t>
            </w:r>
            <w:r>
              <w:rPr>
                <w:rFonts w:ascii="Arial" w:hAnsi="Arial" w:eastAsia="宋体" w:cs="Arial"/>
                <w:b/>
                <w:bCs/>
                <w:color w:val="auto"/>
                <w:szCs w:val="21"/>
                <w:highlight w:val="none"/>
              </w:rPr>
              <w:t>.</w:t>
            </w:r>
            <w:r>
              <w:rPr>
                <w:rFonts w:hint="eastAsia" w:ascii="Arial" w:hAnsi="Arial" w:eastAsia="宋体" w:cs="Arial"/>
                <w:b/>
                <w:bCs/>
                <w:color w:val="auto"/>
                <w:szCs w:val="21"/>
                <w:highlight w:val="none"/>
              </w:rPr>
              <w:t>供货时提供“智能讲解机器人”生产厂商出具的原厂授权书，售后服务承诺书，技术参数确认函，《中国机器人认证证书》复印件、</w:t>
            </w:r>
            <w:r>
              <w:rPr>
                <w:rFonts w:ascii="Arial" w:hAnsi="Arial" w:eastAsia="宋体" w:cs="Arial"/>
                <w:b/>
                <w:bCs/>
                <w:color w:val="auto"/>
                <w:szCs w:val="21"/>
                <w:highlight w:val="none"/>
              </w:rPr>
              <w:t>AI智能服务机器人的人脸识别技术、语音合成技术、语音识别技术、室内自主导航技术</w:t>
            </w:r>
            <w:r>
              <w:rPr>
                <w:rFonts w:hint="eastAsia" w:ascii="Arial" w:hAnsi="Arial" w:eastAsia="宋体" w:cs="Arial"/>
                <w:b/>
                <w:bCs/>
                <w:color w:val="auto"/>
                <w:szCs w:val="21"/>
                <w:highlight w:val="none"/>
              </w:rPr>
              <w:t>软件著作权登记证书复印件并加盖原厂公章。</w:t>
            </w:r>
          </w:p>
        </w:tc>
      </w:tr>
      <w:tr w14:paraId="666F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22" w:type="dxa"/>
            <w:gridSpan w:val="2"/>
            <w:vAlign w:val="center"/>
          </w:tcPr>
          <w:p w14:paraId="22B255DF">
            <w:pPr>
              <w:snapToGrid w:val="0"/>
              <w:spacing w:after="0"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（三）合同签订时间</w:t>
            </w:r>
          </w:p>
        </w:tc>
        <w:tc>
          <w:tcPr>
            <w:tcW w:w="8049" w:type="dxa"/>
            <w:gridSpan w:val="5"/>
          </w:tcPr>
          <w:p w14:paraId="733F28FF">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自</w:t>
            </w:r>
            <w:r>
              <w:rPr>
                <w:rFonts w:hint="eastAsia" w:ascii="Arial" w:hAnsi="Arial" w:eastAsia="宋体" w:cs="Arial"/>
                <w:color w:val="auto"/>
                <w:szCs w:val="21"/>
                <w:highlight w:val="none"/>
              </w:rPr>
              <w:t>成交</w:t>
            </w:r>
            <w:r>
              <w:rPr>
                <w:rFonts w:ascii="Arial" w:hAnsi="Arial" w:eastAsia="宋体" w:cs="Arial"/>
                <w:color w:val="auto"/>
                <w:szCs w:val="21"/>
                <w:highlight w:val="none"/>
              </w:rPr>
              <w:t>通知书发出之日起</w:t>
            </w:r>
            <w:r>
              <w:rPr>
                <w:rFonts w:ascii="Arial" w:hAnsi="Arial" w:eastAsia="宋体" w:cs="Arial"/>
                <w:b/>
                <w:color w:val="auto"/>
                <w:szCs w:val="21"/>
                <w:highlight w:val="none"/>
                <w:u w:val="single"/>
              </w:rPr>
              <w:t xml:space="preserve"> 25 日</w:t>
            </w:r>
            <w:r>
              <w:rPr>
                <w:rFonts w:ascii="Arial" w:hAnsi="Arial" w:eastAsia="宋体" w:cs="Arial"/>
                <w:color w:val="auto"/>
                <w:szCs w:val="21"/>
                <w:highlight w:val="none"/>
              </w:rPr>
              <w:t>内签</w:t>
            </w:r>
            <w:r>
              <w:rPr>
                <w:rFonts w:ascii="Arial" w:hAnsi="Arial" w:eastAsia="宋体" w:cs="Arial"/>
                <w:color w:val="auto"/>
                <w:szCs w:val="21"/>
                <w:highlight w:val="none"/>
              </w:rPr>
              <w:t>订采购合同。</w:t>
            </w:r>
          </w:p>
        </w:tc>
      </w:tr>
      <w:tr w14:paraId="24B7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22" w:type="dxa"/>
            <w:gridSpan w:val="2"/>
            <w:vAlign w:val="center"/>
          </w:tcPr>
          <w:p w14:paraId="66AD59D8">
            <w:pPr>
              <w:spacing w:after="0" w:line="288" w:lineRule="auto"/>
              <w:jc w:val="center"/>
              <w:rPr>
                <w:rFonts w:ascii="Arial" w:hAnsi="Arial" w:eastAsia="宋体" w:cs="Arial"/>
                <w:bCs/>
                <w:color w:val="auto"/>
                <w:szCs w:val="21"/>
                <w:highlight w:val="none"/>
              </w:rPr>
            </w:pPr>
            <w:r>
              <w:rPr>
                <w:rFonts w:ascii="Arial" w:hAnsi="Arial" w:eastAsia="宋体" w:cs="Arial"/>
                <w:color w:val="auto"/>
                <w:szCs w:val="21"/>
                <w:highlight w:val="none"/>
              </w:rPr>
              <w:t>（四）交货期及地点</w:t>
            </w:r>
          </w:p>
        </w:tc>
        <w:tc>
          <w:tcPr>
            <w:tcW w:w="8049" w:type="dxa"/>
            <w:gridSpan w:val="5"/>
            <w:vAlign w:val="center"/>
          </w:tcPr>
          <w:p w14:paraId="520B6714">
            <w:pPr>
              <w:spacing w:after="0" w:line="288" w:lineRule="auto"/>
              <w:rPr>
                <w:rFonts w:ascii="Arial" w:hAnsi="Arial" w:eastAsia="宋体" w:cs="Arial"/>
                <w:bCs/>
                <w:color w:val="auto"/>
                <w:szCs w:val="21"/>
                <w:highlight w:val="none"/>
              </w:rPr>
            </w:pPr>
            <w:r>
              <w:rPr>
                <w:rFonts w:ascii="Arial" w:hAnsi="Arial" w:eastAsia="宋体" w:cs="Arial"/>
                <w:color w:val="auto"/>
                <w:szCs w:val="21"/>
                <w:highlight w:val="none"/>
              </w:rPr>
              <w:t>1．</w:t>
            </w:r>
            <w:r>
              <w:rPr>
                <w:rFonts w:ascii="Arial" w:hAnsi="Arial" w:eastAsia="宋体" w:cs="Arial"/>
                <w:bCs/>
                <w:color w:val="auto"/>
                <w:szCs w:val="21"/>
                <w:highlight w:val="none"/>
              </w:rPr>
              <w:t>交货期：</w:t>
            </w:r>
            <w:r>
              <w:rPr>
                <w:rFonts w:ascii="Arial" w:hAnsi="Arial" w:eastAsia="宋体" w:cs="Arial"/>
                <w:color w:val="auto"/>
                <w:szCs w:val="21"/>
                <w:highlight w:val="none"/>
              </w:rPr>
              <w:t>自签订合同之日起</w:t>
            </w:r>
            <w:r>
              <w:rPr>
                <w:rFonts w:ascii="Arial" w:hAnsi="Arial" w:eastAsia="宋体" w:cs="Arial"/>
                <w:b/>
                <w:color w:val="auto"/>
                <w:szCs w:val="21"/>
                <w:highlight w:val="none"/>
                <w:u w:val="single"/>
              </w:rPr>
              <w:t xml:space="preserve">  </w:t>
            </w:r>
            <w:r>
              <w:rPr>
                <w:rFonts w:hint="eastAsia" w:ascii="Arial" w:hAnsi="Arial" w:eastAsia="宋体" w:cs="Arial"/>
                <w:b/>
                <w:color w:val="auto"/>
                <w:szCs w:val="21"/>
                <w:highlight w:val="none"/>
                <w:u w:val="single"/>
              </w:rPr>
              <w:t>1</w:t>
            </w:r>
            <w:r>
              <w:rPr>
                <w:rFonts w:ascii="Arial" w:hAnsi="Arial" w:eastAsia="宋体" w:cs="Arial"/>
                <w:b/>
                <w:color w:val="auto"/>
                <w:szCs w:val="21"/>
                <w:highlight w:val="none"/>
                <w:u w:val="single"/>
              </w:rPr>
              <w:t>5 天</w:t>
            </w:r>
            <w:r>
              <w:rPr>
                <w:rFonts w:ascii="Arial" w:hAnsi="Arial" w:eastAsia="宋体" w:cs="Arial"/>
                <w:color w:val="auto"/>
                <w:szCs w:val="21"/>
                <w:highlight w:val="none"/>
              </w:rPr>
              <w:t>内到货并全部安装调试合格完毕；</w:t>
            </w:r>
          </w:p>
          <w:p w14:paraId="03D01C69">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2．交货地点：广西桂林市采购人指定地点。</w:t>
            </w:r>
          </w:p>
        </w:tc>
      </w:tr>
      <w:tr w14:paraId="240E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22" w:type="dxa"/>
            <w:gridSpan w:val="2"/>
            <w:vAlign w:val="center"/>
          </w:tcPr>
          <w:p w14:paraId="651E7E38">
            <w:pPr>
              <w:spacing w:after="0" w:line="288" w:lineRule="auto"/>
              <w:jc w:val="center"/>
              <w:rPr>
                <w:rFonts w:ascii="Arial" w:hAnsi="Arial" w:eastAsia="宋体" w:cs="Arial"/>
                <w:bCs/>
                <w:color w:val="auto"/>
                <w:szCs w:val="21"/>
                <w:highlight w:val="none"/>
              </w:rPr>
            </w:pPr>
            <w:r>
              <w:rPr>
                <w:rFonts w:ascii="Arial" w:hAnsi="Arial" w:eastAsia="宋体" w:cs="Arial"/>
                <w:color w:val="auto"/>
                <w:szCs w:val="21"/>
                <w:highlight w:val="none"/>
              </w:rPr>
              <w:t>（五）付款方式</w:t>
            </w:r>
          </w:p>
        </w:tc>
        <w:tc>
          <w:tcPr>
            <w:tcW w:w="8049" w:type="dxa"/>
            <w:gridSpan w:val="5"/>
          </w:tcPr>
          <w:p w14:paraId="02AF283F">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本项目通过最终验收后，成交供应商开具全额发票（国产设备必须开具增值税专用发票）给采购人，采购人收到发票后10个工作日内一次性付清100%的合同价款（无息）。</w:t>
            </w:r>
          </w:p>
        </w:tc>
      </w:tr>
      <w:tr w14:paraId="1DC1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22" w:type="dxa"/>
            <w:gridSpan w:val="2"/>
            <w:vAlign w:val="center"/>
          </w:tcPr>
          <w:p w14:paraId="36EE990D">
            <w:pPr>
              <w:adjustRightInd w:val="0"/>
              <w:snapToGrid w:val="0"/>
              <w:spacing w:after="0" w:line="288" w:lineRule="auto"/>
              <w:jc w:val="center"/>
              <w:rPr>
                <w:rFonts w:ascii="Arial" w:hAnsi="Arial" w:eastAsia="宋体" w:cs="Arial"/>
                <w:bCs/>
                <w:color w:val="auto"/>
                <w:kern w:val="0"/>
                <w:szCs w:val="21"/>
                <w:highlight w:val="none"/>
              </w:rPr>
            </w:pPr>
            <w:r>
              <w:rPr>
                <w:rFonts w:ascii="Arial" w:hAnsi="Arial" w:eastAsia="宋体" w:cs="Arial"/>
                <w:color w:val="auto"/>
                <w:szCs w:val="21"/>
                <w:highlight w:val="none"/>
              </w:rPr>
              <w:t>（六）包装和运输</w:t>
            </w:r>
          </w:p>
        </w:tc>
        <w:tc>
          <w:tcPr>
            <w:tcW w:w="8049" w:type="dxa"/>
            <w:gridSpan w:val="5"/>
          </w:tcPr>
          <w:p w14:paraId="53E229FB">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1.原厂原包装，包装完好、完整无破损、未开封。</w:t>
            </w:r>
          </w:p>
          <w:p w14:paraId="0430D5D2">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2.包装及运输方式应综合考虑运输距离、防潮、防震、防锈和防破损装卸等要求。</w:t>
            </w:r>
          </w:p>
          <w:p w14:paraId="2C3F3D0A">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3.国家对包装及运输有相关强制性标准或要求的，</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应当执行。</w:t>
            </w:r>
          </w:p>
          <w:p w14:paraId="273BEE79">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4.产品(含包装)运抵采购人指定交付地点前发生损坏的，相关损失由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自行承担。</w:t>
            </w:r>
          </w:p>
        </w:tc>
      </w:tr>
      <w:tr w14:paraId="6B98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22" w:type="dxa"/>
            <w:gridSpan w:val="2"/>
            <w:vAlign w:val="center"/>
          </w:tcPr>
          <w:p w14:paraId="2482B263">
            <w:pPr>
              <w:adjustRightInd w:val="0"/>
              <w:snapToGrid w:val="0"/>
              <w:spacing w:after="0" w:line="288" w:lineRule="auto"/>
              <w:jc w:val="center"/>
              <w:rPr>
                <w:rFonts w:ascii="Arial" w:hAnsi="Arial" w:eastAsia="宋体" w:cs="Arial"/>
                <w:bCs/>
                <w:color w:val="auto"/>
                <w:kern w:val="0"/>
                <w:szCs w:val="21"/>
                <w:highlight w:val="none"/>
              </w:rPr>
            </w:pPr>
            <w:r>
              <w:rPr>
                <w:rFonts w:ascii="Arial" w:hAnsi="Arial" w:eastAsia="宋体" w:cs="Arial"/>
                <w:color w:val="auto"/>
                <w:szCs w:val="21"/>
                <w:highlight w:val="none"/>
              </w:rPr>
              <w:t>（七）保险</w:t>
            </w:r>
          </w:p>
        </w:tc>
        <w:tc>
          <w:tcPr>
            <w:tcW w:w="8049" w:type="dxa"/>
            <w:gridSpan w:val="5"/>
          </w:tcPr>
          <w:p w14:paraId="7A02E74B">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若</w:t>
            </w:r>
            <w:r>
              <w:rPr>
                <w:rFonts w:hint="eastAsia" w:ascii="Arial" w:hAnsi="Arial" w:eastAsia="宋体" w:cs="Arial"/>
                <w:color w:val="auto"/>
                <w:szCs w:val="21"/>
                <w:highlight w:val="none"/>
              </w:rPr>
              <w:t>供应商</w:t>
            </w:r>
            <w:r>
              <w:rPr>
                <w:rFonts w:ascii="Arial" w:hAnsi="Arial" w:eastAsia="宋体" w:cs="Arial"/>
                <w:color w:val="auto"/>
                <w:szCs w:val="21"/>
                <w:highlight w:val="none"/>
              </w:rPr>
              <w:t>为本项目标的及标的涉及的相关材料、设备、人员、运输等购买保险的，相关费用由</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自行承担。</w:t>
            </w:r>
          </w:p>
        </w:tc>
      </w:tr>
      <w:tr w14:paraId="42E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22" w:type="dxa"/>
            <w:gridSpan w:val="2"/>
            <w:vAlign w:val="center"/>
          </w:tcPr>
          <w:p w14:paraId="63BD12A9">
            <w:pPr>
              <w:widowControl/>
              <w:spacing w:after="0" w:line="288" w:lineRule="auto"/>
              <w:jc w:val="center"/>
              <w:rPr>
                <w:rFonts w:ascii="Arial" w:hAnsi="Arial" w:eastAsia="宋体" w:cs="Arial"/>
                <w:bCs/>
                <w:color w:val="auto"/>
                <w:kern w:val="0"/>
                <w:szCs w:val="21"/>
                <w:highlight w:val="none"/>
              </w:rPr>
            </w:pPr>
            <w:r>
              <w:rPr>
                <w:rFonts w:ascii="Arial" w:hAnsi="Arial" w:eastAsia="宋体" w:cs="Arial"/>
                <w:bCs/>
                <w:color w:val="auto"/>
                <w:kern w:val="0"/>
                <w:szCs w:val="21"/>
                <w:highlight w:val="none"/>
              </w:rPr>
              <w:t>（八）验收标准</w:t>
            </w:r>
          </w:p>
        </w:tc>
        <w:tc>
          <w:tcPr>
            <w:tcW w:w="8049" w:type="dxa"/>
            <w:gridSpan w:val="5"/>
            <w:vAlign w:val="center"/>
          </w:tcPr>
          <w:p w14:paraId="7FC2B6A5">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（1）质量标准：本项目执行国家相关标准、行业标准、地方标准或者其他标准、规范。如具体采购需求与标准、规范不一致的，高于标准、规范的按具体采购需求执行；低于标准、规范的按标准、规范执行。</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所提供的产品必须是全新、完好、无破损、未经使用的原装产品，产品符合制造厂家合格产品的出厂质量标准，且在正常安装、使用和保养条件下，其使用寿命期内各项指标均达到质量要求。</w:t>
            </w:r>
          </w:p>
          <w:p w14:paraId="56E4DCE1">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（2）产品到货后，采购人现场根据</w:t>
            </w:r>
            <w:r>
              <w:rPr>
                <w:rFonts w:hint="eastAsia" w:ascii="Arial" w:hAnsi="Arial" w:eastAsia="宋体" w:cs="Arial"/>
                <w:color w:val="auto"/>
                <w:szCs w:val="21"/>
                <w:highlight w:val="none"/>
              </w:rPr>
              <w:t>采购</w:t>
            </w:r>
            <w:r>
              <w:rPr>
                <w:rFonts w:ascii="Arial" w:hAnsi="Arial" w:eastAsia="宋体" w:cs="Arial"/>
                <w:color w:val="auto"/>
                <w:szCs w:val="21"/>
                <w:highlight w:val="none"/>
              </w:rPr>
              <w:t>文件要求及</w:t>
            </w:r>
            <w:r>
              <w:rPr>
                <w:rFonts w:hint="eastAsia" w:ascii="Arial" w:hAnsi="Arial" w:eastAsia="宋体" w:cs="Arial"/>
                <w:color w:val="auto"/>
                <w:szCs w:val="21"/>
                <w:highlight w:val="none"/>
              </w:rPr>
              <w:t>响应</w:t>
            </w:r>
            <w:r>
              <w:rPr>
                <w:rFonts w:ascii="Arial" w:hAnsi="Arial" w:eastAsia="宋体" w:cs="Arial"/>
                <w:color w:val="auto"/>
                <w:szCs w:val="21"/>
                <w:highlight w:val="none"/>
              </w:rPr>
              <w:t>文件承诺逐条对应进行核验（含测试或试运行），核验不合格的，采购人有权不予验收，同时报相关监督管理部门，由此造成采购人经济损失的由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负责承担全部赔偿责任。</w:t>
            </w:r>
          </w:p>
          <w:p w14:paraId="19599113">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（3）设备开机试运行，测试设备的技术性能指标，确认各项功能正常运行，同时检查随机文件应齐整。</w:t>
            </w:r>
          </w:p>
          <w:p w14:paraId="5038FCE2">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（4）验收时，采购人有权邀请国家认可的</w:t>
            </w:r>
            <w:r>
              <w:rPr>
                <w:rFonts w:ascii="Arial" w:hAnsi="Arial" w:eastAsia="宋体" w:cs="Arial"/>
                <w:bCs/>
                <w:color w:val="auto"/>
                <w:szCs w:val="21"/>
                <w:highlight w:val="none"/>
              </w:rPr>
              <w:t>第三方检测计量单位到现场进行校准</w:t>
            </w:r>
            <w:r>
              <w:rPr>
                <w:rFonts w:ascii="Arial" w:hAnsi="Arial" w:eastAsia="宋体" w:cs="Arial"/>
                <w:color w:val="auto"/>
                <w:szCs w:val="21"/>
                <w:highlight w:val="none"/>
              </w:rPr>
              <w:t>，并出具校准报告，</w:t>
            </w:r>
            <w:r>
              <w:rPr>
                <w:rFonts w:ascii="Arial" w:hAnsi="Arial" w:eastAsia="宋体" w:cs="Arial"/>
                <w:bCs/>
                <w:color w:val="auto"/>
                <w:szCs w:val="21"/>
                <w:highlight w:val="none"/>
              </w:rPr>
              <w:t>所涉及的相关费用</w:t>
            </w:r>
            <w:r>
              <w:rPr>
                <w:rFonts w:ascii="Arial" w:hAnsi="Arial" w:eastAsia="宋体" w:cs="Arial"/>
                <w:color w:val="auto"/>
                <w:szCs w:val="21"/>
                <w:highlight w:val="none"/>
              </w:rPr>
              <w:t>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承担（</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自行将费用综合考虑进入</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报价中）</w:t>
            </w:r>
            <w:r>
              <w:rPr>
                <w:rFonts w:ascii="Arial" w:hAnsi="Arial" w:eastAsia="宋体" w:cs="Arial"/>
                <w:bCs/>
                <w:color w:val="auto"/>
                <w:szCs w:val="21"/>
                <w:highlight w:val="none"/>
              </w:rPr>
              <w:t>，采购人不再另行支付。校准不合格的，采购人不予验收。</w:t>
            </w:r>
          </w:p>
          <w:p w14:paraId="4900D473">
            <w:pPr>
              <w:adjustRightInd w:val="0"/>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（5）因产品质量问题发生争议的，应邀请国家认可的质量检测机构对产品质量进行鉴定。产品符合标准的，鉴定费由采购人承担；产品不符合标准的，鉴定费由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承担。</w:t>
            </w:r>
          </w:p>
        </w:tc>
      </w:tr>
      <w:tr w14:paraId="7682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722" w:type="dxa"/>
            <w:gridSpan w:val="2"/>
            <w:vAlign w:val="center"/>
          </w:tcPr>
          <w:p w14:paraId="5273170E">
            <w:pPr>
              <w:spacing w:after="0"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（九）知识产权</w:t>
            </w:r>
          </w:p>
        </w:tc>
        <w:tc>
          <w:tcPr>
            <w:tcW w:w="8049" w:type="dxa"/>
            <w:gridSpan w:val="5"/>
          </w:tcPr>
          <w:p w14:paraId="5F76BE64">
            <w:pPr>
              <w:spacing w:after="0" w:line="288" w:lineRule="auto"/>
              <w:jc w:val="left"/>
              <w:rPr>
                <w:rFonts w:ascii="Arial" w:hAnsi="Arial" w:eastAsia="宋体" w:cs="Arial"/>
                <w:color w:val="auto"/>
                <w:szCs w:val="21"/>
                <w:highlight w:val="none"/>
              </w:rPr>
            </w:pP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负责解决由此引起的一切纠纷，采购人有权追究</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的法律责任，其不利后果</w:t>
            </w:r>
            <w:r>
              <w:rPr>
                <w:rFonts w:hint="eastAsia" w:ascii="Arial" w:hAnsi="Arial" w:eastAsia="宋体" w:cs="Arial"/>
                <w:color w:val="auto"/>
                <w:szCs w:val="21"/>
                <w:highlight w:val="none"/>
              </w:rPr>
              <w:t>由</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全部承担。</w:t>
            </w:r>
          </w:p>
        </w:tc>
      </w:tr>
      <w:tr w14:paraId="59BA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22" w:type="dxa"/>
            <w:gridSpan w:val="2"/>
            <w:vAlign w:val="center"/>
          </w:tcPr>
          <w:p w14:paraId="6E394E30">
            <w:pPr>
              <w:spacing w:after="0"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（十）履约保证金</w:t>
            </w:r>
          </w:p>
        </w:tc>
        <w:tc>
          <w:tcPr>
            <w:tcW w:w="8049" w:type="dxa"/>
            <w:gridSpan w:val="5"/>
          </w:tcPr>
          <w:p w14:paraId="7DDC88C1">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履约保证金：在合同签订之前，成交供应商按成交金额的5%（如成交供应商为中小微企业的，按成交金额的2%））向采购人交纳履约保证金。履约保证金交纳方式：转账或电汇等非现金形式。履约保证金指定账户【开户名称：桂林理工大学，开户银行：中国银行桂林分行，账号：613257488744】。成交供应商须按上述规定的金额、方式将履约保证金转入桂林理工大学账户。否则，不予签订合同。</w:t>
            </w:r>
          </w:p>
          <w:p w14:paraId="2C9DC5F7">
            <w:pPr>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06B2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22" w:type="dxa"/>
            <w:gridSpan w:val="2"/>
            <w:vAlign w:val="center"/>
          </w:tcPr>
          <w:p w14:paraId="40B5AC2E">
            <w:pPr>
              <w:spacing w:after="0"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（十一）违约责任</w:t>
            </w:r>
          </w:p>
        </w:tc>
        <w:tc>
          <w:tcPr>
            <w:tcW w:w="8049" w:type="dxa"/>
            <w:gridSpan w:val="5"/>
          </w:tcPr>
          <w:p w14:paraId="0713BAD4">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1.成交供应商所提供的产品名称、生产厂家、品牌、规格型号、技术参数等不符合投标（响应）文件承诺或质量不合格的，应在</w:t>
            </w:r>
            <w:r>
              <w:rPr>
                <w:rFonts w:ascii="Arial" w:hAnsi="Arial" w:eastAsia="宋体" w:cs="Arial"/>
                <w:color w:val="auto"/>
                <w:highlight w:val="none"/>
                <w:u w:val="single"/>
              </w:rPr>
              <w:t>2</w:t>
            </w:r>
            <w:r>
              <w:rPr>
                <w:rFonts w:ascii="Arial" w:hAnsi="Arial" w:eastAsia="宋体" w:cs="Arial"/>
                <w:color w:val="auto"/>
                <w:szCs w:val="21"/>
                <w:highlight w:val="none"/>
              </w:rPr>
              <w:t xml:space="preserve">日内及时更换，更换不及时的按逾期交货处罚；因质量问题采购人不同意接收的或特殊情况采购人同意接收的，成交供应商应向采购人支付违约货款额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违约金并赔偿采购人经济损失。</w:t>
            </w:r>
          </w:p>
          <w:p w14:paraId="0E75D8C6">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2.成交供应商提供的货物如侵犯了第三方合法权益而引发的任何纠纷或诉讼，均由成交供应商负责交涉并承担全部责任。</w:t>
            </w:r>
          </w:p>
          <w:p w14:paraId="13676A34">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14:paraId="2A3FCE5C">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4.采购人无故延期接收货物、成交供应商逾期交货的，每天向对方偿付违约货款额3‰违约金，但违约金累计不得超过违约货款额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highlight w:val="none"/>
                <w:u w:val="single"/>
              </w:rPr>
              <w:t>7天</w:t>
            </w:r>
            <w:r>
              <w:rPr>
                <w:rFonts w:ascii="Arial" w:hAnsi="Arial" w:eastAsia="宋体" w:cs="Arial"/>
                <w:color w:val="auto"/>
                <w:szCs w:val="21"/>
                <w:highlight w:val="none"/>
              </w:rPr>
              <w:t>对方有权解除合同，违约方承担因此给对方造成经济损失；采购人延期付货款的，每天向成交供应商偿付延期货款额3‰滞纳金，但滞纳金累计不得超过延期货款额5%。</w:t>
            </w:r>
          </w:p>
          <w:p w14:paraId="0DFB6A99">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5.成交供应商未按本合同和投标（响应）文件中规定的服务承诺提供售后服务的，成交供应商应按本合同合计金额 5%向采购人支付违约金。</w:t>
            </w:r>
          </w:p>
          <w:p w14:paraId="5EFF321B">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6.成交供应商提供的货物在质量保证期内，因设计、工艺或材料的缺陷和其它质量原因造成的问题，由成交供应商负责，费用从履约保证金中扣除，不足另补。</w:t>
            </w:r>
          </w:p>
          <w:p w14:paraId="037301A6">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14:paraId="782F1415">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8.成交供应商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成交供应商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成交供应商承担，并承担政府采购虚假竞标的相关法律责任。</w:t>
            </w:r>
          </w:p>
        </w:tc>
      </w:tr>
      <w:tr w14:paraId="7C40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22" w:type="dxa"/>
            <w:gridSpan w:val="2"/>
            <w:vAlign w:val="center"/>
          </w:tcPr>
          <w:p w14:paraId="57477438">
            <w:pPr>
              <w:pStyle w:val="12"/>
              <w:spacing w:after="0"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（十二）进口产品说明</w:t>
            </w:r>
          </w:p>
        </w:tc>
        <w:tc>
          <w:tcPr>
            <w:tcW w:w="8049" w:type="dxa"/>
            <w:gridSpan w:val="5"/>
          </w:tcPr>
          <w:p w14:paraId="454EB4EF">
            <w:pPr>
              <w:adjustRightInd w:val="0"/>
              <w:snapToGrid w:val="0"/>
              <w:spacing w:after="0" w:line="288" w:lineRule="auto"/>
              <w:rPr>
                <w:rFonts w:ascii="Arial" w:hAnsi="Arial" w:eastAsia="宋体" w:cs="Arial"/>
                <w:b/>
                <w:bCs/>
                <w:color w:val="auto"/>
                <w:szCs w:val="21"/>
                <w:highlight w:val="none"/>
              </w:rPr>
            </w:pPr>
            <w:r>
              <w:rPr>
                <w:rFonts w:ascii="Arial" w:hAnsi="Arial" w:eastAsia="宋体" w:cs="Arial"/>
                <w:b/>
                <w:bCs/>
                <w:color w:val="auto"/>
                <w:szCs w:val="21"/>
                <w:highlight w:val="none"/>
              </w:rPr>
              <w:sym w:font="Wingdings 2" w:char="0052"/>
            </w:r>
            <w:r>
              <w:rPr>
                <w:rFonts w:ascii="Arial" w:hAnsi="Arial" w:eastAsia="宋体" w:cs="Arial"/>
                <w:b/>
                <w:bCs/>
                <w:color w:val="auto"/>
                <w:szCs w:val="21"/>
                <w:highlight w:val="none"/>
              </w:rPr>
              <w:t xml:space="preserve"> 本项目标的不接受进口产品参与</w:t>
            </w:r>
            <w:r>
              <w:rPr>
                <w:rFonts w:hint="eastAsia" w:ascii="Arial" w:hAnsi="Arial" w:eastAsia="宋体" w:cs="Arial"/>
                <w:b/>
                <w:bCs/>
                <w:color w:val="auto"/>
                <w:szCs w:val="21"/>
                <w:highlight w:val="none"/>
              </w:rPr>
              <w:t>谈判</w:t>
            </w:r>
            <w:r>
              <w:rPr>
                <w:rFonts w:ascii="Arial" w:hAnsi="Arial" w:eastAsia="宋体" w:cs="Arial"/>
                <w:b/>
                <w:bCs/>
                <w:color w:val="auto"/>
                <w:szCs w:val="21"/>
                <w:highlight w:val="none"/>
              </w:rPr>
              <w:t>，如</w:t>
            </w:r>
            <w:r>
              <w:rPr>
                <w:rFonts w:hint="eastAsia" w:ascii="Arial" w:hAnsi="Arial" w:eastAsia="宋体" w:cs="Arial"/>
                <w:b/>
                <w:bCs/>
                <w:color w:val="auto"/>
                <w:szCs w:val="21"/>
                <w:highlight w:val="none"/>
              </w:rPr>
              <w:t>供应商</w:t>
            </w:r>
            <w:r>
              <w:rPr>
                <w:rFonts w:ascii="Arial" w:hAnsi="Arial" w:eastAsia="宋体" w:cs="Arial"/>
                <w:b/>
                <w:bCs/>
                <w:color w:val="auto"/>
                <w:szCs w:val="21"/>
                <w:highlight w:val="none"/>
              </w:rPr>
              <w:t>选用进口产品</w:t>
            </w:r>
            <w:r>
              <w:rPr>
                <w:rFonts w:hint="eastAsia" w:ascii="Arial" w:hAnsi="Arial" w:eastAsia="宋体" w:cs="Arial"/>
                <w:b/>
                <w:bCs/>
                <w:color w:val="auto"/>
                <w:szCs w:val="21"/>
                <w:highlight w:val="none"/>
              </w:rPr>
              <w:t>谈判</w:t>
            </w:r>
            <w:r>
              <w:rPr>
                <w:rFonts w:ascii="Arial" w:hAnsi="Arial" w:eastAsia="宋体" w:cs="Arial"/>
                <w:b/>
                <w:bCs/>
                <w:color w:val="auto"/>
                <w:szCs w:val="21"/>
                <w:highlight w:val="none"/>
              </w:rPr>
              <w:t>的，</w:t>
            </w:r>
            <w:r>
              <w:rPr>
                <w:rFonts w:hint="eastAsia" w:ascii="Arial" w:hAnsi="Arial" w:eastAsia="宋体" w:cs="Arial"/>
                <w:b/>
                <w:bCs/>
                <w:color w:val="auto"/>
                <w:szCs w:val="21"/>
                <w:highlight w:val="none"/>
              </w:rPr>
              <w:t>响应</w:t>
            </w:r>
            <w:r>
              <w:rPr>
                <w:rFonts w:ascii="Arial" w:hAnsi="Arial" w:eastAsia="宋体" w:cs="Arial"/>
                <w:b/>
                <w:bCs/>
                <w:color w:val="auto"/>
                <w:szCs w:val="21"/>
                <w:highlight w:val="none"/>
              </w:rPr>
              <w:t>文件按无效处理。</w:t>
            </w:r>
          </w:p>
          <w:p w14:paraId="2FA3DECB">
            <w:pPr>
              <w:adjustRightInd w:val="0"/>
              <w:snapToGrid w:val="0"/>
              <w:spacing w:after="0" w:line="288" w:lineRule="auto"/>
              <w:rPr>
                <w:rFonts w:ascii="Arial" w:hAnsi="Arial" w:eastAsia="宋体" w:cs="Arial"/>
                <w:color w:val="auto"/>
                <w:szCs w:val="21"/>
                <w:highlight w:val="none"/>
              </w:rPr>
            </w:pPr>
            <w:r>
              <w:rPr>
                <w:rFonts w:hint="eastAsia" w:ascii="Arial" w:hAnsi="Arial" w:eastAsia="宋体" w:cs="Arial"/>
                <w:color w:val="auto"/>
                <w:szCs w:val="21"/>
                <w:highlight w:val="none"/>
              </w:rPr>
              <w:t>□</w:t>
            </w:r>
            <w:r>
              <w:rPr>
                <w:rFonts w:ascii="Arial" w:hAnsi="Arial" w:eastAsia="宋体" w:cs="Arial"/>
                <w:color w:val="auto"/>
                <w:szCs w:val="21"/>
                <w:highlight w:val="none"/>
              </w:rPr>
              <w:t>1.本项目货物已办理进口产品手续，接受进口产品（即通过中国海关报关验放进入中国境内且产自关境外的产品）参与</w:t>
            </w:r>
            <w:r>
              <w:rPr>
                <w:rFonts w:hint="eastAsia" w:ascii="Arial" w:hAnsi="Arial" w:eastAsia="宋体" w:cs="Arial"/>
                <w:color w:val="auto"/>
                <w:szCs w:val="21"/>
                <w:highlight w:val="none"/>
              </w:rPr>
              <w:t>谈判</w:t>
            </w:r>
            <w:r>
              <w:rPr>
                <w:rFonts w:ascii="Arial" w:hAnsi="Arial" w:eastAsia="宋体" w:cs="Arial"/>
                <w:color w:val="auto"/>
                <w:szCs w:val="21"/>
                <w:highlight w:val="none"/>
              </w:rPr>
              <w:t>。但如选用进口产品时必须为原装进口产品（即通过中国海关报关验放进入中国境内且产自境外的产品），</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报价必须为人民币报价，若</w:t>
            </w:r>
            <w:r>
              <w:rPr>
                <w:rFonts w:hint="eastAsia" w:ascii="Arial" w:hAnsi="Arial" w:eastAsia="宋体" w:cs="Arial"/>
                <w:color w:val="auto"/>
                <w:szCs w:val="21"/>
                <w:highlight w:val="none"/>
              </w:rPr>
              <w:t>供应商</w:t>
            </w:r>
            <w:r>
              <w:rPr>
                <w:rFonts w:ascii="Arial" w:hAnsi="Arial" w:eastAsia="宋体" w:cs="Arial"/>
                <w:color w:val="auto"/>
                <w:szCs w:val="21"/>
                <w:highlight w:val="none"/>
              </w:rPr>
              <w:t>选用进口产品</w:t>
            </w:r>
            <w:r>
              <w:rPr>
                <w:rFonts w:hint="eastAsia" w:ascii="Arial" w:hAnsi="Arial" w:eastAsia="宋体" w:cs="Arial"/>
                <w:color w:val="auto"/>
                <w:szCs w:val="21"/>
                <w:highlight w:val="none"/>
              </w:rPr>
              <w:t>谈判</w:t>
            </w:r>
            <w:r>
              <w:rPr>
                <w:rFonts w:ascii="Arial" w:hAnsi="Arial" w:eastAsia="宋体" w:cs="Arial"/>
                <w:color w:val="auto"/>
                <w:szCs w:val="21"/>
                <w:highlight w:val="none"/>
              </w:rPr>
              <w:t>用人民币之外的其他货币报价的，</w:t>
            </w:r>
            <w:r>
              <w:rPr>
                <w:rFonts w:hint="eastAsia" w:ascii="Arial" w:hAnsi="Arial" w:eastAsia="宋体" w:cs="Arial"/>
                <w:color w:val="auto"/>
                <w:szCs w:val="21"/>
                <w:highlight w:val="none"/>
              </w:rPr>
              <w:t>响应</w:t>
            </w:r>
            <w:r>
              <w:rPr>
                <w:rFonts w:ascii="Arial" w:hAnsi="Arial" w:eastAsia="宋体" w:cs="Arial"/>
                <w:color w:val="auto"/>
                <w:szCs w:val="21"/>
                <w:highlight w:val="none"/>
              </w:rPr>
              <w:t>文件无效处理；同时</w:t>
            </w:r>
            <w:r>
              <w:rPr>
                <w:rFonts w:hint="eastAsia" w:ascii="Arial" w:hAnsi="Arial" w:eastAsia="宋体" w:cs="Arial"/>
                <w:color w:val="auto"/>
                <w:szCs w:val="21"/>
                <w:highlight w:val="none"/>
              </w:rPr>
              <w:t>供应商</w:t>
            </w:r>
            <w:r>
              <w:rPr>
                <w:rFonts w:ascii="Arial" w:hAnsi="Arial" w:eastAsia="宋体" w:cs="Arial"/>
                <w:color w:val="auto"/>
                <w:szCs w:val="21"/>
                <w:highlight w:val="none"/>
              </w:rPr>
              <w:t>必须负责办理进口产品所有相关手续并承担所有费用，采购人不再支付除</w:t>
            </w:r>
            <w:r>
              <w:rPr>
                <w:rFonts w:hint="eastAsia" w:ascii="Arial" w:hAnsi="Arial" w:eastAsia="宋体" w:cs="Arial"/>
                <w:color w:val="auto"/>
                <w:szCs w:val="21"/>
                <w:highlight w:val="none"/>
              </w:rPr>
              <w:t>成交</w:t>
            </w:r>
            <w:r>
              <w:rPr>
                <w:rFonts w:ascii="Arial" w:hAnsi="Arial" w:eastAsia="宋体" w:cs="Arial"/>
                <w:color w:val="auto"/>
                <w:szCs w:val="21"/>
                <w:highlight w:val="none"/>
              </w:rPr>
              <w:t>价以外的任何费用，采购人协助办理免税审批手续。在进口产品最后报价相同的情况下，优先采购向我国企业转让技术、与我国企业签订消化吸收再创新方案的供应商的进口产品。2.</w:t>
            </w:r>
            <w:r>
              <w:rPr>
                <w:rFonts w:hint="eastAsia" w:ascii="Arial" w:hAnsi="Arial" w:eastAsia="宋体" w:cs="Arial"/>
                <w:color w:val="auto"/>
                <w:szCs w:val="21"/>
                <w:highlight w:val="none"/>
              </w:rPr>
              <w:t>供应商</w:t>
            </w:r>
            <w:r>
              <w:rPr>
                <w:rFonts w:ascii="Arial" w:hAnsi="Arial" w:eastAsia="宋体" w:cs="Arial"/>
                <w:color w:val="auto"/>
                <w:szCs w:val="21"/>
                <w:highlight w:val="none"/>
              </w:rPr>
              <w:t>如所投本项目货物产品为进口产品时，</w:t>
            </w:r>
            <w:r>
              <w:rPr>
                <w:rFonts w:hint="eastAsia" w:ascii="Arial" w:hAnsi="Arial" w:eastAsia="宋体" w:cs="Arial"/>
                <w:color w:val="auto"/>
                <w:szCs w:val="21"/>
                <w:highlight w:val="none"/>
              </w:rPr>
              <w:t>供应商</w:t>
            </w:r>
            <w:r>
              <w:rPr>
                <w:rFonts w:ascii="Arial" w:hAnsi="Arial" w:eastAsia="宋体" w:cs="Arial"/>
                <w:color w:val="auto"/>
                <w:szCs w:val="21"/>
                <w:highlight w:val="none"/>
              </w:rPr>
              <w:t>的</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报价必须为免税价，如项目执行期间遭遇国家相关政策因素加征关税，凭政府出台征收该设备关税的相应文件和缴纳关税税额凭证予以办理合同补充协议，增加关税部分差价。</w:t>
            </w:r>
          </w:p>
        </w:tc>
      </w:tr>
      <w:tr w14:paraId="279A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771" w:type="dxa"/>
            <w:gridSpan w:val="7"/>
            <w:vAlign w:val="center"/>
          </w:tcPr>
          <w:p w14:paraId="51226CBC">
            <w:pPr>
              <w:snapToGrid w:val="0"/>
              <w:spacing w:after="0" w:line="288" w:lineRule="auto"/>
              <w:jc w:val="left"/>
              <w:rPr>
                <w:rFonts w:ascii="Arial" w:hAnsi="Arial" w:eastAsia="宋体" w:cs="Arial"/>
                <w:color w:val="auto"/>
                <w:szCs w:val="21"/>
                <w:highlight w:val="none"/>
              </w:rPr>
            </w:pPr>
            <w:r>
              <w:rPr>
                <w:rFonts w:ascii="Arial" w:hAnsi="Arial" w:eastAsia="宋体" w:cs="Arial"/>
                <w:b/>
                <w:color w:val="auto"/>
                <w:szCs w:val="21"/>
                <w:highlight w:val="none"/>
              </w:rPr>
              <w:t>四、</w:t>
            </w:r>
            <w:r>
              <w:rPr>
                <w:rFonts w:ascii="Arial" w:hAnsi="Arial" w:eastAsia="宋体" w:cs="Arial"/>
                <w:b/>
                <w:bCs/>
                <w:color w:val="auto"/>
                <w:szCs w:val="21"/>
                <w:highlight w:val="none"/>
              </w:rPr>
              <w:t>与实现项目目标相关的其他要求</w:t>
            </w:r>
          </w:p>
        </w:tc>
      </w:tr>
      <w:tr w14:paraId="49B0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40" w:type="dxa"/>
            <w:gridSpan w:val="3"/>
            <w:tcBorders>
              <w:right w:val="single" w:color="auto" w:sz="4" w:space="0"/>
            </w:tcBorders>
            <w:vAlign w:val="center"/>
          </w:tcPr>
          <w:p w14:paraId="1D30B9B1">
            <w:pPr>
              <w:snapToGrid w:val="0"/>
              <w:spacing w:after="0" w:line="288" w:lineRule="auto"/>
              <w:jc w:val="left"/>
              <w:rPr>
                <w:rFonts w:ascii="Arial" w:hAnsi="Arial" w:eastAsia="宋体" w:cs="Arial"/>
                <w:b/>
                <w:color w:val="auto"/>
                <w:szCs w:val="21"/>
                <w:highlight w:val="none"/>
              </w:rPr>
            </w:pPr>
            <w:r>
              <w:rPr>
                <w:rFonts w:ascii="Arial" w:hAnsi="Arial" w:eastAsia="宋体" w:cs="Arial"/>
                <w:bCs/>
                <w:color w:val="auto"/>
                <w:szCs w:val="21"/>
                <w:highlight w:val="none"/>
              </w:rPr>
              <w:t>（一）其他要求</w:t>
            </w:r>
          </w:p>
        </w:tc>
        <w:tc>
          <w:tcPr>
            <w:tcW w:w="8031" w:type="dxa"/>
            <w:gridSpan w:val="4"/>
            <w:tcBorders>
              <w:left w:val="single" w:color="auto" w:sz="4" w:space="0"/>
            </w:tcBorders>
            <w:vAlign w:val="center"/>
          </w:tcPr>
          <w:p w14:paraId="65D879F8">
            <w:pPr>
              <w:snapToGrid w:val="0"/>
              <w:spacing w:after="0"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1.本项目采购需求中的内容为实质性要求，必须全部满足，否则视为无效</w:t>
            </w:r>
            <w:r>
              <w:rPr>
                <w:rFonts w:hint="eastAsia" w:ascii="Arial" w:hAnsi="Arial" w:eastAsia="宋体" w:cs="Arial"/>
                <w:bCs/>
                <w:color w:val="auto"/>
                <w:szCs w:val="21"/>
                <w:highlight w:val="none"/>
              </w:rPr>
              <w:t>响应</w:t>
            </w:r>
            <w:r>
              <w:rPr>
                <w:rFonts w:ascii="Arial" w:hAnsi="Arial" w:eastAsia="宋体" w:cs="Arial"/>
                <w:bCs/>
                <w:color w:val="auto"/>
                <w:szCs w:val="21"/>
                <w:highlight w:val="none"/>
              </w:rPr>
              <w:t>。</w:t>
            </w:r>
          </w:p>
        </w:tc>
      </w:tr>
    </w:tbl>
    <w:p w14:paraId="4020C4F3">
      <w:pPr>
        <w:spacing w:line="288" w:lineRule="auto"/>
        <w:rPr>
          <w:rFonts w:ascii="Arial" w:hAnsi="Arial" w:eastAsia="宋体" w:cs="Arial"/>
          <w:b/>
          <w:color w:val="auto"/>
          <w:highlight w:val="none"/>
        </w:rPr>
      </w:pPr>
    </w:p>
    <w:p w14:paraId="20615785">
      <w:pPr>
        <w:spacing w:line="288" w:lineRule="auto"/>
        <w:rPr>
          <w:rFonts w:ascii="Arial" w:hAnsi="Arial" w:eastAsia="宋体" w:cs="Arial"/>
          <w:color w:val="auto"/>
          <w:highlight w:val="none"/>
        </w:rPr>
      </w:pPr>
      <w:r>
        <w:rPr>
          <w:rFonts w:ascii="Arial" w:hAnsi="Arial" w:eastAsia="宋体" w:cs="Arial"/>
          <w:color w:val="auto"/>
          <w:highlight w:val="none"/>
        </w:rPr>
        <w:br w:type="page"/>
      </w:r>
    </w:p>
    <w:p w14:paraId="1451A373">
      <w:pPr>
        <w:pStyle w:val="2"/>
        <w:spacing w:line="288" w:lineRule="auto"/>
        <w:jc w:val="center"/>
        <w:rPr>
          <w:rFonts w:ascii="Arial" w:hAnsi="Arial" w:eastAsia="宋体" w:cs="Arial"/>
          <w:color w:val="auto"/>
          <w:szCs w:val="21"/>
          <w:highlight w:val="none"/>
        </w:rPr>
      </w:pPr>
      <w:bookmarkStart w:id="29" w:name="_Toc16632"/>
      <w:r>
        <w:rPr>
          <w:color w:val="auto"/>
          <w:highlight w:val="none"/>
        </w:rPr>
        <w:t>第四章  评审办法</w:t>
      </w:r>
      <w:bookmarkEnd w:id="28"/>
      <w:bookmarkEnd w:id="29"/>
    </w:p>
    <w:p w14:paraId="736EC532">
      <w:pPr>
        <w:pStyle w:val="14"/>
        <w:spacing w:after="0" w:line="288"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一、评审依据</w:t>
      </w:r>
    </w:p>
    <w:p w14:paraId="43F9FA33">
      <w:pPr>
        <w:pStyle w:val="14"/>
        <w:spacing w:after="0" w:line="288" w:lineRule="auto"/>
        <w:ind w:firstLine="420" w:firstLineChars="200"/>
        <w:rPr>
          <w:rFonts w:ascii="Arial" w:hAnsi="Arial" w:eastAsia="宋体" w:cs="Arial"/>
          <w:bCs/>
          <w:color w:val="auto"/>
          <w:highlight w:val="none"/>
        </w:rPr>
      </w:pPr>
      <w:r>
        <w:rPr>
          <w:rFonts w:ascii="Arial" w:hAnsi="Arial" w:eastAsia="宋体" w:cs="Arial"/>
          <w:bCs/>
          <w:color w:val="auto"/>
          <w:highlight w:val="none"/>
        </w:rPr>
        <w:t>1. 评审依据：谈判小组以谈判文件和响应文件为评审依据。</w:t>
      </w:r>
    </w:p>
    <w:p w14:paraId="098B73F9">
      <w:pPr>
        <w:pStyle w:val="14"/>
        <w:spacing w:after="0" w:line="288" w:lineRule="auto"/>
        <w:ind w:firstLine="420" w:firstLineChars="200"/>
        <w:rPr>
          <w:rFonts w:ascii="Arial" w:hAnsi="Arial" w:eastAsia="宋体" w:cs="Arial"/>
          <w:bCs/>
          <w:color w:val="auto"/>
          <w:highlight w:val="none"/>
        </w:rPr>
      </w:pPr>
      <w:r>
        <w:rPr>
          <w:rFonts w:ascii="Arial" w:hAnsi="Arial" w:eastAsia="宋体" w:cs="Arial"/>
          <w:bCs/>
          <w:color w:val="auto"/>
          <w:highlight w:val="none"/>
        </w:rPr>
        <w:t>2. 采购人和采购代理机构、竞争性谈判小组成员要严格遵守相关法律制度，依法履行各自职责，公正、客观、审慎地组织和参与评审工作。</w:t>
      </w:r>
    </w:p>
    <w:p w14:paraId="03F3F4E4">
      <w:pPr>
        <w:pStyle w:val="14"/>
        <w:spacing w:after="0" w:line="288"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二、评审办法</w:t>
      </w:r>
    </w:p>
    <w:p w14:paraId="699CA7AD">
      <w:pPr>
        <w:pStyle w:val="14"/>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1.谈判小组应当从质量和服务均能满足竞争性谈判文件全部实质性响应要求的供应商中，按照评审报价由低到高顺序提出3名以上（含3名）成交候选人。</w:t>
      </w:r>
    </w:p>
    <w:p w14:paraId="380BC53D">
      <w:pPr>
        <w:pStyle w:val="14"/>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2.评审时，应当将通过资格性审查和符合性审查各供应商的评审报价，按照由低到高顺序排序；</w:t>
      </w:r>
    </w:p>
    <w:p w14:paraId="2CA67B8F">
      <w:pPr>
        <w:pStyle w:val="14"/>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提供相同品牌产品的不同</w:t>
      </w:r>
      <w:r>
        <w:rPr>
          <w:rFonts w:hint="eastAsia" w:ascii="Arial" w:hAnsi="Arial" w:eastAsia="宋体" w:cs="Arial"/>
          <w:color w:val="auto"/>
          <w:szCs w:val="21"/>
          <w:highlight w:val="none"/>
        </w:rPr>
        <w:t>供应商</w:t>
      </w:r>
      <w:r>
        <w:rPr>
          <w:rFonts w:ascii="Arial" w:hAnsi="Arial" w:eastAsia="宋体" w:cs="Arial"/>
          <w:color w:val="auto"/>
          <w:szCs w:val="21"/>
          <w:highlight w:val="none"/>
        </w:rPr>
        <w:t>参加同一合同项下</w:t>
      </w:r>
      <w:r>
        <w:rPr>
          <w:rFonts w:hint="eastAsia" w:ascii="Arial" w:hAnsi="Arial" w:eastAsia="宋体" w:cs="Arial"/>
          <w:color w:val="auto"/>
          <w:szCs w:val="21"/>
          <w:highlight w:val="none"/>
        </w:rPr>
        <w:t>谈判</w:t>
      </w:r>
      <w:r>
        <w:rPr>
          <w:rFonts w:ascii="Arial" w:hAnsi="Arial" w:eastAsia="宋体" w:cs="Arial"/>
          <w:color w:val="auto"/>
          <w:szCs w:val="21"/>
          <w:highlight w:val="none"/>
        </w:rPr>
        <w:t>的，以其中通过资格审查、符合性审查</w:t>
      </w:r>
      <w:r>
        <w:rPr>
          <w:rFonts w:hint="eastAsia" w:ascii="Arial" w:hAnsi="Arial" w:eastAsia="宋体" w:cs="Arial"/>
          <w:color w:val="auto"/>
          <w:szCs w:val="21"/>
          <w:highlight w:val="none"/>
        </w:rPr>
        <w:t>、谈判</w:t>
      </w:r>
      <w:r>
        <w:rPr>
          <w:rFonts w:ascii="Arial" w:hAnsi="Arial" w:eastAsia="宋体" w:cs="Arial"/>
          <w:color w:val="auto"/>
          <w:szCs w:val="21"/>
          <w:highlight w:val="none"/>
        </w:rPr>
        <w:t>且</w:t>
      </w:r>
      <w:r>
        <w:rPr>
          <w:rFonts w:hint="eastAsia" w:ascii="Arial" w:hAnsi="Arial" w:eastAsia="宋体" w:cs="Arial"/>
          <w:color w:val="auto"/>
          <w:szCs w:val="21"/>
          <w:highlight w:val="none"/>
        </w:rPr>
        <w:t>最后</w:t>
      </w:r>
      <w:r>
        <w:rPr>
          <w:rFonts w:ascii="Arial" w:hAnsi="Arial" w:eastAsia="宋体" w:cs="Arial"/>
          <w:color w:val="auto"/>
          <w:szCs w:val="21"/>
          <w:highlight w:val="none"/>
        </w:rPr>
        <w:t>报价最低的参加</w:t>
      </w:r>
      <w:r>
        <w:rPr>
          <w:rFonts w:hint="eastAsia" w:ascii="Arial" w:hAnsi="Arial" w:eastAsia="宋体" w:cs="Arial"/>
          <w:color w:val="auto"/>
          <w:szCs w:val="21"/>
          <w:highlight w:val="none"/>
        </w:rPr>
        <w:t>报价</w:t>
      </w:r>
      <w:r>
        <w:rPr>
          <w:rFonts w:ascii="Arial" w:hAnsi="Arial" w:eastAsia="宋体" w:cs="Arial"/>
          <w:color w:val="auto"/>
          <w:szCs w:val="21"/>
          <w:highlight w:val="none"/>
        </w:rPr>
        <w:t>评审，</w:t>
      </w:r>
      <w:r>
        <w:rPr>
          <w:rFonts w:hint="eastAsia" w:ascii="Arial" w:hAnsi="Arial" w:eastAsia="宋体" w:cs="Arial"/>
          <w:color w:val="auto"/>
          <w:szCs w:val="21"/>
          <w:highlight w:val="none"/>
        </w:rPr>
        <w:t>最后</w:t>
      </w:r>
      <w:r>
        <w:rPr>
          <w:rFonts w:ascii="Arial" w:hAnsi="Arial" w:eastAsia="宋体" w:cs="Arial"/>
          <w:color w:val="auto"/>
          <w:szCs w:val="21"/>
          <w:highlight w:val="none"/>
        </w:rPr>
        <w:t>报价相同的，</w:t>
      </w:r>
      <w:r>
        <w:rPr>
          <w:rFonts w:hint="eastAsia" w:ascii="Arial" w:hAnsi="Arial" w:eastAsia="宋体" w:cs="Arial"/>
          <w:color w:val="auto"/>
          <w:szCs w:val="21"/>
          <w:highlight w:val="none"/>
        </w:rPr>
        <w:t>由采购人或者采购人委托谈判小组按照竞争性谈判文件规定的方式确定一个参加评审的供应商，竞争性谈判文件未规定的采取随机抽取方式确定，其他响应文件作无效处理。</w:t>
      </w:r>
    </w:p>
    <w:p w14:paraId="77900D0B">
      <w:pPr>
        <w:pStyle w:val="14"/>
        <w:spacing w:after="0" w:line="288"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非单一产品采购项目，多家供应商提供的核心产品品牌相同的，按前款规定处理。</w:t>
      </w:r>
    </w:p>
    <w:p w14:paraId="31043925">
      <w:pPr>
        <w:pStyle w:val="14"/>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除以上情况外，当评审报价相同时，以最后报价低的优先排序；当最后报价相同时，则依次按节能环保产品优先、技术指标高优先、售后服务优先原则排序。</w:t>
      </w:r>
    </w:p>
    <w:p w14:paraId="3D37FA13">
      <w:pPr>
        <w:pStyle w:val="14"/>
        <w:spacing w:after="0" w:line="288"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3.评审报价为供应商的最后报价进行政策性扣除后的价格，评审报价只是作为评审时使用。最终成交供应商的成交金额等于最后报价。</w:t>
      </w:r>
    </w:p>
    <w:p w14:paraId="524C9E73">
      <w:pPr>
        <w:pStyle w:val="14"/>
        <w:spacing w:after="0" w:line="288"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4.政策性扣除计算方法：</w:t>
      </w:r>
    </w:p>
    <w:p w14:paraId="2DEC5D2C">
      <w:pPr>
        <w:pStyle w:val="14"/>
        <w:spacing w:after="0" w:line="288"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1）根据《政府采购促进中小企业发展管理办法》（财库〔2020〕46号）规定，供应商在其响应文件中提供《中小企业声明函》，且其投标全部货物由小微企业制造的，对其最后报价给予10%的扣除，用扣除后的价格参加评审，扣除后的价格为评审报价，即评审报价=最后报价×（1-10%）。</w:t>
      </w:r>
    </w:p>
    <w:p w14:paraId="39BBBA99">
      <w:pPr>
        <w:pStyle w:val="14"/>
        <w:spacing w:after="0" w:line="288"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79BE4B0">
      <w:pPr>
        <w:pStyle w:val="14"/>
        <w:spacing w:after="0" w:line="288"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F98F6DB">
      <w:pPr>
        <w:pStyle w:val="14"/>
        <w:spacing w:after="0" w:line="288"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（4）除上述情况外，评审报价=最后报价。</w:t>
      </w:r>
    </w:p>
    <w:p w14:paraId="0ED23009">
      <w:pPr>
        <w:pStyle w:val="14"/>
        <w:spacing w:after="0" w:line="288"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三、成交候选人确定原则</w:t>
      </w:r>
    </w:p>
    <w:p w14:paraId="747A4178">
      <w:pPr>
        <w:pStyle w:val="14"/>
        <w:tabs>
          <w:tab w:val="left" w:pos="4214"/>
        </w:tabs>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（1）采购单位应当确定谈判小组推荐排名第一的成交候选人为成交供应商。</w:t>
      </w:r>
    </w:p>
    <w:p w14:paraId="570B7DC8">
      <w:pPr>
        <w:pStyle w:val="14"/>
        <w:spacing w:after="0" w:line="288" w:lineRule="auto"/>
        <w:ind w:firstLine="447" w:firstLineChars="213"/>
        <w:rPr>
          <w:rFonts w:ascii="Arial" w:hAnsi="Arial" w:eastAsia="宋体" w:cs="Arial"/>
          <w:color w:val="auto"/>
          <w:szCs w:val="21"/>
          <w:highlight w:val="none"/>
        </w:rPr>
      </w:pPr>
      <w:r>
        <w:rPr>
          <w:rFonts w:ascii="Arial" w:hAnsi="Arial" w:eastAsia="宋体"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14:paraId="2FA7A3A3">
      <w:pPr>
        <w:pStyle w:val="14"/>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（3）排名第二的成交候选人因前款规定的同样原因不能签订合同的，采购单位可以确定排名第三的成交候选人为成交供应商。</w:t>
      </w:r>
    </w:p>
    <w:p w14:paraId="6760B159">
      <w:pPr>
        <w:pStyle w:val="14"/>
        <w:spacing w:after="0" w:line="288" w:lineRule="auto"/>
        <w:ind w:firstLine="447" w:firstLineChars="213"/>
        <w:rPr>
          <w:rFonts w:ascii="Arial" w:hAnsi="Arial" w:eastAsia="宋体" w:cs="Arial"/>
          <w:b/>
          <w:bCs/>
          <w:color w:val="auto"/>
          <w:szCs w:val="21"/>
          <w:highlight w:val="none"/>
        </w:rPr>
      </w:pPr>
      <w:r>
        <w:rPr>
          <w:rFonts w:hint="eastAsia" w:ascii="Arial" w:hAnsi="Arial" w:eastAsia="宋体" w:cs="Arial"/>
          <w:b/>
          <w:bCs/>
          <w:color w:val="auto"/>
          <w:szCs w:val="21"/>
          <w:highlight w:val="none"/>
        </w:rPr>
        <w:t>注：本项目共分为A、B两个分标，供应商可以参与任意一个或多个分标的谈判，但最多只能成为其中一个分标的成交供应商。处理原则如下：本项目按A分标→B分标的先后顺序推荐成交候选供应商，该供应商一旦被推荐为某一分标的第一成交候选供应商，则在其排名第一的后续分标不再推荐为成交候选供应商，其他供应商排名依次自动上升一位。即已成为前面分标第一成交候选供应商的供应商不应参与后续分标的候选排序，并且剩余分标中排除已成为第一成交候选供应商的供应商后，在实质性响应的供应商仍满足三家的情况下，相应分标可以继续评审及推荐成交候选供应商，否则，相应分标废标。</w:t>
      </w:r>
    </w:p>
    <w:p w14:paraId="62700585">
      <w:pPr>
        <w:pStyle w:val="14"/>
        <w:spacing w:after="0" w:line="288" w:lineRule="auto"/>
        <w:ind w:firstLine="420" w:firstLineChars="200"/>
        <w:rPr>
          <w:rFonts w:ascii="Arial" w:hAnsi="Arial" w:eastAsia="宋体" w:cs="Arial"/>
          <w:color w:val="auto"/>
          <w:szCs w:val="21"/>
          <w:highlight w:val="none"/>
        </w:rPr>
      </w:pPr>
    </w:p>
    <w:p w14:paraId="2BC26ACD">
      <w:pPr>
        <w:spacing w:line="288" w:lineRule="auto"/>
        <w:jc w:val="center"/>
        <w:rPr>
          <w:rFonts w:ascii="Arial" w:hAnsi="Arial" w:eastAsia="宋体" w:cs="Arial"/>
          <w:b/>
          <w:color w:val="auto"/>
          <w:sz w:val="32"/>
          <w:szCs w:val="32"/>
          <w:highlight w:val="none"/>
        </w:rPr>
      </w:pPr>
    </w:p>
    <w:p w14:paraId="7C39948C">
      <w:pPr>
        <w:pStyle w:val="2"/>
        <w:spacing w:line="288" w:lineRule="auto"/>
        <w:jc w:val="center"/>
        <w:rPr>
          <w:rFonts w:ascii="Arial" w:hAnsi="Arial" w:eastAsia="宋体" w:cs="Arial"/>
          <w:color w:val="auto"/>
          <w:highlight w:val="none"/>
        </w:rPr>
      </w:pPr>
      <w:r>
        <w:rPr>
          <w:rFonts w:ascii="Arial" w:hAnsi="Arial" w:eastAsia="宋体" w:cs="Arial"/>
          <w:b w:val="0"/>
          <w:color w:val="auto"/>
          <w:highlight w:val="none"/>
        </w:rPr>
        <w:br w:type="page"/>
      </w:r>
      <w:bookmarkStart w:id="30" w:name="_Toc16567"/>
      <w:bookmarkStart w:id="31" w:name="_Toc7117"/>
      <w:r>
        <w:rPr>
          <w:rFonts w:ascii="Arial" w:hAnsi="Arial" w:eastAsia="宋体" w:cs="Arial"/>
          <w:bCs w:val="0"/>
          <w:color w:val="auto"/>
          <w:highlight w:val="none"/>
        </w:rPr>
        <w:t>第五章  采购合同（合同主要条款及格式）</w:t>
      </w:r>
      <w:bookmarkEnd w:id="30"/>
      <w:bookmarkEnd w:id="31"/>
    </w:p>
    <w:p w14:paraId="730C3832">
      <w:pPr>
        <w:snapToGrid w:val="0"/>
        <w:spacing w:line="288" w:lineRule="auto"/>
        <w:ind w:right="480" w:firstLine="6720" w:firstLineChars="3200"/>
        <w:rPr>
          <w:rFonts w:ascii="Arial" w:hAnsi="Arial" w:eastAsia="宋体" w:cs="Arial"/>
          <w:bCs/>
          <w:color w:val="auto"/>
          <w:szCs w:val="21"/>
          <w:highlight w:val="none"/>
          <w:u w:val="single"/>
        </w:rPr>
      </w:pPr>
      <w:r>
        <w:rPr>
          <w:rFonts w:ascii="Arial" w:hAnsi="Arial" w:eastAsia="宋体" w:cs="Arial"/>
          <w:bCs/>
          <w:color w:val="auto"/>
          <w:szCs w:val="21"/>
          <w:highlight w:val="none"/>
        </w:rPr>
        <w:t>合同编号：</w:t>
      </w:r>
      <w:r>
        <w:rPr>
          <w:rFonts w:ascii="Arial" w:hAnsi="Arial" w:eastAsia="宋体" w:cs="Arial"/>
          <w:bCs/>
          <w:color w:val="auto"/>
          <w:szCs w:val="21"/>
          <w:highlight w:val="none"/>
          <w:u w:val="single"/>
        </w:rPr>
        <w:t xml:space="preserve">          </w:t>
      </w:r>
    </w:p>
    <w:p w14:paraId="46AEF718">
      <w:pPr>
        <w:snapToGrid w:val="0"/>
        <w:spacing w:line="288" w:lineRule="auto"/>
        <w:rPr>
          <w:rFonts w:ascii="Arial" w:hAnsi="Arial" w:eastAsia="宋体" w:cs="Arial"/>
          <w:color w:val="auto"/>
          <w:szCs w:val="21"/>
          <w:highlight w:val="none"/>
        </w:rPr>
      </w:pPr>
    </w:p>
    <w:p w14:paraId="477DACDB">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采购人（甲方）:</w:t>
      </w:r>
      <w:r>
        <w:rPr>
          <w:rFonts w:ascii="Arial" w:hAnsi="Arial" w:eastAsia="宋体" w:cs="Arial"/>
          <w:color w:val="auto"/>
          <w:szCs w:val="21"/>
          <w:highlight w:val="none"/>
          <w:u w:val="single"/>
        </w:rPr>
        <w:t xml:space="preserve">桂林理工大学      </w:t>
      </w:r>
      <w:r>
        <w:rPr>
          <w:rFonts w:ascii="Arial" w:hAnsi="Arial" w:eastAsia="宋体" w:cs="Arial"/>
          <w:color w:val="auto"/>
          <w:szCs w:val="21"/>
          <w:highlight w:val="none"/>
        </w:rPr>
        <w:t xml:space="preserve">               </w:t>
      </w:r>
    </w:p>
    <w:p w14:paraId="6760BF3B">
      <w:pPr>
        <w:snapToGrid w:val="0"/>
        <w:spacing w:line="288" w:lineRule="auto"/>
        <w:rPr>
          <w:rFonts w:ascii="Arial" w:hAnsi="Arial" w:eastAsia="宋体" w:cs="Arial"/>
          <w:color w:val="auto"/>
          <w:szCs w:val="21"/>
          <w:highlight w:val="none"/>
          <w:u w:val="single"/>
        </w:rPr>
      </w:pPr>
      <w:r>
        <w:rPr>
          <w:rFonts w:ascii="Arial" w:hAnsi="Arial" w:eastAsia="宋体" w:cs="Arial"/>
          <w:color w:val="auto"/>
          <w:szCs w:val="21"/>
          <w:highlight w:val="none"/>
        </w:rPr>
        <w:t>供应商（乙方）:</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项目编号:</w:t>
      </w:r>
      <w:r>
        <w:rPr>
          <w:rFonts w:ascii="Arial" w:hAnsi="Arial" w:eastAsia="宋体" w:cs="Arial"/>
          <w:color w:val="auto"/>
          <w:szCs w:val="21"/>
          <w:highlight w:val="none"/>
          <w:u w:val="single"/>
        </w:rPr>
        <w:t xml:space="preserve">                </w:t>
      </w:r>
    </w:p>
    <w:p w14:paraId="2FF4838F">
      <w:pPr>
        <w:snapToGrid w:val="0"/>
        <w:spacing w:line="288" w:lineRule="auto"/>
        <w:rPr>
          <w:rFonts w:ascii="Arial" w:hAnsi="Arial" w:eastAsia="宋体" w:cs="Arial"/>
          <w:color w:val="auto"/>
          <w:szCs w:val="21"/>
          <w:highlight w:val="none"/>
          <w:u w:val="single"/>
        </w:rPr>
      </w:pPr>
      <w:r>
        <w:rPr>
          <w:rFonts w:ascii="Arial" w:hAnsi="Arial" w:eastAsia="宋体" w:cs="Arial"/>
          <w:color w:val="auto"/>
          <w:szCs w:val="21"/>
          <w:highlight w:val="none"/>
        </w:rPr>
        <w:t>签订地点:</w:t>
      </w:r>
      <w:r>
        <w:rPr>
          <w:rFonts w:ascii="Arial" w:hAnsi="Arial" w:eastAsia="宋体" w:cs="Arial"/>
          <w:color w:val="auto"/>
          <w:szCs w:val="21"/>
          <w:highlight w:val="none"/>
          <w:u w:val="single"/>
        </w:rPr>
        <w:t xml:space="preserve">  广西桂林              </w:t>
      </w:r>
      <w:r>
        <w:rPr>
          <w:rFonts w:ascii="Arial" w:hAnsi="Arial" w:eastAsia="宋体" w:cs="Arial"/>
          <w:color w:val="auto"/>
          <w:szCs w:val="21"/>
          <w:highlight w:val="none"/>
        </w:rPr>
        <w:t xml:space="preserve">               签订时间:</w:t>
      </w:r>
      <w:r>
        <w:rPr>
          <w:rFonts w:ascii="Arial" w:hAnsi="Arial" w:eastAsia="宋体" w:cs="Arial"/>
          <w:color w:val="auto"/>
          <w:szCs w:val="21"/>
          <w:highlight w:val="none"/>
          <w:u w:val="single"/>
        </w:rPr>
        <w:t xml:space="preserve">                </w:t>
      </w:r>
    </w:p>
    <w:p w14:paraId="7B16C512">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根据《中华人民共和国政府采购法》、</w:t>
      </w:r>
      <w:r>
        <w:rPr>
          <w:rFonts w:ascii="Arial" w:hAnsi="Arial" w:eastAsia="宋体" w:cs="Arial"/>
          <w:color w:val="auto"/>
          <w:highlight w:val="none"/>
        </w:rPr>
        <w:t>《中华人民共和国政府采购法实施条例》、</w:t>
      </w:r>
      <w:r>
        <w:rPr>
          <w:rFonts w:ascii="Arial" w:hAnsi="Arial" w:eastAsia="宋体" w:cs="Arial"/>
          <w:color w:val="auto"/>
          <w:szCs w:val="21"/>
          <w:highlight w:val="none"/>
        </w:rPr>
        <w:t>《</w:t>
      </w:r>
      <w:r>
        <w:rPr>
          <w:rFonts w:ascii="Arial" w:hAnsi="Arial" w:eastAsia="宋体" w:cs="Arial"/>
          <w:color w:val="auto"/>
          <w:szCs w:val="21"/>
          <w:highlight w:val="none"/>
          <w:shd w:val="clear" w:color="auto" w:fill="FFFFFF"/>
        </w:rPr>
        <w:t>中华人民共和国民法典</w:t>
      </w:r>
      <w:r>
        <w:rPr>
          <w:rFonts w:ascii="Arial" w:hAnsi="Arial" w:eastAsia="宋体" w:cs="Arial"/>
          <w:color w:val="auto"/>
          <w:szCs w:val="21"/>
          <w:highlight w:val="none"/>
        </w:rPr>
        <w:t>》等法律、法规规定，甲乙双方签订本合同。</w:t>
      </w:r>
    </w:p>
    <w:p w14:paraId="6E7E6FBD">
      <w:pPr>
        <w:snapToGrid w:val="0"/>
        <w:spacing w:line="288" w:lineRule="auto"/>
        <w:rPr>
          <w:rFonts w:ascii="Arial" w:hAnsi="Arial" w:eastAsia="宋体" w:cs="Arial"/>
          <w:b/>
          <w:color w:val="auto"/>
          <w:szCs w:val="21"/>
          <w:highlight w:val="none"/>
        </w:rPr>
      </w:pPr>
      <w:r>
        <w:rPr>
          <w:rFonts w:ascii="Arial" w:hAnsi="Arial" w:eastAsia="宋体" w:cs="Arial"/>
          <w:b/>
          <w:color w:val="auto"/>
          <w:szCs w:val="21"/>
          <w:highlight w:val="none"/>
        </w:rPr>
        <w:t>第一条　合同标的</w:t>
      </w:r>
    </w:p>
    <w:p w14:paraId="357257FB">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1.供货一览表</w:t>
      </w:r>
    </w:p>
    <w:tbl>
      <w:tblPr>
        <w:tblStyle w:val="24"/>
        <w:tblW w:w="97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701"/>
        <w:gridCol w:w="992"/>
        <w:gridCol w:w="1134"/>
        <w:gridCol w:w="851"/>
        <w:gridCol w:w="708"/>
        <w:gridCol w:w="709"/>
        <w:gridCol w:w="1016"/>
        <w:gridCol w:w="1564"/>
      </w:tblGrid>
      <w:tr w14:paraId="2D97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31" w:type="dxa"/>
            <w:vAlign w:val="center"/>
          </w:tcPr>
          <w:p w14:paraId="1622E25B">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项号</w:t>
            </w:r>
          </w:p>
        </w:tc>
        <w:tc>
          <w:tcPr>
            <w:tcW w:w="1701" w:type="dxa"/>
            <w:vAlign w:val="center"/>
          </w:tcPr>
          <w:p w14:paraId="2529516B">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货物名称</w:t>
            </w:r>
          </w:p>
        </w:tc>
        <w:tc>
          <w:tcPr>
            <w:tcW w:w="992" w:type="dxa"/>
            <w:vAlign w:val="center"/>
          </w:tcPr>
          <w:p w14:paraId="4F450F3A">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30"/>
                <w:highlight w:val="none"/>
              </w:rPr>
              <w:t>厂家、品牌</w:t>
            </w:r>
          </w:p>
        </w:tc>
        <w:tc>
          <w:tcPr>
            <w:tcW w:w="1134" w:type="dxa"/>
            <w:vAlign w:val="center"/>
          </w:tcPr>
          <w:p w14:paraId="176725DE">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30"/>
                <w:highlight w:val="none"/>
              </w:rPr>
              <w:t>规格型号</w:t>
            </w:r>
          </w:p>
        </w:tc>
        <w:tc>
          <w:tcPr>
            <w:tcW w:w="851" w:type="dxa"/>
            <w:vAlign w:val="center"/>
          </w:tcPr>
          <w:p w14:paraId="218A335D">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技术参数</w:t>
            </w:r>
          </w:p>
        </w:tc>
        <w:tc>
          <w:tcPr>
            <w:tcW w:w="708" w:type="dxa"/>
            <w:vAlign w:val="center"/>
          </w:tcPr>
          <w:p w14:paraId="3A9E8971">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数量</w:t>
            </w:r>
          </w:p>
          <w:p w14:paraId="2C7F97B4">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①</w:t>
            </w:r>
          </w:p>
        </w:tc>
        <w:tc>
          <w:tcPr>
            <w:tcW w:w="709" w:type="dxa"/>
            <w:vAlign w:val="center"/>
          </w:tcPr>
          <w:p w14:paraId="036FB0D9">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单位</w:t>
            </w:r>
          </w:p>
        </w:tc>
        <w:tc>
          <w:tcPr>
            <w:tcW w:w="1016" w:type="dxa"/>
            <w:vAlign w:val="center"/>
          </w:tcPr>
          <w:p w14:paraId="384E4960">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单价（元）</w:t>
            </w:r>
          </w:p>
          <w:p w14:paraId="5E3EC546">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②</w:t>
            </w:r>
          </w:p>
        </w:tc>
        <w:tc>
          <w:tcPr>
            <w:tcW w:w="1564" w:type="dxa"/>
            <w:vAlign w:val="center"/>
          </w:tcPr>
          <w:p w14:paraId="5FC963D8">
            <w:pPr>
              <w:snapToGrid w:val="0"/>
              <w:spacing w:line="288" w:lineRule="auto"/>
              <w:jc w:val="center"/>
              <w:rPr>
                <w:rFonts w:ascii="Arial" w:hAnsi="Arial" w:eastAsia="宋体" w:cs="Arial"/>
                <w:color w:val="auto"/>
                <w:szCs w:val="21"/>
                <w:highlight w:val="none"/>
              </w:rPr>
            </w:pPr>
            <w:r>
              <w:rPr>
                <w:rFonts w:ascii="Arial" w:hAnsi="Arial" w:eastAsia="宋体" w:cs="Arial"/>
                <w:b/>
                <w:color w:val="auto"/>
                <w:szCs w:val="21"/>
                <w:highlight w:val="none"/>
              </w:rPr>
              <w:t>单项合计金额</w:t>
            </w:r>
            <w:r>
              <w:rPr>
                <w:rFonts w:ascii="Arial" w:hAnsi="Arial" w:eastAsia="宋体" w:cs="Arial"/>
                <w:color w:val="auto"/>
                <w:szCs w:val="21"/>
                <w:highlight w:val="none"/>
              </w:rPr>
              <w:t>（元）</w:t>
            </w:r>
          </w:p>
          <w:p w14:paraId="53242A7C">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③＝①×②</w:t>
            </w:r>
          </w:p>
        </w:tc>
      </w:tr>
      <w:tr w14:paraId="3616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0D23A88E">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701" w:type="dxa"/>
            <w:vAlign w:val="center"/>
          </w:tcPr>
          <w:p w14:paraId="1A14FD3E">
            <w:pPr>
              <w:spacing w:line="288" w:lineRule="auto"/>
              <w:jc w:val="center"/>
              <w:rPr>
                <w:rFonts w:ascii="Arial" w:hAnsi="Arial" w:eastAsia="宋体" w:cs="Arial"/>
                <w:color w:val="auto"/>
                <w:szCs w:val="21"/>
                <w:highlight w:val="none"/>
              </w:rPr>
            </w:pPr>
          </w:p>
        </w:tc>
        <w:tc>
          <w:tcPr>
            <w:tcW w:w="992" w:type="dxa"/>
            <w:vAlign w:val="center"/>
          </w:tcPr>
          <w:p w14:paraId="43678F91">
            <w:pPr>
              <w:snapToGrid w:val="0"/>
              <w:spacing w:line="288" w:lineRule="auto"/>
              <w:rPr>
                <w:rFonts w:ascii="Arial" w:hAnsi="Arial" w:eastAsia="宋体" w:cs="Arial"/>
                <w:color w:val="auto"/>
                <w:szCs w:val="21"/>
                <w:highlight w:val="none"/>
              </w:rPr>
            </w:pPr>
          </w:p>
        </w:tc>
        <w:tc>
          <w:tcPr>
            <w:tcW w:w="1134" w:type="dxa"/>
            <w:vAlign w:val="center"/>
          </w:tcPr>
          <w:p w14:paraId="7BE8E6F6">
            <w:pPr>
              <w:snapToGrid w:val="0"/>
              <w:spacing w:line="288" w:lineRule="auto"/>
              <w:rPr>
                <w:rFonts w:ascii="Arial" w:hAnsi="Arial" w:eastAsia="宋体" w:cs="Arial"/>
                <w:color w:val="auto"/>
                <w:szCs w:val="21"/>
                <w:highlight w:val="none"/>
              </w:rPr>
            </w:pPr>
          </w:p>
        </w:tc>
        <w:tc>
          <w:tcPr>
            <w:tcW w:w="851" w:type="dxa"/>
            <w:vAlign w:val="center"/>
          </w:tcPr>
          <w:p w14:paraId="5FD6D8B2">
            <w:pPr>
              <w:snapToGrid w:val="0"/>
              <w:spacing w:line="288" w:lineRule="auto"/>
              <w:rPr>
                <w:rFonts w:ascii="Arial" w:hAnsi="Arial" w:eastAsia="宋体" w:cs="Arial"/>
                <w:color w:val="auto"/>
                <w:szCs w:val="21"/>
                <w:highlight w:val="none"/>
              </w:rPr>
            </w:pPr>
          </w:p>
        </w:tc>
        <w:tc>
          <w:tcPr>
            <w:tcW w:w="708" w:type="dxa"/>
            <w:vAlign w:val="center"/>
          </w:tcPr>
          <w:p w14:paraId="5B541F27">
            <w:pPr>
              <w:spacing w:line="288" w:lineRule="auto"/>
              <w:jc w:val="center"/>
              <w:rPr>
                <w:rFonts w:ascii="Arial" w:hAnsi="Arial" w:eastAsia="宋体" w:cs="Arial"/>
                <w:color w:val="auto"/>
                <w:szCs w:val="21"/>
                <w:highlight w:val="none"/>
              </w:rPr>
            </w:pPr>
          </w:p>
        </w:tc>
        <w:tc>
          <w:tcPr>
            <w:tcW w:w="709" w:type="dxa"/>
            <w:vAlign w:val="center"/>
          </w:tcPr>
          <w:p w14:paraId="32F906BA">
            <w:pPr>
              <w:spacing w:line="288" w:lineRule="auto"/>
              <w:jc w:val="center"/>
              <w:rPr>
                <w:rFonts w:ascii="Arial" w:hAnsi="Arial" w:eastAsia="宋体" w:cs="Arial"/>
                <w:color w:val="auto"/>
                <w:szCs w:val="21"/>
                <w:highlight w:val="none"/>
              </w:rPr>
            </w:pPr>
          </w:p>
        </w:tc>
        <w:tc>
          <w:tcPr>
            <w:tcW w:w="1016" w:type="dxa"/>
            <w:vAlign w:val="center"/>
          </w:tcPr>
          <w:p w14:paraId="6C378566">
            <w:pPr>
              <w:snapToGrid w:val="0"/>
              <w:spacing w:line="288" w:lineRule="auto"/>
              <w:rPr>
                <w:rFonts w:ascii="Arial" w:hAnsi="Arial" w:eastAsia="宋体" w:cs="Arial"/>
                <w:color w:val="auto"/>
                <w:szCs w:val="21"/>
                <w:highlight w:val="none"/>
              </w:rPr>
            </w:pPr>
          </w:p>
        </w:tc>
        <w:tc>
          <w:tcPr>
            <w:tcW w:w="1564" w:type="dxa"/>
            <w:vAlign w:val="center"/>
          </w:tcPr>
          <w:p w14:paraId="34EBAAD3">
            <w:pPr>
              <w:snapToGrid w:val="0"/>
              <w:spacing w:line="288" w:lineRule="auto"/>
              <w:rPr>
                <w:rFonts w:ascii="Arial" w:hAnsi="Arial" w:eastAsia="宋体" w:cs="Arial"/>
                <w:color w:val="auto"/>
                <w:szCs w:val="21"/>
                <w:highlight w:val="none"/>
              </w:rPr>
            </w:pPr>
          </w:p>
        </w:tc>
      </w:tr>
      <w:tr w14:paraId="71D6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270125E0">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701" w:type="dxa"/>
            <w:vAlign w:val="center"/>
          </w:tcPr>
          <w:p w14:paraId="22F46114">
            <w:pPr>
              <w:spacing w:line="288" w:lineRule="auto"/>
              <w:jc w:val="center"/>
              <w:rPr>
                <w:rFonts w:ascii="Arial" w:hAnsi="Arial" w:eastAsia="宋体" w:cs="Arial"/>
                <w:color w:val="auto"/>
                <w:szCs w:val="21"/>
                <w:highlight w:val="none"/>
              </w:rPr>
            </w:pPr>
          </w:p>
        </w:tc>
        <w:tc>
          <w:tcPr>
            <w:tcW w:w="992" w:type="dxa"/>
            <w:vAlign w:val="center"/>
          </w:tcPr>
          <w:p w14:paraId="40237243">
            <w:pPr>
              <w:snapToGrid w:val="0"/>
              <w:spacing w:line="288" w:lineRule="auto"/>
              <w:rPr>
                <w:rFonts w:ascii="Arial" w:hAnsi="Arial" w:eastAsia="宋体" w:cs="Arial"/>
                <w:color w:val="auto"/>
                <w:szCs w:val="21"/>
                <w:highlight w:val="none"/>
              </w:rPr>
            </w:pPr>
          </w:p>
        </w:tc>
        <w:tc>
          <w:tcPr>
            <w:tcW w:w="1134" w:type="dxa"/>
            <w:vAlign w:val="center"/>
          </w:tcPr>
          <w:p w14:paraId="7A1BF2BE">
            <w:pPr>
              <w:snapToGrid w:val="0"/>
              <w:spacing w:line="288" w:lineRule="auto"/>
              <w:rPr>
                <w:rFonts w:ascii="Arial" w:hAnsi="Arial" w:eastAsia="宋体" w:cs="Arial"/>
                <w:color w:val="auto"/>
                <w:szCs w:val="21"/>
                <w:highlight w:val="none"/>
              </w:rPr>
            </w:pPr>
          </w:p>
        </w:tc>
        <w:tc>
          <w:tcPr>
            <w:tcW w:w="851" w:type="dxa"/>
            <w:vAlign w:val="center"/>
          </w:tcPr>
          <w:p w14:paraId="43A843D3">
            <w:pPr>
              <w:snapToGrid w:val="0"/>
              <w:spacing w:line="288" w:lineRule="auto"/>
              <w:rPr>
                <w:rFonts w:ascii="Arial" w:hAnsi="Arial" w:eastAsia="宋体" w:cs="Arial"/>
                <w:color w:val="auto"/>
                <w:szCs w:val="21"/>
                <w:highlight w:val="none"/>
              </w:rPr>
            </w:pPr>
          </w:p>
        </w:tc>
        <w:tc>
          <w:tcPr>
            <w:tcW w:w="708" w:type="dxa"/>
            <w:vAlign w:val="center"/>
          </w:tcPr>
          <w:p w14:paraId="562D0887">
            <w:pPr>
              <w:spacing w:line="288" w:lineRule="auto"/>
              <w:jc w:val="center"/>
              <w:rPr>
                <w:rFonts w:ascii="Arial" w:hAnsi="Arial" w:eastAsia="宋体" w:cs="Arial"/>
                <w:color w:val="auto"/>
                <w:szCs w:val="21"/>
                <w:highlight w:val="none"/>
              </w:rPr>
            </w:pPr>
          </w:p>
        </w:tc>
        <w:tc>
          <w:tcPr>
            <w:tcW w:w="709" w:type="dxa"/>
            <w:vAlign w:val="center"/>
          </w:tcPr>
          <w:p w14:paraId="28665DC3">
            <w:pPr>
              <w:spacing w:line="288" w:lineRule="auto"/>
              <w:jc w:val="center"/>
              <w:rPr>
                <w:rFonts w:ascii="Arial" w:hAnsi="Arial" w:eastAsia="宋体" w:cs="Arial"/>
                <w:color w:val="auto"/>
                <w:szCs w:val="21"/>
                <w:highlight w:val="none"/>
              </w:rPr>
            </w:pPr>
          </w:p>
        </w:tc>
        <w:tc>
          <w:tcPr>
            <w:tcW w:w="1016" w:type="dxa"/>
            <w:vAlign w:val="center"/>
          </w:tcPr>
          <w:p w14:paraId="5A2F5F22">
            <w:pPr>
              <w:snapToGrid w:val="0"/>
              <w:spacing w:line="288" w:lineRule="auto"/>
              <w:rPr>
                <w:rFonts w:ascii="Arial" w:hAnsi="Arial" w:eastAsia="宋体" w:cs="Arial"/>
                <w:color w:val="auto"/>
                <w:szCs w:val="21"/>
                <w:highlight w:val="none"/>
              </w:rPr>
            </w:pPr>
          </w:p>
        </w:tc>
        <w:tc>
          <w:tcPr>
            <w:tcW w:w="1564" w:type="dxa"/>
            <w:vAlign w:val="center"/>
          </w:tcPr>
          <w:p w14:paraId="661B8146">
            <w:pPr>
              <w:snapToGrid w:val="0"/>
              <w:spacing w:line="288" w:lineRule="auto"/>
              <w:rPr>
                <w:rFonts w:ascii="Arial" w:hAnsi="Arial" w:eastAsia="宋体" w:cs="Arial"/>
                <w:color w:val="auto"/>
                <w:szCs w:val="21"/>
                <w:highlight w:val="none"/>
              </w:rPr>
            </w:pPr>
          </w:p>
        </w:tc>
      </w:tr>
      <w:tr w14:paraId="302C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284CB06E">
            <w:pPr>
              <w:widowControl/>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1701" w:type="dxa"/>
            <w:vAlign w:val="center"/>
          </w:tcPr>
          <w:p w14:paraId="4E84C0AD">
            <w:pPr>
              <w:widowControl/>
              <w:spacing w:line="288" w:lineRule="auto"/>
              <w:jc w:val="center"/>
              <w:textAlignment w:val="center"/>
              <w:rPr>
                <w:rFonts w:ascii="Arial" w:hAnsi="Arial" w:eastAsia="宋体" w:cs="Arial"/>
                <w:color w:val="auto"/>
                <w:szCs w:val="21"/>
                <w:highlight w:val="none"/>
              </w:rPr>
            </w:pPr>
          </w:p>
        </w:tc>
        <w:tc>
          <w:tcPr>
            <w:tcW w:w="992" w:type="dxa"/>
            <w:vAlign w:val="center"/>
          </w:tcPr>
          <w:p w14:paraId="23DD0B2F">
            <w:pPr>
              <w:snapToGrid w:val="0"/>
              <w:spacing w:line="288" w:lineRule="auto"/>
              <w:rPr>
                <w:rFonts w:ascii="Arial" w:hAnsi="Arial" w:eastAsia="宋体" w:cs="Arial"/>
                <w:color w:val="auto"/>
                <w:szCs w:val="21"/>
                <w:highlight w:val="none"/>
              </w:rPr>
            </w:pPr>
          </w:p>
        </w:tc>
        <w:tc>
          <w:tcPr>
            <w:tcW w:w="1134" w:type="dxa"/>
            <w:vAlign w:val="center"/>
          </w:tcPr>
          <w:p w14:paraId="2D7EB3DA">
            <w:pPr>
              <w:snapToGrid w:val="0"/>
              <w:spacing w:line="288" w:lineRule="auto"/>
              <w:rPr>
                <w:rFonts w:ascii="Arial" w:hAnsi="Arial" w:eastAsia="宋体" w:cs="Arial"/>
                <w:color w:val="auto"/>
                <w:szCs w:val="21"/>
                <w:highlight w:val="none"/>
              </w:rPr>
            </w:pPr>
          </w:p>
        </w:tc>
        <w:tc>
          <w:tcPr>
            <w:tcW w:w="851" w:type="dxa"/>
            <w:vAlign w:val="center"/>
          </w:tcPr>
          <w:p w14:paraId="1E2BA3B6">
            <w:pPr>
              <w:snapToGrid w:val="0"/>
              <w:spacing w:line="288" w:lineRule="auto"/>
              <w:rPr>
                <w:rFonts w:ascii="Arial" w:hAnsi="Arial" w:eastAsia="宋体" w:cs="Arial"/>
                <w:color w:val="auto"/>
                <w:szCs w:val="21"/>
                <w:highlight w:val="none"/>
              </w:rPr>
            </w:pPr>
          </w:p>
        </w:tc>
        <w:tc>
          <w:tcPr>
            <w:tcW w:w="708" w:type="dxa"/>
            <w:vAlign w:val="center"/>
          </w:tcPr>
          <w:p w14:paraId="72C99976">
            <w:pPr>
              <w:spacing w:line="288" w:lineRule="auto"/>
              <w:jc w:val="center"/>
              <w:rPr>
                <w:rFonts w:ascii="Arial" w:hAnsi="Arial" w:eastAsia="宋体" w:cs="Arial"/>
                <w:color w:val="auto"/>
                <w:szCs w:val="21"/>
                <w:highlight w:val="none"/>
              </w:rPr>
            </w:pPr>
          </w:p>
        </w:tc>
        <w:tc>
          <w:tcPr>
            <w:tcW w:w="709" w:type="dxa"/>
            <w:vAlign w:val="center"/>
          </w:tcPr>
          <w:p w14:paraId="06DA1F7E">
            <w:pPr>
              <w:spacing w:line="288" w:lineRule="auto"/>
              <w:jc w:val="center"/>
              <w:rPr>
                <w:rFonts w:ascii="Arial" w:hAnsi="Arial" w:eastAsia="宋体" w:cs="Arial"/>
                <w:color w:val="auto"/>
                <w:szCs w:val="21"/>
                <w:highlight w:val="none"/>
              </w:rPr>
            </w:pPr>
          </w:p>
        </w:tc>
        <w:tc>
          <w:tcPr>
            <w:tcW w:w="1016" w:type="dxa"/>
            <w:vAlign w:val="center"/>
          </w:tcPr>
          <w:p w14:paraId="2EAE1D46">
            <w:pPr>
              <w:snapToGrid w:val="0"/>
              <w:spacing w:line="288" w:lineRule="auto"/>
              <w:rPr>
                <w:rFonts w:ascii="Arial" w:hAnsi="Arial" w:eastAsia="宋体" w:cs="Arial"/>
                <w:color w:val="auto"/>
                <w:szCs w:val="21"/>
                <w:highlight w:val="none"/>
              </w:rPr>
            </w:pPr>
          </w:p>
        </w:tc>
        <w:tc>
          <w:tcPr>
            <w:tcW w:w="1564" w:type="dxa"/>
            <w:vAlign w:val="center"/>
          </w:tcPr>
          <w:p w14:paraId="7997DC97">
            <w:pPr>
              <w:snapToGrid w:val="0"/>
              <w:spacing w:line="288" w:lineRule="auto"/>
              <w:rPr>
                <w:rFonts w:ascii="Arial" w:hAnsi="Arial" w:eastAsia="宋体" w:cs="Arial"/>
                <w:color w:val="auto"/>
                <w:szCs w:val="21"/>
                <w:highlight w:val="none"/>
              </w:rPr>
            </w:pPr>
          </w:p>
        </w:tc>
      </w:tr>
      <w:tr w14:paraId="254E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706" w:type="dxa"/>
            <w:gridSpan w:val="9"/>
            <w:vAlign w:val="center"/>
          </w:tcPr>
          <w:p w14:paraId="4EA41F92">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（合计金额）大写：                  </w:t>
            </w:r>
            <w:r>
              <w:rPr>
                <w:rFonts w:ascii="Arial" w:hAnsi="Arial" w:eastAsia="宋体" w:cs="Arial"/>
                <w:color w:val="auto"/>
                <w:spacing w:val="20"/>
                <w:szCs w:val="21"/>
                <w:highlight w:val="none"/>
              </w:rPr>
              <w:t>人民币（¥               ）</w:t>
            </w:r>
          </w:p>
        </w:tc>
      </w:tr>
    </w:tbl>
    <w:p w14:paraId="43FBB23F">
      <w:pPr>
        <w:snapToGrid w:val="0"/>
        <w:spacing w:after="0" w:line="288" w:lineRule="auto"/>
        <w:rPr>
          <w:rFonts w:ascii="Arial" w:hAnsi="Arial" w:eastAsia="宋体" w:cs="Arial"/>
          <w:color w:val="auto"/>
          <w:highlight w:val="none"/>
        </w:rPr>
      </w:pPr>
      <w:r>
        <w:rPr>
          <w:rFonts w:ascii="Arial" w:hAnsi="Arial" w:eastAsia="宋体" w:cs="Arial"/>
          <w:color w:val="auto"/>
          <w:szCs w:val="21"/>
          <w:highlight w:val="none"/>
        </w:rPr>
        <w:t>2.</w:t>
      </w:r>
      <w:r>
        <w:rPr>
          <w:rFonts w:ascii="Arial" w:hAnsi="Arial" w:eastAsia="宋体" w:cs="Arial"/>
          <w:color w:val="auto"/>
          <w:highlight w:val="none"/>
        </w:rPr>
        <w:t>合同合计金额包括：本次采购范围内货物货款、货物标准附件、备品备件、专用工具、包装、运输、装卸、保险、税金、货到就位以及安装、安装所需辅材、调试、培训、保修和和采购文件要求提供的所有伴随服务、工程等费用和税费。</w:t>
      </w:r>
    </w:p>
    <w:p w14:paraId="50C84A62">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第二条　质量保证</w:t>
      </w:r>
    </w:p>
    <w:p w14:paraId="078B42A2">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1.乙方所提供的产品名称、商标品牌、生产厂家、规格型号、技术参数等内容必须与</w:t>
      </w:r>
      <w:r>
        <w:rPr>
          <w:rFonts w:ascii="Arial" w:hAnsi="Arial" w:eastAsia="宋体" w:cs="Arial"/>
          <w:color w:val="auto"/>
          <w:highlight w:val="none"/>
        </w:rPr>
        <w:t>采购文件</w:t>
      </w:r>
      <w:r>
        <w:rPr>
          <w:rFonts w:ascii="Arial" w:hAnsi="Arial" w:eastAsia="宋体" w:cs="Arial"/>
          <w:color w:val="auto"/>
          <w:szCs w:val="21"/>
          <w:highlight w:val="none"/>
        </w:rPr>
        <w:t>规定及投标（响应）文件承诺相一致。乙方提供的节能和环保产品必须是列入政府采购</w:t>
      </w:r>
      <w:r>
        <w:rPr>
          <w:rFonts w:ascii="Arial" w:hAnsi="Arial" w:eastAsia="宋体" w:cs="Arial"/>
          <w:color w:val="auto"/>
          <w:highlight w:val="none"/>
        </w:rPr>
        <w:t>品目</w:t>
      </w:r>
      <w:r>
        <w:rPr>
          <w:rFonts w:ascii="Arial" w:hAnsi="Arial" w:eastAsia="宋体" w:cs="Arial"/>
          <w:color w:val="auto"/>
          <w:szCs w:val="21"/>
          <w:highlight w:val="none"/>
        </w:rPr>
        <w:t>清单的产品。</w:t>
      </w:r>
    </w:p>
    <w:p w14:paraId="4CF779AA">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2.乙方所提供的货物必须是全新、未使用的原装产品，且在正常安装、使用和保养条件下，其使用寿命期内各项指标均达到</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规定或投标（响应）文件承诺的质量要求。</w:t>
      </w:r>
    </w:p>
    <w:p w14:paraId="092A77E5">
      <w:pPr>
        <w:tabs>
          <w:tab w:val="left" w:pos="900"/>
        </w:tabs>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第三条　权利保证</w:t>
      </w:r>
    </w:p>
    <w:p w14:paraId="6AC4F7C9">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1.甲方在履行合同过程中提供给乙方的全部图纸、文件和其他含有数据和信息的资料，其知识产权属于甲方。</w:t>
      </w:r>
    </w:p>
    <w:p w14:paraId="5BDFD860">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31CCF146">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7C7F597F">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4.乙方应按</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规定或投标（响应）文件承诺的时间向甲方提供使用货物的有关技术资料。</w:t>
      </w:r>
    </w:p>
    <w:p w14:paraId="55A47930">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14:paraId="334586B3">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6.乙方保证将要交付的货物的所有权完全属于乙方且无任何抵押、质押、查封等产权瑕疵。</w:t>
      </w:r>
    </w:p>
    <w:p w14:paraId="48949A7B">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第四条　货物包装、发运及运输</w:t>
      </w:r>
    </w:p>
    <w:p w14:paraId="488E5A3D">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1.乙方提供的货物均应按</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规定或投标（响应）文件承诺的要求的包装材料、包装标准、包装方式进行包装，每一包装单元内应附详细的装箱单和质量合格证。</w:t>
      </w:r>
    </w:p>
    <w:p w14:paraId="25C10EFF">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2.乙方应在货物发运前对其进行满足运输距离、防水、防潮、防震、防锈和防破损装卸等要求包装，以保证货物安全运达甲方指定地点。</w:t>
      </w:r>
    </w:p>
    <w:p w14:paraId="754DE798">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3.货物在交付甲方前发生的风险均由乙方负责。</w:t>
      </w:r>
    </w:p>
    <w:p w14:paraId="5A634C64">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4.使用说明书、质量检验证明书、随配附件和工具以及清单一并附于货物内，进口设备必须提供报关单。</w:t>
      </w:r>
    </w:p>
    <w:p w14:paraId="4AA5D2A2">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第五条　交付</w:t>
      </w:r>
    </w:p>
    <w:p w14:paraId="7B63FB5B">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1.交货时间：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【按乙方投标（响应）文件中承诺的不超过</w:t>
      </w:r>
      <w:r>
        <w:rPr>
          <w:rFonts w:ascii="Arial" w:hAnsi="Arial" w:eastAsia="宋体" w:cs="Arial"/>
          <w:color w:val="auto"/>
          <w:highlight w:val="none"/>
        </w:rPr>
        <w:t>采购文件</w:t>
      </w:r>
      <w:r>
        <w:rPr>
          <w:rFonts w:ascii="Arial" w:hAnsi="Arial" w:eastAsia="宋体" w:cs="Arial"/>
          <w:color w:val="auto"/>
          <w:szCs w:val="21"/>
          <w:highlight w:val="none"/>
        </w:rPr>
        <w:t>要求的时间】；交付地点：</w:t>
      </w:r>
      <w:r>
        <w:rPr>
          <w:rFonts w:ascii="Arial" w:hAnsi="Arial" w:eastAsia="宋体" w:cs="Arial"/>
          <w:color w:val="auto"/>
          <w:szCs w:val="21"/>
          <w:highlight w:val="none"/>
          <w:u w:val="single"/>
        </w:rPr>
        <w:t>广西桂林市甲方指定地点</w:t>
      </w:r>
      <w:r>
        <w:rPr>
          <w:rFonts w:ascii="Arial" w:hAnsi="Arial" w:eastAsia="宋体" w:cs="Arial"/>
          <w:color w:val="auto"/>
          <w:szCs w:val="21"/>
          <w:highlight w:val="none"/>
        </w:rPr>
        <w:t>。乙方需在规定的交付期限内将货物送达甲方指定的地点，同时通知甲方货物已送达。</w:t>
      </w:r>
    </w:p>
    <w:p w14:paraId="70644182">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2.乙方提供不符合</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规定或投标（响应）文件承诺的和本合同规定的货物，甲方有权拒绝接受。</w:t>
      </w:r>
    </w:p>
    <w:p w14:paraId="3FF75711">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36B10A3">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4.乙方交货前应对产品作出全面检查和对验收文件进行整理，并列出清单，作为甲方收货验收和使用的技术条件依据，检验的结果应随货物交甲方。</w:t>
      </w:r>
    </w:p>
    <w:p w14:paraId="3AF23CC2">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第六条　安装和培训</w:t>
      </w:r>
    </w:p>
    <w:p w14:paraId="020D918F">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1.甲方应提供必要安装条件（如场地、电源、水源等）。</w:t>
      </w:r>
    </w:p>
    <w:p w14:paraId="6D62EC2A">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2.乙方应当按照投标（响应）文件的承诺对甲方有关人员进行培训。培训时间、地点：</w:t>
      </w:r>
      <w:r>
        <w:rPr>
          <w:rFonts w:ascii="Arial" w:hAnsi="Arial" w:eastAsia="宋体" w:cs="Arial"/>
          <w:color w:val="auto"/>
          <w:szCs w:val="21"/>
          <w:highlight w:val="none"/>
          <w:u w:val="single"/>
        </w:rPr>
        <w:t>由甲方指定。</w:t>
      </w:r>
    </w:p>
    <w:p w14:paraId="6FE3BAF0">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第七条  调试和验收</w:t>
      </w:r>
    </w:p>
    <w:p w14:paraId="146C7728">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1.甲方对乙方提交的货物依据</w:t>
      </w:r>
      <w:r>
        <w:rPr>
          <w:rFonts w:ascii="Arial" w:hAnsi="Arial" w:eastAsia="宋体" w:cs="Arial"/>
          <w:color w:val="auto"/>
          <w:highlight w:val="none"/>
        </w:rPr>
        <w:t>采购文件</w:t>
      </w:r>
      <w:r>
        <w:rPr>
          <w:rFonts w:ascii="Arial" w:hAnsi="Arial" w:eastAsia="宋体" w:cs="Arial"/>
          <w:color w:val="auto"/>
          <w:szCs w:val="21"/>
          <w:highlight w:val="none"/>
        </w:rPr>
        <w:t>上的技术规格要求和国家有关质量标准进行现场初步验收，外观、说明书符合</w:t>
      </w:r>
      <w:r>
        <w:rPr>
          <w:rFonts w:ascii="Arial" w:hAnsi="Arial" w:eastAsia="宋体" w:cs="Arial"/>
          <w:color w:val="auto"/>
          <w:highlight w:val="none"/>
        </w:rPr>
        <w:t>采购文件</w:t>
      </w:r>
      <w:r>
        <w:rPr>
          <w:rFonts w:ascii="Arial" w:hAnsi="Arial" w:eastAsia="宋体" w:cs="Arial"/>
          <w:color w:val="auto"/>
          <w:szCs w:val="21"/>
          <w:highlight w:val="none"/>
        </w:rPr>
        <w:t>技术要求的，给予签收，初步验收不合格的不予签收。</w:t>
      </w:r>
    </w:p>
    <w:p w14:paraId="11DF98C6">
      <w:pPr>
        <w:snapToGrid w:val="0"/>
        <w:spacing w:after="0" w:line="288" w:lineRule="auto"/>
        <w:rPr>
          <w:rFonts w:ascii="Arial" w:hAnsi="Arial" w:eastAsia="宋体" w:cs="Arial"/>
          <w:color w:val="auto"/>
          <w:szCs w:val="21"/>
          <w:highlight w:val="none"/>
        </w:rPr>
      </w:pPr>
      <w:r>
        <w:rPr>
          <w:rFonts w:ascii="Arial" w:hAnsi="Arial" w:eastAsia="宋体" w:cs="Arial"/>
          <w:color w:val="auto"/>
          <w:highlight w:val="none"/>
        </w:rPr>
        <w:t>2.乙方交货前应对产品作出全面检查和对验收文件进行整理，并列出清单，作为甲方收货验收和使用的技术条件依据，检验的结果应随货物交甲方。</w:t>
      </w:r>
    </w:p>
    <w:p w14:paraId="21632D19">
      <w:pPr>
        <w:snapToGrid w:val="0"/>
        <w:spacing w:after="0" w:line="288" w:lineRule="auto"/>
        <w:rPr>
          <w:rFonts w:ascii="Arial" w:hAnsi="Arial" w:eastAsia="宋体" w:cs="Arial"/>
          <w:color w:val="auto"/>
          <w:highlight w:val="none"/>
        </w:rPr>
      </w:pPr>
      <w:r>
        <w:rPr>
          <w:rFonts w:ascii="Arial" w:hAnsi="Arial" w:eastAsia="宋体" w:cs="Arial"/>
          <w:color w:val="auto"/>
          <w:szCs w:val="21"/>
          <w:highlight w:val="none"/>
        </w:rPr>
        <w:t>3.甲方对乙方提供的货物在使用前进行调试时，乙方需负责安装并培训甲方的使用操作人员，并协助甲方一起调试，直到货物安装调试后符合技术要求</w:t>
      </w:r>
      <w:r>
        <w:rPr>
          <w:rFonts w:ascii="Arial" w:hAnsi="Arial" w:eastAsia="宋体" w:cs="Arial"/>
          <w:color w:val="auto"/>
          <w:highlight w:val="none"/>
        </w:rPr>
        <w:t>，甲方才做最终验收。</w:t>
      </w:r>
    </w:p>
    <w:p w14:paraId="13E5A7F9">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4.甲方应当在到货（安装、调试完）后，由甲方确认货物满足验收条件后</w:t>
      </w:r>
      <w:r>
        <w:rPr>
          <w:rFonts w:ascii="Arial" w:hAnsi="Arial" w:eastAsia="宋体" w:cs="Arial"/>
          <w:color w:val="auto"/>
          <w:szCs w:val="21"/>
          <w:highlight w:val="none"/>
          <w:u w:val="single"/>
        </w:rPr>
        <w:t>7个工作日</w:t>
      </w:r>
      <w:r>
        <w:rPr>
          <w:rFonts w:ascii="Arial" w:hAnsi="Arial" w:eastAsia="宋体" w:cs="Arial"/>
          <w:color w:val="auto"/>
          <w:szCs w:val="21"/>
          <w:highlight w:val="none"/>
        </w:rPr>
        <w:t>内进行验收，逾期不验收的，乙方可视同验收合格。验收时乙方必须在现场，验收完毕后作出验收结果报告，验收合格后由甲乙双方签署验收报告单，甲乙双方各执一份，验收费用由乙方负责。</w:t>
      </w:r>
    </w:p>
    <w:p w14:paraId="32A37192">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5.采购人委托采购代理机构组织的验收项目，其验收时间以该项目验收方案确定的验收时间为准，验收结果以该项目验收报告结论为准。</w:t>
      </w:r>
    </w:p>
    <w:p w14:paraId="2DDFFCC7">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6.在验收过程中发现乙方有违约问题，可暂缓资金结算，待违约问题解决后，方可办理资金结算事宜。</w:t>
      </w:r>
    </w:p>
    <w:p w14:paraId="58426F3F">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7.甲方对验收有异议的，在验收后5个工作日内以书面形式向乙方提出，乙方应自收到甲方书面异议后</w:t>
      </w:r>
      <w:r>
        <w:rPr>
          <w:rFonts w:ascii="Arial" w:hAnsi="Arial" w:eastAsia="宋体" w:cs="Arial"/>
          <w:color w:val="auto"/>
          <w:szCs w:val="21"/>
          <w:highlight w:val="none"/>
          <w:u w:val="single"/>
        </w:rPr>
        <w:t xml:space="preserve"> 10 </w:t>
      </w:r>
      <w:r>
        <w:rPr>
          <w:rFonts w:ascii="Arial" w:hAnsi="Arial" w:eastAsia="宋体" w:cs="Arial"/>
          <w:color w:val="auto"/>
          <w:szCs w:val="21"/>
          <w:highlight w:val="none"/>
        </w:rPr>
        <w:t>日内及时予以解决。</w:t>
      </w:r>
    </w:p>
    <w:p w14:paraId="2E06C2EE">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8.对技术复杂的货物，甲方应请国家认可的专业检测机构参与初步验收及最终验收，并由其出具质量检测报告。</w:t>
      </w:r>
    </w:p>
    <w:p w14:paraId="748697B1">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第八条　付款方式</w:t>
      </w:r>
    </w:p>
    <w:p w14:paraId="37932500">
      <w:pPr>
        <w:snapToGrid w:val="0"/>
        <w:spacing w:after="0" w:line="288" w:lineRule="auto"/>
        <w:rPr>
          <w:rFonts w:ascii="Arial" w:hAnsi="Arial" w:eastAsia="宋体" w:cs="Arial"/>
          <w:color w:val="auto"/>
          <w:highlight w:val="none"/>
        </w:rPr>
      </w:pPr>
      <w:r>
        <w:rPr>
          <w:rFonts w:ascii="Arial" w:hAnsi="Arial" w:eastAsia="宋体" w:cs="Arial"/>
          <w:color w:val="auto"/>
          <w:highlight w:val="none"/>
        </w:rPr>
        <w:t>本项目通过最终验收后，</w:t>
      </w:r>
      <w:r>
        <w:rPr>
          <w:rFonts w:hint="eastAsia" w:ascii="Arial" w:hAnsi="Arial" w:eastAsia="宋体" w:cs="Arial"/>
          <w:color w:val="auto"/>
          <w:highlight w:val="none"/>
        </w:rPr>
        <w:t>乙方</w:t>
      </w:r>
      <w:r>
        <w:rPr>
          <w:rFonts w:ascii="Arial" w:hAnsi="Arial" w:eastAsia="宋体" w:cs="Arial"/>
          <w:color w:val="auto"/>
          <w:highlight w:val="none"/>
        </w:rPr>
        <w:t>开具全额发票（国产设备必须开具增值税专用发票）给</w:t>
      </w:r>
      <w:r>
        <w:rPr>
          <w:rFonts w:hint="eastAsia" w:ascii="Arial" w:hAnsi="Arial" w:eastAsia="宋体" w:cs="Arial"/>
          <w:color w:val="auto"/>
          <w:highlight w:val="none"/>
        </w:rPr>
        <w:t>甲方</w:t>
      </w:r>
      <w:r>
        <w:rPr>
          <w:rFonts w:ascii="Arial" w:hAnsi="Arial" w:eastAsia="宋体" w:cs="Arial"/>
          <w:color w:val="auto"/>
          <w:highlight w:val="none"/>
        </w:rPr>
        <w:t>，</w:t>
      </w:r>
      <w:r>
        <w:rPr>
          <w:rFonts w:hint="eastAsia" w:ascii="Arial" w:hAnsi="Arial" w:eastAsia="宋体" w:cs="Arial"/>
          <w:color w:val="auto"/>
          <w:highlight w:val="none"/>
        </w:rPr>
        <w:t>甲方</w:t>
      </w:r>
      <w:r>
        <w:rPr>
          <w:rFonts w:ascii="Arial" w:hAnsi="Arial" w:eastAsia="宋体" w:cs="Arial"/>
          <w:color w:val="auto"/>
          <w:highlight w:val="none"/>
        </w:rPr>
        <w:t>收到发票后10个工作日内一次性付清100%的合同价款（无息）。</w:t>
      </w:r>
    </w:p>
    <w:p w14:paraId="30431AF2">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第九条　履约保证金</w:t>
      </w:r>
    </w:p>
    <w:p w14:paraId="4077FFA2">
      <w:pPr>
        <w:snapToGrid w:val="0"/>
        <w:spacing w:after="0" w:line="288" w:lineRule="auto"/>
        <w:rPr>
          <w:rFonts w:ascii="Arial" w:hAnsi="Arial" w:eastAsia="宋体" w:cs="Arial"/>
          <w:color w:val="auto"/>
          <w:highlight w:val="none"/>
        </w:rPr>
      </w:pPr>
      <w:r>
        <w:rPr>
          <w:rFonts w:ascii="Arial" w:hAnsi="Arial" w:eastAsia="宋体" w:cs="Arial"/>
          <w:color w:val="auto"/>
          <w:szCs w:val="21"/>
          <w:highlight w:val="none"/>
        </w:rPr>
        <w:t>1.履约保证金金额</w:t>
      </w:r>
      <w:r>
        <w:rPr>
          <w:rFonts w:ascii="Arial" w:hAnsi="Arial" w:eastAsia="宋体" w:cs="Arial"/>
          <w:color w:val="auto"/>
          <w:highlight w:val="none"/>
        </w:rPr>
        <w:t>：在合同签订之前，</w:t>
      </w:r>
      <w:r>
        <w:rPr>
          <w:rFonts w:hint="eastAsia" w:ascii="Arial" w:hAnsi="Arial" w:eastAsia="宋体" w:cs="Arial"/>
          <w:color w:val="auto"/>
          <w:highlight w:val="none"/>
        </w:rPr>
        <w:t>乙方</w:t>
      </w:r>
      <w:r>
        <w:rPr>
          <w:rFonts w:ascii="Arial" w:hAnsi="Arial" w:eastAsia="宋体" w:cs="Arial"/>
          <w:color w:val="auto"/>
          <w:highlight w:val="none"/>
        </w:rPr>
        <w:t>按成交金额的5%（如</w:t>
      </w:r>
      <w:r>
        <w:rPr>
          <w:rFonts w:hint="eastAsia" w:ascii="Arial" w:hAnsi="Arial" w:eastAsia="宋体" w:cs="Arial"/>
          <w:color w:val="auto"/>
          <w:highlight w:val="none"/>
        </w:rPr>
        <w:t>乙方</w:t>
      </w:r>
      <w:r>
        <w:rPr>
          <w:rFonts w:ascii="Arial" w:hAnsi="Arial" w:eastAsia="宋体" w:cs="Arial"/>
          <w:color w:val="auto"/>
          <w:highlight w:val="none"/>
        </w:rPr>
        <w:t>为中小微企业的，按成交金额的2%）向</w:t>
      </w:r>
      <w:r>
        <w:rPr>
          <w:rFonts w:hint="eastAsia" w:ascii="Arial" w:hAnsi="Arial" w:eastAsia="宋体" w:cs="Arial"/>
          <w:color w:val="auto"/>
          <w:highlight w:val="none"/>
        </w:rPr>
        <w:t>甲方</w:t>
      </w:r>
      <w:r>
        <w:rPr>
          <w:rFonts w:ascii="Arial" w:hAnsi="Arial" w:eastAsia="宋体" w:cs="Arial"/>
          <w:color w:val="auto"/>
          <w:highlight w:val="none"/>
        </w:rPr>
        <w:t>交纳履约保证金。</w:t>
      </w:r>
    </w:p>
    <w:p w14:paraId="22056220">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2.履约保证金递交方式</w:t>
      </w:r>
      <w:r>
        <w:rPr>
          <w:rFonts w:ascii="Arial" w:hAnsi="Arial" w:eastAsia="宋体" w:cs="Arial"/>
          <w:color w:val="auto"/>
          <w:highlight w:val="none"/>
        </w:rPr>
        <w:t>：</w:t>
      </w:r>
      <w:r>
        <w:rPr>
          <w:rFonts w:ascii="Arial" w:hAnsi="Arial" w:eastAsia="宋体" w:cs="Arial"/>
          <w:color w:val="auto"/>
          <w:kern w:val="0"/>
          <w:szCs w:val="21"/>
          <w:highlight w:val="none"/>
        </w:rPr>
        <w:t>转账或电汇等非现金形式</w:t>
      </w:r>
      <w:r>
        <w:rPr>
          <w:rFonts w:ascii="Arial" w:hAnsi="Arial" w:eastAsia="宋体" w:cs="Arial"/>
          <w:color w:val="auto"/>
          <w:szCs w:val="21"/>
          <w:highlight w:val="none"/>
        </w:rPr>
        <w:t>。</w:t>
      </w:r>
    </w:p>
    <w:p w14:paraId="14B87E85">
      <w:pPr>
        <w:snapToGrid w:val="0"/>
        <w:spacing w:after="0" w:line="288" w:lineRule="auto"/>
        <w:rPr>
          <w:rFonts w:ascii="Arial" w:hAnsi="Arial" w:eastAsia="宋体" w:cs="Arial"/>
          <w:color w:val="auto"/>
          <w:highlight w:val="none"/>
        </w:rPr>
      </w:pPr>
      <w:r>
        <w:rPr>
          <w:rFonts w:ascii="Arial" w:hAnsi="Arial" w:eastAsia="宋体" w:cs="Arial"/>
          <w:color w:val="auto"/>
          <w:szCs w:val="21"/>
          <w:highlight w:val="none"/>
        </w:rPr>
        <w:t>3.履约保证金指定账户</w:t>
      </w:r>
    </w:p>
    <w:p w14:paraId="4F8A59C6">
      <w:pPr>
        <w:snapToGrid w:val="0"/>
        <w:spacing w:after="0" w:line="288" w:lineRule="auto"/>
        <w:rPr>
          <w:rFonts w:ascii="Arial" w:hAnsi="Arial" w:eastAsia="宋体" w:cs="Arial"/>
          <w:color w:val="auto"/>
          <w:highlight w:val="none"/>
        </w:rPr>
      </w:pPr>
      <w:r>
        <w:rPr>
          <w:rFonts w:ascii="Arial" w:hAnsi="Arial" w:eastAsia="宋体" w:cs="Arial"/>
          <w:color w:val="auto"/>
          <w:szCs w:val="21"/>
          <w:highlight w:val="none"/>
        </w:rPr>
        <w:t>开户名称</w:t>
      </w:r>
      <w:r>
        <w:rPr>
          <w:rFonts w:ascii="Arial" w:hAnsi="Arial" w:eastAsia="宋体" w:cs="Arial"/>
          <w:color w:val="auto"/>
          <w:highlight w:val="none"/>
        </w:rPr>
        <w:t>：</w:t>
      </w:r>
      <w:r>
        <w:rPr>
          <w:rFonts w:ascii="Arial" w:hAnsi="Arial" w:eastAsia="宋体" w:cs="Arial"/>
          <w:color w:val="auto"/>
          <w:kern w:val="0"/>
          <w:szCs w:val="21"/>
          <w:highlight w:val="none"/>
          <w:u w:val="single"/>
        </w:rPr>
        <w:t>桂林理工大学</w:t>
      </w:r>
      <w:r>
        <w:rPr>
          <w:rFonts w:ascii="Arial" w:hAnsi="Arial" w:eastAsia="宋体" w:cs="Arial"/>
          <w:color w:val="auto"/>
          <w:szCs w:val="21"/>
          <w:highlight w:val="none"/>
        </w:rPr>
        <w:t>；</w:t>
      </w:r>
    </w:p>
    <w:p w14:paraId="5DE65039">
      <w:pPr>
        <w:snapToGrid w:val="0"/>
        <w:spacing w:after="0" w:line="288" w:lineRule="auto"/>
        <w:rPr>
          <w:rFonts w:ascii="Arial" w:hAnsi="Arial" w:eastAsia="宋体" w:cs="Arial"/>
          <w:color w:val="auto"/>
          <w:highlight w:val="none"/>
        </w:rPr>
      </w:pPr>
      <w:r>
        <w:rPr>
          <w:rFonts w:ascii="Arial" w:hAnsi="Arial" w:eastAsia="宋体" w:cs="Arial"/>
          <w:color w:val="auto"/>
          <w:szCs w:val="21"/>
          <w:highlight w:val="none"/>
        </w:rPr>
        <w:t>开户银行</w:t>
      </w:r>
      <w:r>
        <w:rPr>
          <w:rFonts w:ascii="Arial" w:hAnsi="Arial" w:eastAsia="宋体" w:cs="Arial"/>
          <w:color w:val="auto"/>
          <w:highlight w:val="none"/>
        </w:rPr>
        <w:t>：</w:t>
      </w:r>
      <w:r>
        <w:rPr>
          <w:rFonts w:ascii="Arial" w:hAnsi="Arial" w:eastAsia="宋体" w:cs="Arial"/>
          <w:color w:val="auto"/>
          <w:kern w:val="0"/>
          <w:szCs w:val="21"/>
          <w:highlight w:val="none"/>
          <w:u w:val="single"/>
        </w:rPr>
        <w:t>中国银行桂林分行</w:t>
      </w:r>
      <w:r>
        <w:rPr>
          <w:rFonts w:ascii="Arial" w:hAnsi="Arial" w:eastAsia="宋体" w:cs="Arial"/>
          <w:color w:val="auto"/>
          <w:szCs w:val="21"/>
          <w:highlight w:val="none"/>
        </w:rPr>
        <w:t>；</w:t>
      </w:r>
    </w:p>
    <w:p w14:paraId="68A89556">
      <w:pPr>
        <w:snapToGrid w:val="0"/>
        <w:spacing w:after="0" w:line="288" w:lineRule="auto"/>
        <w:rPr>
          <w:rFonts w:ascii="Arial" w:hAnsi="Arial" w:eastAsia="宋体" w:cs="Arial"/>
          <w:color w:val="auto"/>
          <w:highlight w:val="none"/>
        </w:rPr>
      </w:pPr>
      <w:r>
        <w:rPr>
          <w:rFonts w:ascii="Arial" w:hAnsi="Arial" w:eastAsia="宋体" w:cs="Arial"/>
          <w:color w:val="auto"/>
          <w:szCs w:val="21"/>
          <w:highlight w:val="none"/>
        </w:rPr>
        <w:t>银行账号</w:t>
      </w:r>
      <w:r>
        <w:rPr>
          <w:rFonts w:ascii="Arial" w:hAnsi="Arial" w:eastAsia="宋体" w:cs="Arial"/>
          <w:color w:val="auto"/>
          <w:highlight w:val="none"/>
        </w:rPr>
        <w:t>：</w:t>
      </w:r>
      <w:r>
        <w:rPr>
          <w:rFonts w:ascii="Arial" w:hAnsi="Arial" w:eastAsia="宋体" w:cs="Arial"/>
          <w:color w:val="auto"/>
          <w:kern w:val="0"/>
          <w:szCs w:val="21"/>
          <w:highlight w:val="none"/>
          <w:u w:val="single"/>
        </w:rPr>
        <w:t>613257488744</w:t>
      </w:r>
      <w:r>
        <w:rPr>
          <w:rFonts w:ascii="Arial" w:hAnsi="Arial" w:eastAsia="宋体" w:cs="Arial"/>
          <w:color w:val="auto"/>
          <w:szCs w:val="21"/>
          <w:highlight w:val="none"/>
        </w:rPr>
        <w:t>。</w:t>
      </w:r>
    </w:p>
    <w:p w14:paraId="60C13EFD">
      <w:pPr>
        <w:snapToGrid w:val="0"/>
        <w:spacing w:after="0" w:line="288" w:lineRule="auto"/>
        <w:rPr>
          <w:rFonts w:ascii="Arial" w:hAnsi="Arial" w:eastAsia="宋体" w:cs="Arial"/>
          <w:color w:val="auto"/>
          <w:kern w:val="0"/>
          <w:highlight w:val="none"/>
        </w:rPr>
      </w:pPr>
      <w:r>
        <w:rPr>
          <w:rFonts w:ascii="Arial" w:hAnsi="Arial" w:eastAsia="宋体" w:cs="Arial"/>
          <w:color w:val="auto"/>
          <w:szCs w:val="21"/>
          <w:highlight w:val="none"/>
        </w:rPr>
        <w:t>4.履约保证金退付方式</w:t>
      </w:r>
      <w:r>
        <w:rPr>
          <w:rFonts w:ascii="Arial" w:hAnsi="Arial" w:eastAsia="宋体" w:cs="Arial"/>
          <w:color w:val="auto"/>
          <w:highlight w:val="none"/>
        </w:rPr>
        <w:t>、时间及条件</w:t>
      </w:r>
      <w:r>
        <w:rPr>
          <w:rFonts w:ascii="Arial" w:hAnsi="Arial" w:eastAsia="宋体" w:cs="Arial"/>
          <w:color w:val="auto"/>
          <w:kern w:val="0"/>
          <w:highlight w:val="none"/>
        </w:rPr>
        <w:t>：</w:t>
      </w:r>
    </w:p>
    <w:p w14:paraId="2608F2FF">
      <w:pPr>
        <w:snapToGrid w:val="0"/>
        <w:spacing w:after="0" w:line="288" w:lineRule="auto"/>
        <w:rPr>
          <w:rFonts w:ascii="Arial" w:hAnsi="Arial" w:eastAsia="宋体" w:cs="Arial"/>
          <w:color w:val="auto"/>
          <w:highlight w:val="none"/>
        </w:rPr>
      </w:pPr>
      <w:r>
        <w:rPr>
          <w:rFonts w:ascii="Arial" w:hAnsi="Arial" w:eastAsia="宋体" w:cs="Arial"/>
          <w:color w:val="auto"/>
          <w:highlight w:val="none"/>
        </w:rPr>
        <w:t>（1）</w:t>
      </w:r>
      <w:r>
        <w:rPr>
          <w:rFonts w:hint="eastAsia" w:ascii="Arial" w:hAnsi="Arial" w:eastAsia="宋体" w:cs="Arial"/>
          <w:color w:val="auto"/>
          <w:highlight w:val="none"/>
        </w:rPr>
        <w:t>乙方</w:t>
      </w:r>
      <w:r>
        <w:rPr>
          <w:rFonts w:ascii="Arial" w:hAnsi="Arial" w:eastAsia="宋体" w:cs="Arial"/>
          <w:color w:val="auto"/>
          <w:highlight w:val="none"/>
        </w:rPr>
        <w:t>须按上述规定的金额、方式将履约保证金转入桂林理工大学账户。否则，不予签订合同。</w:t>
      </w:r>
    </w:p>
    <w:p w14:paraId="6E13B6A4">
      <w:pPr>
        <w:snapToGrid w:val="0"/>
        <w:spacing w:after="0" w:line="288" w:lineRule="auto"/>
        <w:rPr>
          <w:rFonts w:ascii="Arial" w:hAnsi="Arial" w:eastAsia="宋体" w:cs="Arial"/>
          <w:color w:val="auto"/>
          <w:highlight w:val="none"/>
        </w:rPr>
      </w:pPr>
      <w:r>
        <w:rPr>
          <w:rFonts w:ascii="Arial" w:hAnsi="Arial" w:eastAsia="宋体" w:cs="Arial"/>
          <w:color w:val="auto"/>
          <w:highlight w:val="none"/>
        </w:rPr>
        <w:t>（2）履约保证金在</w:t>
      </w:r>
      <w:r>
        <w:rPr>
          <w:rFonts w:hint="eastAsia" w:ascii="Arial" w:hAnsi="Arial" w:eastAsia="宋体" w:cs="Arial"/>
          <w:color w:val="auto"/>
          <w:highlight w:val="none"/>
        </w:rPr>
        <w:t>乙方</w:t>
      </w:r>
      <w:r>
        <w:rPr>
          <w:rFonts w:ascii="Arial" w:hAnsi="Arial" w:eastAsia="宋体" w:cs="Arial"/>
          <w:color w:val="auto"/>
          <w:highlight w:val="none"/>
        </w:rPr>
        <w:t>履行完合同约定的权利义务（包括免费保修服务等）事项后7个工作日内，由</w:t>
      </w:r>
      <w:r>
        <w:rPr>
          <w:rFonts w:hint="eastAsia" w:ascii="Arial" w:hAnsi="Arial" w:eastAsia="宋体" w:cs="Arial"/>
          <w:color w:val="auto"/>
          <w:highlight w:val="none"/>
        </w:rPr>
        <w:t>乙方</w:t>
      </w:r>
      <w:r>
        <w:rPr>
          <w:rFonts w:ascii="Arial" w:hAnsi="Arial" w:eastAsia="宋体" w:cs="Arial"/>
          <w:color w:val="auto"/>
          <w:highlight w:val="none"/>
        </w:rPr>
        <w:t>凭履约保证金的申请表及合同向</w:t>
      </w:r>
      <w:r>
        <w:rPr>
          <w:rFonts w:hint="eastAsia" w:ascii="Arial" w:hAnsi="Arial" w:eastAsia="宋体" w:cs="Arial"/>
          <w:color w:val="auto"/>
          <w:highlight w:val="none"/>
        </w:rPr>
        <w:t>甲方</w:t>
      </w:r>
      <w:r>
        <w:rPr>
          <w:rFonts w:ascii="Arial" w:hAnsi="Arial" w:eastAsia="宋体" w:cs="Arial"/>
          <w:color w:val="auto"/>
          <w:highlight w:val="none"/>
        </w:rPr>
        <w:t>申请办理履约保证金退还手续，</w:t>
      </w:r>
      <w:r>
        <w:rPr>
          <w:rFonts w:hint="eastAsia" w:ascii="Arial" w:hAnsi="Arial" w:eastAsia="宋体" w:cs="Arial"/>
          <w:color w:val="auto"/>
          <w:highlight w:val="none"/>
        </w:rPr>
        <w:t>甲方</w:t>
      </w:r>
      <w:r>
        <w:rPr>
          <w:rFonts w:ascii="Arial" w:hAnsi="Arial" w:eastAsia="宋体" w:cs="Arial"/>
          <w:color w:val="auto"/>
          <w:highlight w:val="none"/>
        </w:rPr>
        <w:t>在收到合格材料后5个工作日内以银行转账方式如数退还（不计利息）。</w:t>
      </w:r>
    </w:p>
    <w:p w14:paraId="549273C0">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第十条  税费</w:t>
      </w:r>
    </w:p>
    <w:p w14:paraId="20C4B00F">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本合同执行中相关的一切税费均由乙方负担。</w:t>
      </w:r>
    </w:p>
    <w:p w14:paraId="35103AB8">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第十一条  售后服务及质保期</w:t>
      </w:r>
    </w:p>
    <w:p w14:paraId="544FD0F3">
      <w:pPr>
        <w:snapToGrid w:val="0"/>
        <w:spacing w:after="0" w:line="288" w:lineRule="auto"/>
        <w:rPr>
          <w:rFonts w:ascii="Arial" w:hAnsi="Arial" w:eastAsia="宋体" w:cs="Arial"/>
          <w:color w:val="auto"/>
          <w:szCs w:val="21"/>
          <w:highlight w:val="none"/>
        </w:rPr>
      </w:pPr>
      <w:r>
        <w:rPr>
          <w:rFonts w:ascii="Arial" w:hAnsi="Arial" w:eastAsia="宋体" w:cs="Arial"/>
          <w:bCs/>
          <w:color w:val="auto"/>
          <w:highlight w:val="none"/>
        </w:rPr>
        <w:t>1.</w:t>
      </w:r>
      <w:r>
        <w:rPr>
          <w:rFonts w:ascii="Arial" w:hAnsi="Arial" w:eastAsia="宋体" w:cs="Arial"/>
          <w:color w:val="auto"/>
          <w:highlight w:val="none"/>
        </w:rPr>
        <w:t>乙方应按采购文件规定的产品名称、生产厂家、品牌、规格型号、技术参数、质量标准向甲方提供未经使用的全新产品。不符合要求的，根据实际情况，经双方协商，可按以下办法处理</w:t>
      </w:r>
      <w:r>
        <w:rPr>
          <w:rFonts w:ascii="Arial" w:hAnsi="Arial" w:eastAsia="宋体" w:cs="Arial"/>
          <w:color w:val="auto"/>
          <w:szCs w:val="21"/>
          <w:highlight w:val="none"/>
        </w:rPr>
        <w:t>：</w:t>
      </w:r>
    </w:p>
    <w:p w14:paraId="026A88A8">
      <w:pPr>
        <w:snapToGrid w:val="0"/>
        <w:spacing w:after="0" w:line="288" w:lineRule="auto"/>
        <w:rPr>
          <w:rFonts w:ascii="Arial" w:hAnsi="Arial" w:eastAsia="宋体" w:cs="Arial"/>
          <w:color w:val="auto"/>
          <w:highlight w:val="none"/>
        </w:rPr>
      </w:pPr>
      <w:r>
        <w:rPr>
          <w:rFonts w:ascii="Arial" w:hAnsi="Arial" w:eastAsia="宋体" w:cs="Arial"/>
          <w:color w:val="auto"/>
          <w:highlight w:val="none"/>
        </w:rPr>
        <w:t>⑴更换：由乙方承担所发生的全部费用。</w:t>
      </w:r>
    </w:p>
    <w:p w14:paraId="745CEA31">
      <w:pPr>
        <w:snapToGrid w:val="0"/>
        <w:spacing w:after="0" w:line="288" w:lineRule="auto"/>
        <w:rPr>
          <w:rFonts w:ascii="Arial" w:hAnsi="Arial" w:eastAsia="宋体" w:cs="Arial"/>
          <w:color w:val="auto"/>
          <w:highlight w:val="none"/>
        </w:rPr>
      </w:pPr>
      <w:r>
        <w:rPr>
          <w:rFonts w:ascii="Arial" w:hAnsi="Arial" w:eastAsia="宋体" w:cs="Arial"/>
          <w:color w:val="auto"/>
          <w:highlight w:val="none"/>
        </w:rPr>
        <w:t>⑵贬值处理：由甲乙双方合议定价。</w:t>
      </w:r>
    </w:p>
    <w:p w14:paraId="704EE882">
      <w:pPr>
        <w:snapToGrid w:val="0"/>
        <w:spacing w:after="0" w:line="288" w:lineRule="auto"/>
        <w:rPr>
          <w:rFonts w:ascii="Arial" w:hAnsi="Arial" w:eastAsia="宋体" w:cs="Arial"/>
          <w:color w:val="auto"/>
          <w:highlight w:val="none"/>
        </w:rPr>
      </w:pPr>
      <w:r>
        <w:rPr>
          <w:rFonts w:ascii="Arial" w:hAnsi="Arial" w:eastAsia="宋体" w:cs="Arial"/>
          <w:color w:val="auto"/>
          <w:highlight w:val="none"/>
        </w:rPr>
        <w:t>⑶退货处理：乙方应退还甲方支付的合同款，同时应承担该货物的直接费用（运输、保险、检验、货款利息及银行手续费等）。</w:t>
      </w:r>
    </w:p>
    <w:p w14:paraId="3F9AADC7">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w:t>
      </w:r>
      <w:r>
        <w:rPr>
          <w:rFonts w:ascii="Arial" w:hAnsi="Arial" w:eastAsia="宋体" w:cs="Arial"/>
          <w:color w:val="auto"/>
          <w:highlight w:val="none"/>
        </w:rPr>
        <w:t>如在使用过程中发生质量问题</w:t>
      </w:r>
      <w:r>
        <w:rPr>
          <w:rFonts w:ascii="Arial" w:hAnsi="Arial" w:eastAsia="宋体" w:cs="Arial"/>
          <w:color w:val="auto"/>
          <w:szCs w:val="21"/>
          <w:highlight w:val="none"/>
        </w:rPr>
        <w:t>，乙方在接到甲方通知后在按</w:t>
      </w:r>
      <w:r>
        <w:rPr>
          <w:rFonts w:ascii="Arial" w:hAnsi="Arial" w:eastAsia="宋体" w:cs="Arial"/>
          <w:color w:val="auto"/>
          <w:szCs w:val="21"/>
          <w:highlight w:val="none"/>
          <w:u w:val="single"/>
        </w:rPr>
        <w:t>乙方投标（响应）文件中承诺的不超过采购文件要求的响应时间小时内</w:t>
      </w:r>
      <w:r>
        <w:rPr>
          <w:rFonts w:ascii="Arial" w:hAnsi="Arial" w:eastAsia="宋体" w:cs="Arial"/>
          <w:color w:val="auto"/>
          <w:szCs w:val="21"/>
          <w:highlight w:val="none"/>
        </w:rPr>
        <w:t>到达甲方现场处理。</w:t>
      </w:r>
    </w:p>
    <w:p w14:paraId="4AA450D2">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3.在质保期内，乙方应对货物出现的质量及安全问题负责处理解决并承担一切费用。</w:t>
      </w:r>
    </w:p>
    <w:p w14:paraId="69E15597">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4.乙方应按照国家有关法律法规和“三包”规定以及</w:t>
      </w:r>
      <w:r>
        <w:rPr>
          <w:rFonts w:ascii="Arial" w:hAnsi="Arial" w:eastAsia="宋体" w:cs="Arial"/>
          <w:color w:val="auto"/>
          <w:highlight w:val="none"/>
        </w:rPr>
        <w:t>采购文件要求、</w:t>
      </w:r>
      <w:r>
        <w:rPr>
          <w:rFonts w:ascii="Arial" w:hAnsi="Arial" w:eastAsia="宋体" w:cs="Arial"/>
          <w:color w:val="auto"/>
          <w:szCs w:val="21"/>
          <w:highlight w:val="none"/>
        </w:rPr>
        <w:t>投标（响应）文件承诺和本合同所附的《售后服务承诺书》，为甲方提供售后服务。</w:t>
      </w:r>
    </w:p>
    <w:p w14:paraId="3D8F037B">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5.货物质保期：按乙方投标（响应）文件中承诺的不少于</w:t>
      </w:r>
      <w:r>
        <w:rPr>
          <w:rFonts w:ascii="Arial" w:hAnsi="Arial" w:eastAsia="宋体" w:cs="Arial"/>
          <w:color w:val="auto"/>
          <w:highlight w:val="none"/>
        </w:rPr>
        <w:t>采购文件要求</w:t>
      </w:r>
      <w:r>
        <w:rPr>
          <w:rFonts w:ascii="Arial" w:hAnsi="Arial" w:eastAsia="宋体" w:cs="Arial"/>
          <w:color w:val="auto"/>
          <w:szCs w:val="21"/>
          <w:highlight w:val="none"/>
        </w:rPr>
        <w:t>的免费保修期限。</w:t>
      </w:r>
    </w:p>
    <w:p w14:paraId="0A615A3D">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6.乙方提供的服务承诺和售后服务及保修期责任等其它具体约定事项（见合同附件）。</w:t>
      </w:r>
    </w:p>
    <w:p w14:paraId="42785836">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7.上述的货物免费保修期为</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highlight w:val="none"/>
        </w:rPr>
        <w:t>免费保修期自设备验收合格之日起计算，</w:t>
      </w:r>
      <w:r>
        <w:rPr>
          <w:rFonts w:ascii="Arial" w:hAnsi="Arial" w:eastAsia="宋体" w:cs="Arial"/>
          <w:color w:val="auto"/>
          <w:szCs w:val="21"/>
          <w:highlight w:val="none"/>
        </w:rPr>
        <w:t>若乙方投标（响应）承诺免费保修期超过</w:t>
      </w:r>
      <w:r>
        <w:rPr>
          <w:rFonts w:ascii="Arial" w:hAnsi="Arial" w:eastAsia="宋体" w:cs="Arial"/>
          <w:color w:val="auto"/>
          <w:highlight w:val="none"/>
        </w:rPr>
        <w:t>采购文件</w:t>
      </w:r>
      <w:r>
        <w:rPr>
          <w:rFonts w:ascii="Arial" w:hAnsi="Arial" w:eastAsia="宋体" w:cs="Arial"/>
          <w:color w:val="auto"/>
          <w:szCs w:val="21"/>
          <w:highlight w:val="none"/>
        </w:rPr>
        <w:t>要求年限的，按其承诺执行），因人为因素出现的故障不在免费保修范围内。超过保修期的机器设备，终生维修，维修时只收部件成本费。</w:t>
      </w:r>
    </w:p>
    <w:p w14:paraId="0BF6DC3F">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第十二条　违约责任</w:t>
      </w:r>
    </w:p>
    <w:p w14:paraId="4E6DBCD8">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1.乙方所提供的产品名称、生产厂家、品牌、规格型号、技术参数等不符合投标（响应）文件承诺或质量不合格的，应在</w:t>
      </w:r>
      <w:r>
        <w:rPr>
          <w:rFonts w:ascii="Arial" w:hAnsi="Arial" w:eastAsia="宋体" w:cs="Arial"/>
          <w:color w:val="auto"/>
          <w:highlight w:val="none"/>
          <w:u w:val="single"/>
        </w:rPr>
        <w:t>2</w:t>
      </w:r>
      <w:r>
        <w:rPr>
          <w:rFonts w:ascii="Arial" w:hAnsi="Arial" w:eastAsia="宋体" w:cs="Arial"/>
          <w:color w:val="auto"/>
          <w:szCs w:val="21"/>
          <w:highlight w:val="none"/>
        </w:rPr>
        <w:t xml:space="preserve">日内及时更换，更换不及时的按逾期交货处罚；因质量问题甲方不同意接收的或特殊情况甲方同意接收的，乙方应向甲方支付违约货款额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违约金并赔偿甲方经济损失。</w:t>
      </w:r>
    </w:p>
    <w:p w14:paraId="5C32EE48">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2.乙方提供的货物如侵犯了第三方合法权益而引发的任何纠纷或诉讼，均由乙方负责交涉并承担全部责任。</w:t>
      </w:r>
    </w:p>
    <w:p w14:paraId="50E25F22">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14:paraId="7520634F">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4.甲方无故延期接收货物、乙方逾期交货的，每天向对方偿付违约货款额3‰违约金，但违约金累计不得超过违约货款额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highlight w:val="none"/>
          <w:u w:val="single"/>
        </w:rPr>
        <w:t>7天</w:t>
      </w:r>
      <w:r>
        <w:rPr>
          <w:rFonts w:ascii="Arial" w:hAnsi="Arial" w:eastAsia="宋体" w:cs="Arial"/>
          <w:color w:val="auto"/>
          <w:szCs w:val="21"/>
          <w:highlight w:val="none"/>
        </w:rPr>
        <w:t>对方有权解除合同，违约方承担因此给对方造成经济损失；甲方延期付货款的，每天向乙方偿付延期货款额3‰滞纳金，但滞纳金累计不得超过延期货款额5%。</w:t>
      </w:r>
    </w:p>
    <w:p w14:paraId="71783936">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5.乙方未按本合同和投标（响应）文件中规定的服务承诺提供售后服务的，乙方应按本合同合计金额 5%向甲方支付违约金。</w:t>
      </w:r>
    </w:p>
    <w:p w14:paraId="31030B05">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6.乙方提供的货物在质量保证期内，因设计、工艺或材料的缺陷和其它质量原因造成的问题，由乙方负责，费用从履约保证金中扣除，不足另补。</w:t>
      </w:r>
    </w:p>
    <w:p w14:paraId="6B4C0C38">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14:paraId="15B21F2A">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8.乙方于响应文件中必须对所有产品的技术参数要求作出真实、有效的响应和承诺。所提供的产品必须为原装正品的、全新的、符合国家有关质量标准的产品。验收前，甲方现场根据采购文件要求及响应文件承诺对各项参数逐条对应进行核验，核验或检测数据不符合甲方要求及响应文件承诺的指标的，甲方有权终止合同执行并全部退货，由此造成甲方经济损失的由成交供应商负责承担全部赔偿责任并向甲方支付合同金额的30%违约赔偿金。如有异议，将交由国家认可并具有检验检测资质的第三方机构进行检验，若核验结果的各项参数指标不满足甲方要求及响应文件承诺的指标要求，所有产生的费用由成交供应商承担，并承担政府采购虚假竞标的相关法律责任。</w:t>
      </w:r>
    </w:p>
    <w:p w14:paraId="57DC037B">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第十三条  不可抗力事件处理</w:t>
      </w:r>
    </w:p>
    <w:p w14:paraId="6557D582">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1.在合同有效期内，任何一方因不可抗力事件导致不能履行合同，则合同履行期可延长，其延长期与不可抗力影响期相同。</w:t>
      </w:r>
    </w:p>
    <w:p w14:paraId="497E5A9A">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2.不可抗力事件发生后，应立即通知对方，并寄送有关权威机构出具的证明。</w:t>
      </w:r>
    </w:p>
    <w:p w14:paraId="380E9F07">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3.不可抗力事件延续120天以上，双方应通过友好协商，确定是否继续履行合同。</w:t>
      </w:r>
    </w:p>
    <w:p w14:paraId="1C6FA04C">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第十四条  合同争议解决</w:t>
      </w:r>
    </w:p>
    <w:p w14:paraId="170DD5B1">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1.因货物质量问题发生争议的，应邀请国家认可的质量检测机构对货物质量进行鉴定。货物符合标准的，鉴定费由甲方承担；货物不符合标准的，鉴定费由乙方承担。</w:t>
      </w:r>
    </w:p>
    <w:p w14:paraId="294C845E">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2.因履行本合同引起的或与本合同有关的争议，甲乙双方应首先通过友好协商解决，如果协商不能解决，可向甲方所在地的人民法院提起诉讼。</w:t>
      </w:r>
    </w:p>
    <w:p w14:paraId="20A01800">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第十五条  合同生效及其它</w:t>
      </w:r>
    </w:p>
    <w:p w14:paraId="13248C10">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1.合同经双方法定代表人（负责人/自然人）或委托代理人签字并加盖单位公章后生效（委托代理人签字的需后附法定代表人授权委托书，格式自拟）。</w:t>
      </w:r>
    </w:p>
    <w:p w14:paraId="1C3AD5E2">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2.合同执行中涉及采购资金和采购内容修改或补充的，须经财政部门审批，并签书面补充协议报财政部门备案，方可作为主合同不可分割的一部分。</w:t>
      </w:r>
    </w:p>
    <w:p w14:paraId="260BBA18">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3.本合同未尽事宜，遵照《</w:t>
      </w:r>
      <w:r>
        <w:rPr>
          <w:rFonts w:ascii="Arial" w:hAnsi="Arial" w:eastAsia="宋体" w:cs="Arial"/>
          <w:color w:val="auto"/>
          <w:szCs w:val="21"/>
          <w:highlight w:val="none"/>
          <w:shd w:val="clear" w:color="auto" w:fill="FFFFFF"/>
        </w:rPr>
        <w:t>中华人民共和国民法典</w:t>
      </w:r>
      <w:r>
        <w:rPr>
          <w:rFonts w:ascii="Arial" w:hAnsi="Arial" w:eastAsia="宋体" w:cs="Arial"/>
          <w:color w:val="auto"/>
          <w:szCs w:val="21"/>
          <w:highlight w:val="none"/>
        </w:rPr>
        <w:t>》有关条文执行。</w:t>
      </w:r>
    </w:p>
    <w:p w14:paraId="4D0BD503">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第十六条　合同的变更、终止与转让</w:t>
      </w:r>
    </w:p>
    <w:p w14:paraId="1283EA99">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1.除《中华人民共和国政府采购法》第五十条规定的情形外，本合同一经签订，甲乙双方不得擅自变更、中止或终止合同。</w:t>
      </w:r>
    </w:p>
    <w:p w14:paraId="469355A8">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2.乙方不得擅自转让其应履行的合同义务。</w:t>
      </w:r>
    </w:p>
    <w:p w14:paraId="5ADE2553">
      <w:pPr>
        <w:snapToGrid w:val="0"/>
        <w:spacing w:after="0" w:line="288" w:lineRule="auto"/>
        <w:rPr>
          <w:rFonts w:ascii="Arial" w:hAnsi="Arial" w:eastAsia="宋体" w:cs="Arial"/>
          <w:b/>
          <w:color w:val="auto"/>
          <w:szCs w:val="21"/>
          <w:highlight w:val="none"/>
        </w:rPr>
      </w:pPr>
      <w:r>
        <w:rPr>
          <w:rFonts w:ascii="Arial" w:hAnsi="Arial" w:eastAsia="宋体" w:cs="Arial"/>
          <w:b/>
          <w:color w:val="auto"/>
          <w:szCs w:val="21"/>
          <w:highlight w:val="none"/>
        </w:rPr>
        <w:t>第十七条　签订本合同依据</w:t>
      </w:r>
    </w:p>
    <w:p w14:paraId="55450C0A">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1.中标（成交）通知书；</w:t>
      </w:r>
    </w:p>
    <w:p w14:paraId="154C9CF0">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2.乙方提供的投标(响应)文件、应答文件；</w:t>
      </w:r>
    </w:p>
    <w:p w14:paraId="1090284A">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3.采购文件及更正公告（澄清或补充通知）；</w:t>
      </w:r>
    </w:p>
    <w:p w14:paraId="7F27A899">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4.标准、规范及有关技术文件；</w:t>
      </w:r>
    </w:p>
    <w:p w14:paraId="68D0A849">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5.双方约定的其他合同文件。</w:t>
      </w:r>
    </w:p>
    <w:p w14:paraId="5ECD6B2B">
      <w:pPr>
        <w:snapToGrid w:val="0"/>
        <w:spacing w:after="0" w:line="288" w:lineRule="auto"/>
        <w:rPr>
          <w:rFonts w:ascii="Arial" w:hAnsi="Arial" w:eastAsia="宋体" w:cs="Arial"/>
          <w:color w:val="auto"/>
          <w:szCs w:val="21"/>
          <w:highlight w:val="none"/>
        </w:rPr>
      </w:pPr>
      <w:r>
        <w:rPr>
          <w:rFonts w:ascii="Arial" w:hAnsi="Arial" w:eastAsia="宋体" w:cs="Arial"/>
          <w:b/>
          <w:color w:val="auto"/>
          <w:szCs w:val="21"/>
          <w:highlight w:val="none"/>
        </w:rPr>
        <w:t>第十八条　本合同一式四份，具有同等法律效力，甲方两份、乙方一份、采购代理机构一份（可根据需要另增加）</w:t>
      </w:r>
      <w:r>
        <w:rPr>
          <w:rFonts w:ascii="Arial" w:hAnsi="Arial" w:eastAsia="宋体" w:cs="Arial"/>
          <w:color w:val="auto"/>
          <w:szCs w:val="21"/>
          <w:highlight w:val="none"/>
        </w:rPr>
        <w:t>。</w:t>
      </w:r>
    </w:p>
    <w:p w14:paraId="5FA0086B">
      <w:pPr>
        <w:snapToGrid w:val="0"/>
        <w:spacing w:after="0" w:line="288" w:lineRule="auto"/>
        <w:rPr>
          <w:rFonts w:ascii="Arial" w:hAnsi="Arial" w:eastAsia="宋体" w:cs="Arial"/>
          <w:color w:val="auto"/>
          <w:szCs w:val="21"/>
          <w:highlight w:val="none"/>
        </w:rPr>
      </w:pPr>
      <w:r>
        <w:rPr>
          <w:rFonts w:ascii="Arial" w:hAnsi="Arial" w:eastAsia="宋体" w:cs="Arial"/>
          <w:color w:val="auto"/>
          <w:szCs w:val="21"/>
          <w:highlight w:val="none"/>
        </w:rPr>
        <w:t>本合同甲乙双方签字并盖章后生效。</w:t>
      </w:r>
    </w:p>
    <w:p w14:paraId="63F7F91D">
      <w:pPr>
        <w:snapToGrid w:val="0"/>
        <w:spacing w:after="0" w:line="288" w:lineRule="auto"/>
        <w:rPr>
          <w:rFonts w:ascii="Arial" w:hAnsi="Arial" w:eastAsia="宋体" w:cs="Arial"/>
          <w:color w:val="auto"/>
          <w:szCs w:val="21"/>
          <w:highlight w:val="none"/>
        </w:rPr>
      </w:pPr>
    </w:p>
    <w:tbl>
      <w:tblPr>
        <w:tblStyle w:val="24"/>
        <w:tblW w:w="90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3448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02A18C55">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甲方（章）           </w:t>
            </w:r>
          </w:p>
          <w:p w14:paraId="11200552">
            <w:pPr>
              <w:snapToGrid w:val="0"/>
              <w:spacing w:line="288" w:lineRule="auto"/>
              <w:rPr>
                <w:rFonts w:ascii="Arial" w:hAnsi="Arial" w:eastAsia="宋体" w:cs="Arial"/>
                <w:color w:val="auto"/>
                <w:szCs w:val="21"/>
                <w:highlight w:val="none"/>
              </w:rPr>
            </w:pPr>
          </w:p>
          <w:p w14:paraId="2EE15BF6">
            <w:pPr>
              <w:snapToGrid w:val="0"/>
              <w:spacing w:line="288" w:lineRule="auto"/>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年   月   日</w:t>
            </w:r>
          </w:p>
        </w:tc>
        <w:tc>
          <w:tcPr>
            <w:tcW w:w="4517" w:type="dxa"/>
            <w:vAlign w:val="center"/>
          </w:tcPr>
          <w:p w14:paraId="50DC4C6F">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乙方（章）              </w:t>
            </w:r>
          </w:p>
          <w:p w14:paraId="0E0C78DE">
            <w:pPr>
              <w:snapToGrid w:val="0"/>
              <w:spacing w:line="288" w:lineRule="auto"/>
              <w:rPr>
                <w:rFonts w:ascii="Arial" w:hAnsi="Arial" w:eastAsia="宋体" w:cs="Arial"/>
                <w:color w:val="auto"/>
                <w:szCs w:val="21"/>
                <w:highlight w:val="none"/>
              </w:rPr>
            </w:pPr>
          </w:p>
          <w:p w14:paraId="52C859FF">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r w14:paraId="72B7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4EC06EFC">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单位地址：桂林市七星区建干路12号</w:t>
            </w:r>
          </w:p>
        </w:tc>
        <w:tc>
          <w:tcPr>
            <w:tcW w:w="4517" w:type="dxa"/>
            <w:vAlign w:val="center"/>
          </w:tcPr>
          <w:p w14:paraId="7BBB0965">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单位地址：</w:t>
            </w:r>
          </w:p>
        </w:tc>
      </w:tr>
      <w:tr w14:paraId="6DFB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57428FC1">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法定代表人：</w:t>
            </w:r>
          </w:p>
        </w:tc>
        <w:tc>
          <w:tcPr>
            <w:tcW w:w="4517" w:type="dxa"/>
            <w:vAlign w:val="center"/>
          </w:tcPr>
          <w:p w14:paraId="0CDBE141">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法定代表人：</w:t>
            </w:r>
          </w:p>
        </w:tc>
      </w:tr>
      <w:tr w14:paraId="6B92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75AAACCF">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委托代理人：</w:t>
            </w:r>
          </w:p>
        </w:tc>
        <w:tc>
          <w:tcPr>
            <w:tcW w:w="4517" w:type="dxa"/>
            <w:vAlign w:val="center"/>
          </w:tcPr>
          <w:p w14:paraId="1B32A4A7">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委托代理人：</w:t>
            </w:r>
          </w:p>
        </w:tc>
      </w:tr>
      <w:tr w14:paraId="361B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3BB00681">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电话：0773-5895090</w:t>
            </w:r>
          </w:p>
        </w:tc>
        <w:tc>
          <w:tcPr>
            <w:tcW w:w="4517" w:type="dxa"/>
            <w:vAlign w:val="center"/>
          </w:tcPr>
          <w:p w14:paraId="6F7DC6E4">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电话：</w:t>
            </w:r>
          </w:p>
        </w:tc>
      </w:tr>
      <w:tr w14:paraId="5F9D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 w:hRule="atLeast"/>
        </w:trPr>
        <w:tc>
          <w:tcPr>
            <w:tcW w:w="4516" w:type="dxa"/>
            <w:vAlign w:val="center"/>
          </w:tcPr>
          <w:p w14:paraId="0913E66A">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电子邮箱：zbk@glut.edu.cn</w:t>
            </w:r>
          </w:p>
        </w:tc>
        <w:tc>
          <w:tcPr>
            <w:tcW w:w="4517" w:type="dxa"/>
            <w:vAlign w:val="center"/>
          </w:tcPr>
          <w:p w14:paraId="41AED1FE">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电子邮箱：</w:t>
            </w:r>
          </w:p>
        </w:tc>
      </w:tr>
      <w:tr w14:paraId="5981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634E65F2">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开户银行：中国银行桂林分行</w:t>
            </w:r>
          </w:p>
        </w:tc>
        <w:tc>
          <w:tcPr>
            <w:tcW w:w="4517" w:type="dxa"/>
            <w:vAlign w:val="center"/>
          </w:tcPr>
          <w:p w14:paraId="65A84EBC">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开户银行：</w:t>
            </w:r>
          </w:p>
        </w:tc>
      </w:tr>
      <w:tr w14:paraId="0036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71F4CAE9">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账号：6132 5748 8744</w:t>
            </w:r>
          </w:p>
        </w:tc>
        <w:tc>
          <w:tcPr>
            <w:tcW w:w="4517" w:type="dxa"/>
            <w:vAlign w:val="center"/>
          </w:tcPr>
          <w:p w14:paraId="32451CFF">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账号：</w:t>
            </w:r>
          </w:p>
        </w:tc>
      </w:tr>
      <w:tr w14:paraId="45A4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4B8F9B17">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邮政编码：5410044</w:t>
            </w:r>
          </w:p>
        </w:tc>
        <w:tc>
          <w:tcPr>
            <w:tcW w:w="4517" w:type="dxa"/>
            <w:vAlign w:val="center"/>
          </w:tcPr>
          <w:p w14:paraId="040B0CD6">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邮政编码：</w:t>
            </w:r>
          </w:p>
        </w:tc>
      </w:tr>
    </w:tbl>
    <w:p w14:paraId="2518E548">
      <w:pPr>
        <w:snapToGrid w:val="0"/>
        <w:spacing w:line="288" w:lineRule="auto"/>
        <w:jc w:val="center"/>
        <w:rPr>
          <w:rFonts w:ascii="Arial" w:hAnsi="Arial" w:eastAsia="宋体" w:cs="Arial"/>
          <w:b/>
          <w:color w:val="auto"/>
          <w:sz w:val="28"/>
          <w:szCs w:val="28"/>
          <w:highlight w:val="none"/>
        </w:rPr>
      </w:pPr>
    </w:p>
    <w:p w14:paraId="41351DC8">
      <w:pPr>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6021BC14">
      <w:pPr>
        <w:snapToGrid w:val="0"/>
        <w:spacing w:line="288" w:lineRule="auto"/>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合 同 附 件</w:t>
      </w:r>
    </w:p>
    <w:p w14:paraId="1CB91BED">
      <w:pPr>
        <w:snapToGrid w:val="0"/>
        <w:spacing w:line="288" w:lineRule="auto"/>
        <w:ind w:firstLine="105" w:firstLineChars="50"/>
        <w:rPr>
          <w:rFonts w:ascii="Arial" w:hAnsi="Arial" w:eastAsia="宋体" w:cs="Arial"/>
          <w:color w:val="auto"/>
          <w:szCs w:val="21"/>
          <w:highlight w:val="none"/>
        </w:rPr>
      </w:pPr>
      <w:r>
        <w:rPr>
          <w:rFonts w:ascii="Arial" w:hAnsi="Arial" w:eastAsia="宋体" w:cs="Arial"/>
          <w:color w:val="auto"/>
          <w:szCs w:val="21"/>
          <w:highlight w:val="none"/>
        </w:rPr>
        <w:t>一般货物类</w:t>
      </w:r>
    </w:p>
    <w:tbl>
      <w:tblPr>
        <w:tblStyle w:val="24"/>
        <w:tblW w:w="0" w:type="auto"/>
        <w:tblInd w:w="213" w:type="dxa"/>
        <w:tblLayout w:type="fixed"/>
        <w:tblCellMar>
          <w:top w:w="0" w:type="dxa"/>
          <w:left w:w="108" w:type="dxa"/>
          <w:bottom w:w="0" w:type="dxa"/>
          <w:right w:w="108" w:type="dxa"/>
        </w:tblCellMar>
      </w:tblPr>
      <w:tblGrid>
        <w:gridCol w:w="8522"/>
      </w:tblGrid>
      <w:tr w14:paraId="23DCD972">
        <w:tblPrEx>
          <w:tblCellMar>
            <w:top w:w="0" w:type="dxa"/>
            <w:left w:w="108" w:type="dxa"/>
            <w:bottom w:w="0" w:type="dxa"/>
            <w:right w:w="108" w:type="dxa"/>
          </w:tblCellMar>
        </w:tblPrEx>
        <w:trPr>
          <w:trHeight w:val="1226" w:hRule="atLeast"/>
        </w:trPr>
        <w:tc>
          <w:tcPr>
            <w:tcW w:w="8522" w:type="dxa"/>
            <w:tcBorders>
              <w:top w:val="single" w:color="auto" w:sz="4" w:space="0"/>
              <w:left w:val="single" w:color="auto" w:sz="4" w:space="0"/>
              <w:right w:val="single" w:color="auto" w:sz="4" w:space="0"/>
            </w:tcBorders>
          </w:tcPr>
          <w:p w14:paraId="70E35243">
            <w:pPr>
              <w:snapToGrid w:val="0"/>
              <w:spacing w:line="288" w:lineRule="auto"/>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1．供应商承诺具体事项：</w:t>
            </w:r>
          </w:p>
        </w:tc>
      </w:tr>
      <w:tr w14:paraId="5DD6FACF">
        <w:tblPrEx>
          <w:tblCellMar>
            <w:top w:w="0" w:type="dxa"/>
            <w:left w:w="108" w:type="dxa"/>
            <w:bottom w:w="0" w:type="dxa"/>
            <w:right w:w="108" w:type="dxa"/>
          </w:tblCellMar>
        </w:tblPrEx>
        <w:trPr>
          <w:trHeight w:val="1228" w:hRule="atLeast"/>
        </w:trPr>
        <w:tc>
          <w:tcPr>
            <w:tcW w:w="8522" w:type="dxa"/>
            <w:tcBorders>
              <w:top w:val="single" w:color="auto" w:sz="4" w:space="0"/>
              <w:left w:val="single" w:color="auto" w:sz="4" w:space="0"/>
              <w:right w:val="single" w:color="auto" w:sz="4" w:space="0"/>
            </w:tcBorders>
          </w:tcPr>
          <w:p w14:paraId="03BCACE2">
            <w:pPr>
              <w:snapToGrid w:val="0"/>
              <w:spacing w:line="288" w:lineRule="auto"/>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2．售后服务具体事项：</w:t>
            </w:r>
          </w:p>
        </w:tc>
      </w:tr>
      <w:tr w14:paraId="530C6E7A">
        <w:tblPrEx>
          <w:tblCellMar>
            <w:top w:w="0" w:type="dxa"/>
            <w:left w:w="108" w:type="dxa"/>
            <w:bottom w:w="0" w:type="dxa"/>
            <w:right w:w="108" w:type="dxa"/>
          </w:tblCellMar>
        </w:tblPrEx>
        <w:trPr>
          <w:trHeight w:val="1088" w:hRule="atLeast"/>
        </w:trPr>
        <w:tc>
          <w:tcPr>
            <w:tcW w:w="8522" w:type="dxa"/>
            <w:tcBorders>
              <w:top w:val="single" w:color="auto" w:sz="4" w:space="0"/>
              <w:left w:val="single" w:color="auto" w:sz="4" w:space="0"/>
              <w:right w:val="single" w:color="auto" w:sz="4" w:space="0"/>
            </w:tcBorders>
          </w:tcPr>
          <w:p w14:paraId="6C32C159">
            <w:pPr>
              <w:snapToGrid w:val="0"/>
              <w:spacing w:line="288" w:lineRule="auto"/>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3．保修期责任：</w:t>
            </w:r>
          </w:p>
        </w:tc>
      </w:tr>
      <w:tr w14:paraId="50804DEA">
        <w:tblPrEx>
          <w:tblCellMar>
            <w:top w:w="0" w:type="dxa"/>
            <w:left w:w="108" w:type="dxa"/>
            <w:bottom w:w="0" w:type="dxa"/>
            <w:right w:w="108" w:type="dxa"/>
          </w:tblCellMar>
        </w:tblPrEx>
        <w:trPr>
          <w:trHeight w:val="1360" w:hRule="atLeast"/>
        </w:trPr>
        <w:tc>
          <w:tcPr>
            <w:tcW w:w="8522" w:type="dxa"/>
            <w:tcBorders>
              <w:top w:val="single" w:color="auto" w:sz="4" w:space="0"/>
              <w:left w:val="single" w:color="auto" w:sz="4" w:space="0"/>
              <w:bottom w:val="single" w:color="auto" w:sz="4" w:space="0"/>
              <w:right w:val="single" w:color="auto" w:sz="4" w:space="0"/>
            </w:tcBorders>
          </w:tcPr>
          <w:p w14:paraId="68B4C22C">
            <w:pPr>
              <w:snapToGrid w:val="0"/>
              <w:spacing w:line="288" w:lineRule="auto"/>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4．其他具体事项：</w:t>
            </w:r>
          </w:p>
        </w:tc>
      </w:tr>
    </w:tbl>
    <w:p w14:paraId="4B4F5FAC">
      <w:pPr>
        <w:tabs>
          <w:tab w:val="left" w:pos="900"/>
        </w:tabs>
        <w:snapToGrid w:val="0"/>
        <w:spacing w:line="288" w:lineRule="auto"/>
        <w:rPr>
          <w:rFonts w:ascii="Arial" w:hAnsi="Arial" w:eastAsia="宋体" w:cs="Arial"/>
          <w:b/>
          <w:color w:val="auto"/>
          <w:szCs w:val="21"/>
          <w:highlight w:val="none"/>
        </w:rPr>
      </w:pPr>
      <w:r>
        <w:rPr>
          <w:rFonts w:ascii="Arial" w:hAnsi="Arial" w:eastAsia="宋体" w:cs="Arial"/>
          <w:color w:val="auto"/>
          <w:szCs w:val="21"/>
          <w:highlight w:val="none"/>
        </w:rPr>
        <w:t>注：售后服务事项填不下时可另加附页</w:t>
      </w:r>
      <w:r>
        <w:rPr>
          <w:rFonts w:ascii="Arial" w:hAnsi="Arial" w:eastAsia="宋体" w:cs="Arial"/>
          <w:bCs/>
          <w:color w:val="auto"/>
          <w:szCs w:val="21"/>
          <w:highlight w:val="none"/>
        </w:rPr>
        <w:br w:type="page"/>
      </w:r>
    </w:p>
    <w:p w14:paraId="22C08F42">
      <w:pPr>
        <w:pStyle w:val="2"/>
        <w:spacing w:line="288" w:lineRule="auto"/>
        <w:jc w:val="center"/>
        <w:rPr>
          <w:color w:val="auto"/>
          <w:highlight w:val="none"/>
        </w:rPr>
      </w:pPr>
      <w:bookmarkStart w:id="32" w:name="_Toc25244"/>
      <w:bookmarkStart w:id="33" w:name="_Toc15843"/>
    </w:p>
    <w:p w14:paraId="017CCDA8">
      <w:pPr>
        <w:pStyle w:val="2"/>
        <w:spacing w:line="288" w:lineRule="auto"/>
        <w:jc w:val="center"/>
        <w:rPr>
          <w:color w:val="auto"/>
          <w:highlight w:val="none"/>
        </w:rPr>
      </w:pPr>
    </w:p>
    <w:p w14:paraId="5BFF1644">
      <w:pPr>
        <w:pStyle w:val="2"/>
        <w:spacing w:line="288" w:lineRule="auto"/>
        <w:jc w:val="center"/>
        <w:rPr>
          <w:color w:val="auto"/>
          <w:highlight w:val="none"/>
        </w:rPr>
      </w:pPr>
    </w:p>
    <w:p w14:paraId="2EBD4949">
      <w:pPr>
        <w:pStyle w:val="2"/>
        <w:spacing w:line="288" w:lineRule="auto"/>
        <w:jc w:val="center"/>
        <w:rPr>
          <w:color w:val="auto"/>
          <w:highlight w:val="none"/>
        </w:rPr>
      </w:pPr>
    </w:p>
    <w:p w14:paraId="71D59AC0">
      <w:pPr>
        <w:pStyle w:val="2"/>
        <w:spacing w:line="288" w:lineRule="auto"/>
        <w:jc w:val="center"/>
        <w:rPr>
          <w:color w:val="auto"/>
          <w:highlight w:val="none"/>
        </w:rPr>
      </w:pPr>
      <w:r>
        <w:rPr>
          <w:color w:val="auto"/>
          <w:highlight w:val="none"/>
        </w:rPr>
        <w:t>第六章 响应文件（格式）</w:t>
      </w:r>
      <w:bookmarkEnd w:id="32"/>
      <w:bookmarkEnd w:id="33"/>
    </w:p>
    <w:p w14:paraId="364B23CE">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一、响应文件袋（盒、箱）标记</w:t>
      </w:r>
    </w:p>
    <w:p w14:paraId="6F2D4AD3">
      <w:pPr>
        <w:snapToGrid w:val="0"/>
        <w:spacing w:before="165" w:beforeLines="50" w:after="50" w:line="288" w:lineRule="auto"/>
        <w:jc w:val="center"/>
        <w:rPr>
          <w:rFonts w:ascii="Arial" w:hAnsi="Arial" w:eastAsia="宋体" w:cs="Arial"/>
          <w:bCs/>
          <w:color w:val="auto"/>
          <w:sz w:val="32"/>
          <w:szCs w:val="32"/>
          <w:highlight w:val="none"/>
        </w:rPr>
      </w:pPr>
    </w:p>
    <w:p w14:paraId="7F88688A">
      <w:pPr>
        <w:snapToGrid w:val="0"/>
        <w:spacing w:before="165" w:beforeLines="50" w:after="50" w:line="288" w:lineRule="auto"/>
        <w:jc w:val="center"/>
        <w:rPr>
          <w:rFonts w:ascii="Arial" w:hAnsi="Arial" w:eastAsia="宋体" w:cs="Arial"/>
          <w:bCs/>
          <w:color w:val="auto"/>
          <w:sz w:val="32"/>
          <w:szCs w:val="32"/>
          <w:highlight w:val="none"/>
        </w:rPr>
      </w:pPr>
      <w:r>
        <w:rPr>
          <w:rFonts w:ascii="Arial" w:hAnsi="Arial" w:eastAsia="宋体" w:cs="Arial"/>
          <w:bCs/>
          <w:color w:val="auto"/>
          <w:sz w:val="32"/>
          <w:szCs w:val="32"/>
          <w:highlight w:val="none"/>
        </w:rPr>
        <w:t>响 应 文 件</w:t>
      </w:r>
    </w:p>
    <w:p w14:paraId="03A153FB">
      <w:pPr>
        <w:snapToGrid w:val="0"/>
        <w:spacing w:before="165" w:beforeLines="50" w:after="50" w:line="288" w:lineRule="auto"/>
        <w:rPr>
          <w:rFonts w:ascii="Arial" w:hAnsi="Arial" w:eastAsia="宋体" w:cs="Arial"/>
          <w:bCs/>
          <w:color w:val="auto"/>
          <w:sz w:val="24"/>
          <w:szCs w:val="20"/>
          <w:highlight w:val="none"/>
        </w:rPr>
      </w:pPr>
    </w:p>
    <w:p w14:paraId="270DDAE7">
      <w:pPr>
        <w:snapToGrid w:val="0"/>
        <w:spacing w:before="165" w:beforeLines="50" w:after="50" w:line="288" w:lineRule="auto"/>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项目名称：</w:t>
      </w:r>
    </w:p>
    <w:p w14:paraId="10FD9561">
      <w:pPr>
        <w:snapToGrid w:val="0"/>
        <w:spacing w:before="165" w:beforeLines="50" w:after="50" w:line="288" w:lineRule="auto"/>
        <w:ind w:firstLine="360" w:firstLineChars="150"/>
        <w:rPr>
          <w:rFonts w:ascii="Arial" w:hAnsi="Arial" w:eastAsia="宋体" w:cs="Arial"/>
          <w:bCs/>
          <w:color w:val="auto"/>
          <w:sz w:val="24"/>
          <w:szCs w:val="20"/>
          <w:highlight w:val="none"/>
        </w:rPr>
      </w:pPr>
    </w:p>
    <w:p w14:paraId="22E63929">
      <w:pPr>
        <w:snapToGrid w:val="0"/>
        <w:spacing w:before="165" w:beforeLines="50" w:after="50" w:line="288" w:lineRule="auto"/>
        <w:ind w:firstLine="360" w:firstLineChars="150"/>
        <w:rPr>
          <w:rFonts w:ascii="Arial" w:hAnsi="Arial" w:eastAsia="宋体" w:cs="Arial"/>
          <w:bCs/>
          <w:color w:val="auto"/>
          <w:sz w:val="24"/>
          <w:szCs w:val="20"/>
          <w:highlight w:val="none"/>
        </w:rPr>
      </w:pPr>
    </w:p>
    <w:p w14:paraId="0AD2C8AE">
      <w:pPr>
        <w:snapToGrid w:val="0"/>
        <w:spacing w:before="165" w:beforeLines="50" w:after="50" w:line="288" w:lineRule="auto"/>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项目编号：</w:t>
      </w:r>
    </w:p>
    <w:p w14:paraId="0F1181DB">
      <w:pPr>
        <w:snapToGrid w:val="0"/>
        <w:spacing w:before="165" w:beforeLines="50" w:after="50" w:line="288" w:lineRule="auto"/>
        <w:ind w:firstLine="360" w:firstLineChars="150"/>
        <w:rPr>
          <w:rFonts w:ascii="Arial" w:hAnsi="Arial" w:eastAsia="宋体" w:cs="Arial"/>
          <w:bCs/>
          <w:color w:val="auto"/>
          <w:sz w:val="24"/>
          <w:szCs w:val="20"/>
          <w:highlight w:val="none"/>
        </w:rPr>
      </w:pPr>
    </w:p>
    <w:p w14:paraId="71FDC71F">
      <w:pPr>
        <w:snapToGrid w:val="0"/>
        <w:spacing w:before="165" w:beforeLines="50" w:after="50" w:line="288" w:lineRule="auto"/>
        <w:ind w:firstLine="360" w:firstLineChars="150"/>
        <w:rPr>
          <w:rFonts w:ascii="Arial" w:hAnsi="Arial" w:eastAsia="宋体" w:cs="Arial"/>
          <w:bCs/>
          <w:color w:val="auto"/>
          <w:sz w:val="24"/>
          <w:szCs w:val="20"/>
          <w:highlight w:val="none"/>
        </w:rPr>
      </w:pPr>
    </w:p>
    <w:p w14:paraId="3B9D72A2">
      <w:pPr>
        <w:snapToGrid w:val="0"/>
        <w:spacing w:before="165" w:beforeLines="50" w:after="50" w:line="288" w:lineRule="auto"/>
        <w:ind w:firstLine="360" w:firstLineChars="150"/>
        <w:rPr>
          <w:rFonts w:ascii="Arial" w:hAnsi="Arial" w:eastAsia="宋体" w:cs="Arial"/>
          <w:bCs/>
          <w:color w:val="auto"/>
          <w:sz w:val="24"/>
          <w:highlight w:val="none"/>
        </w:rPr>
      </w:pPr>
      <w:r>
        <w:rPr>
          <w:rFonts w:hint="eastAsia" w:ascii="Arial" w:hAnsi="Arial" w:eastAsia="宋体" w:cs="Arial"/>
          <w:bCs/>
          <w:color w:val="auto"/>
          <w:sz w:val="24"/>
          <w:highlight w:val="none"/>
        </w:rPr>
        <w:t>分标号：</w:t>
      </w:r>
    </w:p>
    <w:p w14:paraId="02FE3D3E">
      <w:pPr>
        <w:snapToGrid w:val="0"/>
        <w:spacing w:before="165" w:beforeLines="50" w:after="50" w:line="288" w:lineRule="auto"/>
        <w:ind w:firstLine="360" w:firstLineChars="150"/>
        <w:rPr>
          <w:rFonts w:ascii="Arial" w:hAnsi="Arial" w:eastAsia="宋体" w:cs="Arial"/>
          <w:bCs/>
          <w:color w:val="auto"/>
          <w:sz w:val="24"/>
          <w:highlight w:val="none"/>
        </w:rPr>
      </w:pPr>
    </w:p>
    <w:p w14:paraId="2FF4589C">
      <w:pPr>
        <w:snapToGrid w:val="0"/>
        <w:spacing w:before="165" w:beforeLines="50" w:after="50" w:line="288" w:lineRule="auto"/>
        <w:ind w:firstLine="360" w:firstLineChars="150"/>
        <w:rPr>
          <w:rFonts w:ascii="Arial" w:hAnsi="Arial" w:eastAsia="宋体" w:cs="Arial"/>
          <w:bCs/>
          <w:color w:val="auto"/>
          <w:sz w:val="24"/>
          <w:highlight w:val="none"/>
        </w:rPr>
      </w:pPr>
    </w:p>
    <w:p w14:paraId="74F724F3">
      <w:pPr>
        <w:snapToGrid w:val="0"/>
        <w:spacing w:before="165" w:beforeLines="50" w:after="50" w:line="288" w:lineRule="auto"/>
        <w:ind w:firstLine="360" w:firstLineChars="150"/>
        <w:rPr>
          <w:rFonts w:hint="eastAsia" w:ascii="Arial" w:hAnsi="Arial" w:eastAsia="宋体" w:cs="Arial"/>
          <w:bCs/>
          <w:color w:val="auto"/>
          <w:sz w:val="24"/>
          <w:highlight w:val="none"/>
          <w:lang w:eastAsia="zh-CN"/>
        </w:rPr>
      </w:pPr>
      <w:r>
        <w:rPr>
          <w:rFonts w:ascii="Arial" w:hAnsi="Arial" w:eastAsia="宋体" w:cs="Arial"/>
          <w:bCs/>
          <w:color w:val="auto"/>
          <w:sz w:val="24"/>
          <w:highlight w:val="none"/>
        </w:rPr>
        <w:t>采购代理机构：</w:t>
      </w:r>
      <w:r>
        <w:rPr>
          <w:rFonts w:hint="eastAsia" w:ascii="Arial" w:hAnsi="Arial" w:eastAsia="宋体" w:cs="Arial"/>
          <w:bCs/>
          <w:color w:val="auto"/>
          <w:sz w:val="24"/>
          <w:highlight w:val="none"/>
          <w:lang w:eastAsia="zh-CN"/>
        </w:rPr>
        <w:t>广西机电设备招标有限公司</w:t>
      </w:r>
    </w:p>
    <w:p w14:paraId="22164828">
      <w:pPr>
        <w:snapToGrid w:val="0"/>
        <w:spacing w:before="165" w:beforeLines="50" w:after="50" w:line="288" w:lineRule="auto"/>
        <w:ind w:firstLine="360" w:firstLineChars="150"/>
        <w:rPr>
          <w:rFonts w:ascii="Arial" w:hAnsi="Arial" w:eastAsia="宋体" w:cs="Arial"/>
          <w:bCs/>
          <w:color w:val="auto"/>
          <w:sz w:val="24"/>
          <w:highlight w:val="none"/>
        </w:rPr>
      </w:pPr>
    </w:p>
    <w:p w14:paraId="3F014ECB">
      <w:pPr>
        <w:snapToGrid w:val="0"/>
        <w:spacing w:before="165" w:beforeLines="50" w:after="50" w:line="288" w:lineRule="auto"/>
        <w:ind w:firstLine="360" w:firstLineChars="150"/>
        <w:rPr>
          <w:rFonts w:ascii="Arial" w:hAnsi="Arial" w:eastAsia="宋体" w:cs="Arial"/>
          <w:bCs/>
          <w:color w:val="auto"/>
          <w:sz w:val="24"/>
          <w:highlight w:val="none"/>
        </w:rPr>
      </w:pPr>
    </w:p>
    <w:p w14:paraId="72FE753F">
      <w:pPr>
        <w:snapToGrid w:val="0"/>
        <w:spacing w:before="165" w:beforeLines="50" w:after="50" w:line="288" w:lineRule="auto"/>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供应商名称：</w:t>
      </w:r>
    </w:p>
    <w:p w14:paraId="021BFCB0">
      <w:pPr>
        <w:snapToGrid w:val="0"/>
        <w:spacing w:before="165" w:beforeLines="50" w:after="50" w:line="288" w:lineRule="auto"/>
        <w:ind w:firstLine="360" w:firstLineChars="150"/>
        <w:rPr>
          <w:rFonts w:ascii="Arial" w:hAnsi="Arial" w:eastAsia="宋体" w:cs="Arial"/>
          <w:bCs/>
          <w:color w:val="auto"/>
          <w:sz w:val="24"/>
          <w:highlight w:val="none"/>
        </w:rPr>
      </w:pPr>
    </w:p>
    <w:p w14:paraId="0834D434">
      <w:pPr>
        <w:snapToGrid w:val="0"/>
        <w:spacing w:before="165" w:beforeLines="50" w:after="50" w:line="288" w:lineRule="auto"/>
        <w:ind w:firstLine="360" w:firstLineChars="150"/>
        <w:rPr>
          <w:rFonts w:ascii="Arial" w:hAnsi="Arial" w:eastAsia="宋体" w:cs="Arial"/>
          <w:bCs/>
          <w:color w:val="auto"/>
          <w:sz w:val="24"/>
          <w:highlight w:val="none"/>
        </w:rPr>
      </w:pPr>
    </w:p>
    <w:p w14:paraId="5E94BB7F">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3ADC684D">
      <w:pPr>
        <w:spacing w:line="288" w:lineRule="auto"/>
        <w:rPr>
          <w:rFonts w:ascii="Arial" w:hAnsi="Arial" w:eastAsia="宋体" w:cs="Arial"/>
          <w:b/>
          <w:color w:val="auto"/>
          <w:sz w:val="32"/>
          <w:szCs w:val="32"/>
          <w:highlight w:val="none"/>
        </w:rPr>
      </w:pPr>
    </w:p>
    <w:p w14:paraId="3760DCAD">
      <w:pPr>
        <w:snapToGrid w:val="0"/>
        <w:spacing w:before="165" w:beforeLines="50" w:after="50" w:line="288" w:lineRule="auto"/>
        <w:jc w:val="right"/>
        <w:rPr>
          <w:rFonts w:ascii="Arial" w:hAnsi="Arial" w:eastAsia="宋体" w:cs="Arial"/>
          <w:bCs/>
          <w:color w:val="auto"/>
          <w:sz w:val="32"/>
          <w:szCs w:val="32"/>
          <w:highlight w:val="none"/>
        </w:rPr>
      </w:pPr>
      <w:r>
        <w:rPr>
          <w:rFonts w:ascii="Arial" w:hAnsi="Arial" w:eastAsia="宋体" w:cs="Arial"/>
          <w:bCs/>
          <w:color w:val="auto"/>
          <w:sz w:val="32"/>
          <w:szCs w:val="32"/>
          <w:highlight w:val="none"/>
        </w:rPr>
        <w:t>正本/副本</w:t>
      </w:r>
    </w:p>
    <w:p w14:paraId="776CF0F8">
      <w:pPr>
        <w:snapToGrid w:val="0"/>
        <w:spacing w:before="165" w:beforeLines="50" w:after="50" w:line="288" w:lineRule="auto"/>
        <w:jc w:val="center"/>
        <w:rPr>
          <w:rFonts w:ascii="Arial" w:hAnsi="Arial" w:eastAsia="宋体" w:cs="Arial"/>
          <w:bCs/>
          <w:color w:val="auto"/>
          <w:sz w:val="32"/>
          <w:szCs w:val="32"/>
          <w:highlight w:val="none"/>
        </w:rPr>
      </w:pPr>
    </w:p>
    <w:p w14:paraId="57A62072">
      <w:pPr>
        <w:snapToGrid w:val="0"/>
        <w:spacing w:before="165" w:beforeLines="50" w:after="50" w:line="288" w:lineRule="auto"/>
        <w:jc w:val="center"/>
        <w:rPr>
          <w:rFonts w:ascii="Arial" w:hAnsi="Arial" w:eastAsia="宋体" w:cs="Arial"/>
          <w:bCs/>
          <w:color w:val="auto"/>
          <w:sz w:val="32"/>
          <w:szCs w:val="32"/>
          <w:highlight w:val="none"/>
        </w:rPr>
      </w:pPr>
      <w:r>
        <w:rPr>
          <w:rFonts w:ascii="Arial" w:hAnsi="Arial" w:eastAsia="宋体" w:cs="Arial"/>
          <w:bCs/>
          <w:color w:val="auto"/>
          <w:sz w:val="32"/>
          <w:szCs w:val="32"/>
          <w:highlight w:val="none"/>
        </w:rPr>
        <w:t>响 应 文 件</w:t>
      </w:r>
    </w:p>
    <w:p w14:paraId="55B11BB4">
      <w:pPr>
        <w:snapToGrid w:val="0"/>
        <w:spacing w:before="165" w:beforeLines="50" w:after="50" w:line="288" w:lineRule="auto"/>
        <w:rPr>
          <w:rFonts w:ascii="Arial" w:hAnsi="Arial" w:eastAsia="宋体" w:cs="Arial"/>
          <w:bCs/>
          <w:color w:val="auto"/>
          <w:sz w:val="24"/>
          <w:szCs w:val="20"/>
          <w:highlight w:val="none"/>
        </w:rPr>
      </w:pPr>
    </w:p>
    <w:p w14:paraId="376F2C63">
      <w:pPr>
        <w:snapToGrid w:val="0"/>
        <w:spacing w:before="165" w:beforeLines="50" w:after="50" w:line="288" w:lineRule="auto"/>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项目名称：</w:t>
      </w:r>
    </w:p>
    <w:p w14:paraId="6000B077">
      <w:pPr>
        <w:snapToGrid w:val="0"/>
        <w:spacing w:before="165" w:beforeLines="50" w:after="50" w:line="288" w:lineRule="auto"/>
        <w:ind w:firstLine="360" w:firstLineChars="150"/>
        <w:rPr>
          <w:rFonts w:ascii="Arial" w:hAnsi="Arial" w:eastAsia="宋体" w:cs="Arial"/>
          <w:bCs/>
          <w:color w:val="auto"/>
          <w:sz w:val="24"/>
          <w:szCs w:val="20"/>
          <w:highlight w:val="none"/>
        </w:rPr>
      </w:pPr>
    </w:p>
    <w:p w14:paraId="3070ABB2">
      <w:pPr>
        <w:snapToGrid w:val="0"/>
        <w:spacing w:before="165" w:beforeLines="50" w:after="50" w:line="288" w:lineRule="auto"/>
        <w:ind w:firstLine="360" w:firstLineChars="150"/>
        <w:rPr>
          <w:rFonts w:ascii="Arial" w:hAnsi="Arial" w:eastAsia="宋体" w:cs="Arial"/>
          <w:bCs/>
          <w:color w:val="auto"/>
          <w:sz w:val="24"/>
          <w:szCs w:val="20"/>
          <w:highlight w:val="none"/>
        </w:rPr>
      </w:pPr>
    </w:p>
    <w:p w14:paraId="6A20F8AD">
      <w:pPr>
        <w:snapToGrid w:val="0"/>
        <w:spacing w:before="165" w:beforeLines="50" w:after="50" w:line="288" w:lineRule="auto"/>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项目编号：</w:t>
      </w:r>
    </w:p>
    <w:p w14:paraId="443A2678">
      <w:pPr>
        <w:snapToGrid w:val="0"/>
        <w:spacing w:before="165" w:beforeLines="50" w:after="50" w:line="288" w:lineRule="auto"/>
        <w:ind w:firstLine="360" w:firstLineChars="150"/>
        <w:rPr>
          <w:rFonts w:ascii="Arial" w:hAnsi="Arial" w:eastAsia="宋体" w:cs="Arial"/>
          <w:bCs/>
          <w:color w:val="auto"/>
          <w:sz w:val="24"/>
          <w:szCs w:val="20"/>
          <w:highlight w:val="none"/>
        </w:rPr>
      </w:pPr>
    </w:p>
    <w:p w14:paraId="79559C15">
      <w:pPr>
        <w:snapToGrid w:val="0"/>
        <w:spacing w:before="165" w:beforeLines="50" w:after="50" w:line="288" w:lineRule="auto"/>
        <w:ind w:firstLine="360" w:firstLineChars="150"/>
        <w:rPr>
          <w:rFonts w:ascii="Arial" w:hAnsi="Arial" w:eastAsia="宋体" w:cs="Arial"/>
          <w:bCs/>
          <w:color w:val="auto"/>
          <w:sz w:val="24"/>
          <w:szCs w:val="20"/>
          <w:highlight w:val="none"/>
        </w:rPr>
      </w:pPr>
    </w:p>
    <w:p w14:paraId="7B59C185">
      <w:pPr>
        <w:snapToGrid w:val="0"/>
        <w:spacing w:before="165" w:beforeLines="50" w:after="50" w:line="288" w:lineRule="auto"/>
        <w:ind w:firstLine="360" w:firstLineChars="150"/>
        <w:rPr>
          <w:rFonts w:ascii="Arial" w:hAnsi="Arial" w:eastAsia="宋体" w:cs="Arial"/>
          <w:bCs/>
          <w:color w:val="auto"/>
          <w:sz w:val="24"/>
          <w:highlight w:val="none"/>
        </w:rPr>
      </w:pPr>
      <w:r>
        <w:rPr>
          <w:rFonts w:hint="eastAsia" w:ascii="Arial" w:hAnsi="Arial" w:eastAsia="宋体" w:cs="Arial"/>
          <w:bCs/>
          <w:color w:val="auto"/>
          <w:sz w:val="24"/>
          <w:highlight w:val="none"/>
        </w:rPr>
        <w:t>分标号：</w:t>
      </w:r>
    </w:p>
    <w:p w14:paraId="07753545">
      <w:pPr>
        <w:snapToGrid w:val="0"/>
        <w:spacing w:before="165" w:beforeLines="50" w:after="50" w:line="288" w:lineRule="auto"/>
        <w:ind w:firstLine="360" w:firstLineChars="150"/>
        <w:rPr>
          <w:rFonts w:ascii="Arial" w:hAnsi="Arial" w:eastAsia="宋体" w:cs="Arial"/>
          <w:bCs/>
          <w:color w:val="auto"/>
          <w:sz w:val="24"/>
          <w:szCs w:val="20"/>
          <w:highlight w:val="none"/>
        </w:rPr>
      </w:pPr>
    </w:p>
    <w:p w14:paraId="235C1D30">
      <w:pPr>
        <w:spacing w:line="288" w:lineRule="auto"/>
        <w:rPr>
          <w:rFonts w:ascii="Arial" w:hAnsi="Arial" w:eastAsia="宋体" w:cs="Arial"/>
          <w:color w:val="auto"/>
          <w:szCs w:val="21"/>
          <w:highlight w:val="none"/>
        </w:rPr>
      </w:pPr>
    </w:p>
    <w:p w14:paraId="20F74C58">
      <w:pPr>
        <w:snapToGrid w:val="0"/>
        <w:spacing w:before="165" w:beforeLines="50" w:after="50" w:line="288" w:lineRule="auto"/>
        <w:ind w:firstLine="360" w:firstLineChars="150"/>
        <w:rPr>
          <w:rFonts w:hint="eastAsia" w:ascii="Arial" w:hAnsi="Arial" w:eastAsia="宋体" w:cs="Arial"/>
          <w:bCs/>
          <w:color w:val="auto"/>
          <w:sz w:val="24"/>
          <w:highlight w:val="none"/>
          <w:lang w:eastAsia="zh-CN"/>
        </w:rPr>
      </w:pPr>
      <w:r>
        <w:rPr>
          <w:rFonts w:ascii="Arial" w:hAnsi="Arial" w:eastAsia="宋体" w:cs="Arial"/>
          <w:bCs/>
          <w:color w:val="auto"/>
          <w:sz w:val="24"/>
          <w:highlight w:val="none"/>
        </w:rPr>
        <w:t>采购代理机构：</w:t>
      </w:r>
      <w:r>
        <w:rPr>
          <w:rFonts w:hint="eastAsia" w:ascii="Arial" w:hAnsi="Arial" w:eastAsia="宋体" w:cs="Arial"/>
          <w:bCs/>
          <w:color w:val="auto"/>
          <w:sz w:val="24"/>
          <w:highlight w:val="none"/>
          <w:lang w:eastAsia="zh-CN"/>
        </w:rPr>
        <w:t>广西机电设备招标有限公司</w:t>
      </w:r>
    </w:p>
    <w:p w14:paraId="4B366660">
      <w:pPr>
        <w:snapToGrid w:val="0"/>
        <w:spacing w:before="165" w:beforeLines="50" w:after="50" w:line="288" w:lineRule="auto"/>
        <w:ind w:firstLine="360" w:firstLineChars="150"/>
        <w:rPr>
          <w:rFonts w:ascii="Arial" w:hAnsi="Arial" w:eastAsia="宋体" w:cs="Arial"/>
          <w:bCs/>
          <w:color w:val="auto"/>
          <w:sz w:val="24"/>
          <w:highlight w:val="none"/>
        </w:rPr>
      </w:pPr>
    </w:p>
    <w:p w14:paraId="6B059BB1">
      <w:pPr>
        <w:snapToGrid w:val="0"/>
        <w:spacing w:before="165" w:beforeLines="50" w:after="50" w:line="288" w:lineRule="auto"/>
        <w:ind w:firstLine="360" w:firstLineChars="150"/>
        <w:rPr>
          <w:rFonts w:ascii="Arial" w:hAnsi="Arial" w:eastAsia="宋体" w:cs="Arial"/>
          <w:bCs/>
          <w:color w:val="auto"/>
          <w:sz w:val="24"/>
          <w:highlight w:val="none"/>
        </w:rPr>
      </w:pPr>
    </w:p>
    <w:p w14:paraId="06D69AF1">
      <w:pPr>
        <w:snapToGrid w:val="0"/>
        <w:spacing w:before="165" w:beforeLines="50" w:after="50" w:line="288" w:lineRule="auto"/>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供应商名称：</w:t>
      </w:r>
    </w:p>
    <w:p w14:paraId="7CF4AC45">
      <w:pPr>
        <w:spacing w:line="288" w:lineRule="auto"/>
        <w:rPr>
          <w:rFonts w:ascii="Arial" w:hAnsi="Arial" w:eastAsia="宋体" w:cs="Arial"/>
          <w:b/>
          <w:color w:val="auto"/>
          <w:sz w:val="32"/>
          <w:szCs w:val="32"/>
          <w:highlight w:val="none"/>
        </w:rPr>
      </w:pPr>
    </w:p>
    <w:p w14:paraId="2A0AAB55">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二、响应文件组成</w:t>
      </w:r>
    </w:p>
    <w:p w14:paraId="58EFC385">
      <w:pPr>
        <w:spacing w:line="288" w:lineRule="auto"/>
        <w:rPr>
          <w:rFonts w:ascii="Arial" w:hAnsi="Arial" w:eastAsia="宋体" w:cs="Arial"/>
          <w:b/>
          <w:bCs/>
          <w:color w:val="auto"/>
          <w:sz w:val="24"/>
          <w:highlight w:val="none"/>
        </w:rPr>
      </w:pPr>
    </w:p>
    <w:p w14:paraId="4B9D0EE3">
      <w:pPr>
        <w:spacing w:line="288" w:lineRule="auto"/>
        <w:rPr>
          <w:rFonts w:ascii="Arial" w:hAnsi="Arial" w:eastAsia="宋体" w:cs="Arial"/>
          <w:b/>
          <w:bCs/>
          <w:color w:val="auto"/>
          <w:sz w:val="24"/>
          <w:highlight w:val="none"/>
        </w:rPr>
      </w:pPr>
    </w:p>
    <w:p w14:paraId="4DFBB16A">
      <w:pPr>
        <w:spacing w:line="288" w:lineRule="auto"/>
        <w:rPr>
          <w:rFonts w:ascii="Arial" w:hAnsi="Arial" w:eastAsia="宋体" w:cs="Arial"/>
          <w:b/>
          <w:bCs/>
          <w:color w:val="auto"/>
          <w:sz w:val="24"/>
          <w:highlight w:val="none"/>
        </w:rPr>
      </w:pPr>
      <w:r>
        <w:rPr>
          <w:rFonts w:ascii="Arial" w:hAnsi="Arial" w:eastAsia="宋体" w:cs="Arial"/>
          <w:b/>
          <w:bCs/>
          <w:color w:val="auto"/>
          <w:sz w:val="24"/>
          <w:highlight w:val="none"/>
        </w:rPr>
        <w:t>（一）</w:t>
      </w:r>
      <w:r>
        <w:rPr>
          <w:rFonts w:ascii="Arial" w:hAnsi="Arial" w:eastAsia="宋体" w:cs="Arial"/>
          <w:b/>
          <w:color w:val="auto"/>
          <w:sz w:val="32"/>
          <w:szCs w:val="32"/>
          <w:highlight w:val="none"/>
        </w:rPr>
        <w:t>资格性响应证明材料</w:t>
      </w:r>
    </w:p>
    <w:p w14:paraId="7145B7D1">
      <w:pPr>
        <w:spacing w:line="288" w:lineRule="auto"/>
        <w:rPr>
          <w:rFonts w:ascii="Arial" w:hAnsi="Arial" w:eastAsia="宋体" w:cs="Arial"/>
          <w:b/>
          <w:bCs/>
          <w:color w:val="auto"/>
          <w:sz w:val="24"/>
          <w:highlight w:val="none"/>
        </w:rPr>
      </w:pPr>
    </w:p>
    <w:p w14:paraId="43905D65">
      <w:pPr>
        <w:spacing w:line="288" w:lineRule="auto"/>
        <w:rPr>
          <w:rFonts w:ascii="Arial" w:hAnsi="Arial" w:eastAsia="宋体" w:cs="Arial"/>
          <w:b/>
          <w:bCs/>
          <w:color w:val="auto"/>
          <w:sz w:val="24"/>
          <w:highlight w:val="none"/>
        </w:rPr>
      </w:pPr>
    </w:p>
    <w:p w14:paraId="1A8E39A3">
      <w:pPr>
        <w:spacing w:line="288" w:lineRule="auto"/>
        <w:rPr>
          <w:rFonts w:ascii="Arial" w:hAnsi="Arial" w:eastAsia="宋体" w:cs="Arial"/>
          <w:b/>
          <w:bCs/>
          <w:color w:val="auto"/>
          <w:sz w:val="24"/>
          <w:highlight w:val="none"/>
        </w:rPr>
      </w:pPr>
    </w:p>
    <w:p w14:paraId="483EEAC3">
      <w:pPr>
        <w:spacing w:line="288" w:lineRule="auto"/>
        <w:rPr>
          <w:rFonts w:ascii="Arial" w:hAnsi="Arial" w:eastAsia="宋体" w:cs="Arial"/>
          <w:b/>
          <w:bCs/>
          <w:color w:val="auto"/>
          <w:sz w:val="24"/>
          <w:highlight w:val="none"/>
        </w:rPr>
      </w:pPr>
      <w:r>
        <w:rPr>
          <w:rFonts w:ascii="Arial" w:hAnsi="Arial" w:eastAsia="宋体" w:cs="Arial"/>
          <w:b/>
          <w:bCs/>
          <w:color w:val="auto"/>
          <w:sz w:val="24"/>
          <w:highlight w:val="none"/>
        </w:rPr>
        <w:t>（二）</w:t>
      </w:r>
      <w:r>
        <w:rPr>
          <w:rFonts w:ascii="Arial" w:hAnsi="Arial" w:eastAsia="宋体" w:cs="Arial"/>
          <w:b/>
          <w:color w:val="auto"/>
          <w:sz w:val="32"/>
          <w:szCs w:val="32"/>
          <w:highlight w:val="none"/>
        </w:rPr>
        <w:t>符合性响应证明材料</w:t>
      </w:r>
    </w:p>
    <w:p w14:paraId="1722487A">
      <w:pPr>
        <w:spacing w:line="288" w:lineRule="auto"/>
        <w:rPr>
          <w:rFonts w:ascii="Arial" w:hAnsi="Arial" w:eastAsia="宋体" w:cs="Arial"/>
          <w:b/>
          <w:bCs/>
          <w:color w:val="auto"/>
          <w:sz w:val="24"/>
          <w:highlight w:val="none"/>
        </w:rPr>
      </w:pPr>
    </w:p>
    <w:p w14:paraId="3E04AD6F">
      <w:pPr>
        <w:spacing w:line="288" w:lineRule="auto"/>
        <w:rPr>
          <w:rFonts w:ascii="Arial" w:hAnsi="Arial" w:eastAsia="宋体" w:cs="Arial"/>
          <w:b/>
          <w:bCs/>
          <w:color w:val="auto"/>
          <w:sz w:val="24"/>
          <w:highlight w:val="none"/>
        </w:rPr>
      </w:pPr>
    </w:p>
    <w:p w14:paraId="4EF109DF">
      <w:pPr>
        <w:spacing w:line="288" w:lineRule="auto"/>
        <w:rPr>
          <w:rFonts w:ascii="Arial" w:hAnsi="Arial" w:eastAsia="宋体" w:cs="Arial"/>
          <w:b/>
          <w:bCs/>
          <w:color w:val="auto"/>
          <w:sz w:val="24"/>
          <w:highlight w:val="none"/>
        </w:rPr>
      </w:pPr>
    </w:p>
    <w:p w14:paraId="1BDBE445">
      <w:pPr>
        <w:spacing w:line="288" w:lineRule="auto"/>
        <w:rPr>
          <w:rFonts w:ascii="Arial" w:hAnsi="Arial" w:eastAsia="宋体" w:cs="Arial"/>
          <w:b/>
          <w:bCs/>
          <w:color w:val="auto"/>
          <w:sz w:val="24"/>
          <w:highlight w:val="none"/>
        </w:rPr>
      </w:pPr>
      <w:r>
        <w:rPr>
          <w:rFonts w:ascii="Arial" w:hAnsi="Arial" w:eastAsia="宋体" w:cs="Arial"/>
          <w:b/>
          <w:bCs/>
          <w:color w:val="auto"/>
          <w:sz w:val="24"/>
          <w:highlight w:val="none"/>
        </w:rPr>
        <w:t>（三）</w:t>
      </w:r>
      <w:r>
        <w:rPr>
          <w:rFonts w:ascii="Arial" w:hAnsi="Arial" w:eastAsia="宋体" w:cs="Arial"/>
          <w:b/>
          <w:color w:val="auto"/>
          <w:sz w:val="32"/>
          <w:szCs w:val="32"/>
          <w:highlight w:val="none"/>
        </w:rPr>
        <w:t>其它有效证明材料</w:t>
      </w:r>
    </w:p>
    <w:p w14:paraId="72D517E5">
      <w:pPr>
        <w:tabs>
          <w:tab w:val="left" w:pos="1305"/>
        </w:tabs>
        <w:spacing w:line="288" w:lineRule="auto"/>
        <w:jc w:val="center"/>
        <w:rPr>
          <w:rFonts w:ascii="Arial" w:hAnsi="Arial" w:eastAsia="宋体" w:cs="Arial"/>
          <w:color w:val="auto"/>
          <w:sz w:val="24"/>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（一）资格性响应证明材料目录</w:t>
      </w:r>
    </w:p>
    <w:p w14:paraId="0C5A6044">
      <w:pPr>
        <w:tabs>
          <w:tab w:val="left" w:pos="1305"/>
        </w:tabs>
        <w:spacing w:after="0" w:line="288"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14:paraId="5923AF48">
      <w:pPr>
        <w:tabs>
          <w:tab w:val="left" w:pos="1305"/>
        </w:tabs>
        <w:spacing w:after="0" w:line="288"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2.供应商相应的法定代表人（负责人）身份证正反两面复印件</w:t>
      </w:r>
      <w:r>
        <w:rPr>
          <w:rFonts w:ascii="Arial" w:hAnsi="Arial" w:eastAsia="宋体" w:cs="Arial"/>
          <w:b/>
          <w:color w:val="auto"/>
          <w:szCs w:val="21"/>
          <w:highlight w:val="none"/>
        </w:rPr>
        <w:t>（必须提供）</w:t>
      </w:r>
    </w:p>
    <w:p w14:paraId="382337F3">
      <w:pPr>
        <w:tabs>
          <w:tab w:val="left" w:pos="1305"/>
        </w:tabs>
        <w:spacing w:after="0" w:line="288"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14:paraId="04ADA654">
      <w:pPr>
        <w:tabs>
          <w:tab w:val="left" w:pos="1305"/>
        </w:tabs>
        <w:spacing w:after="0" w:line="288" w:lineRule="auto"/>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w:t>
      </w:r>
    </w:p>
    <w:p w14:paraId="04FB6B4E">
      <w:pPr>
        <w:tabs>
          <w:tab w:val="left" w:pos="1305"/>
        </w:tabs>
        <w:spacing w:after="0"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5606F0C">
      <w:pPr>
        <w:tabs>
          <w:tab w:val="left" w:pos="1305"/>
        </w:tabs>
        <w:spacing w:after="0" w:line="288"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rPr>
        <w:t>2023年</w:t>
      </w:r>
      <w:r>
        <w:rPr>
          <w:rFonts w:ascii="Arial" w:hAnsi="Arial" w:eastAsia="宋体" w:cs="Arial"/>
          <w:color w:val="auto"/>
          <w:szCs w:val="21"/>
          <w:highlight w:val="none"/>
        </w:rPr>
        <w:t>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bCs/>
          <w:color w:val="auto"/>
          <w:szCs w:val="21"/>
          <w:highlight w:val="none"/>
        </w:rPr>
        <w:t>（必须提供）</w:t>
      </w:r>
    </w:p>
    <w:p w14:paraId="44695DE3">
      <w:pPr>
        <w:tabs>
          <w:tab w:val="left" w:pos="1305"/>
        </w:tabs>
        <w:spacing w:after="0" w:line="288"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bCs/>
          <w:color w:val="auto"/>
          <w:szCs w:val="21"/>
          <w:highlight w:val="none"/>
        </w:rPr>
        <w:t>（必须提供）</w:t>
      </w:r>
    </w:p>
    <w:p w14:paraId="17C50C7A">
      <w:pPr>
        <w:tabs>
          <w:tab w:val="left" w:pos="1305"/>
        </w:tabs>
        <w:spacing w:after="0" w:line="288"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bCs/>
          <w:color w:val="auto"/>
          <w:szCs w:val="21"/>
          <w:highlight w:val="none"/>
        </w:rPr>
        <w:t>（必须提供）</w:t>
      </w:r>
    </w:p>
    <w:p w14:paraId="1E2B3DC5">
      <w:pPr>
        <w:tabs>
          <w:tab w:val="left" w:pos="1305"/>
        </w:tabs>
        <w:spacing w:after="0" w:line="288" w:lineRule="auto"/>
        <w:ind w:firstLine="525" w:firstLineChars="250"/>
        <w:rPr>
          <w:rFonts w:ascii="Arial" w:hAnsi="Arial" w:eastAsia="宋体" w:cs="Arial"/>
          <w:b/>
          <w:bCs/>
          <w:color w:val="auto"/>
          <w:szCs w:val="21"/>
          <w:highlight w:val="none"/>
        </w:rPr>
      </w:pPr>
      <w:r>
        <w:rPr>
          <w:rFonts w:ascii="Arial" w:hAnsi="Arial" w:eastAsia="宋体" w:cs="Arial"/>
          <w:color w:val="auto"/>
          <w:szCs w:val="21"/>
          <w:highlight w:val="none"/>
        </w:rPr>
        <w:t>8.供应商参加采购活动前3年内在经营活动中没有重大违法记录及有关信用信息的书面声明</w:t>
      </w:r>
      <w:r>
        <w:rPr>
          <w:rFonts w:ascii="Arial" w:hAnsi="Arial" w:eastAsia="宋体" w:cs="Arial"/>
          <w:b/>
          <w:bCs/>
          <w:color w:val="auto"/>
          <w:szCs w:val="21"/>
          <w:highlight w:val="none"/>
        </w:rPr>
        <w:t>（必须提供）</w:t>
      </w:r>
    </w:p>
    <w:p w14:paraId="3F403B59">
      <w:pPr>
        <w:tabs>
          <w:tab w:val="left" w:pos="1305"/>
        </w:tabs>
        <w:spacing w:after="0" w:line="288" w:lineRule="auto"/>
        <w:ind w:firstLine="525" w:firstLineChars="250"/>
        <w:rPr>
          <w:rFonts w:ascii="Arial" w:hAnsi="Arial" w:eastAsia="宋体" w:cs="Arial"/>
          <w:b/>
          <w:bCs/>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bCs/>
          <w:color w:val="auto"/>
          <w:szCs w:val="21"/>
          <w:highlight w:val="none"/>
        </w:rPr>
        <w:t>（必须提供）</w:t>
      </w:r>
    </w:p>
    <w:p w14:paraId="4888FF27">
      <w:pPr>
        <w:tabs>
          <w:tab w:val="left" w:pos="1305"/>
        </w:tabs>
        <w:spacing w:after="0" w:line="288"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bCs/>
          <w:color w:val="auto"/>
          <w:szCs w:val="21"/>
          <w:highlight w:val="none"/>
        </w:rPr>
        <w:t>（必须提供）</w:t>
      </w:r>
    </w:p>
    <w:p w14:paraId="5DC0F98F">
      <w:pPr>
        <w:spacing w:after="0" w:line="288" w:lineRule="auto"/>
        <w:ind w:firstLine="420" w:firstLineChars="200"/>
        <w:rPr>
          <w:rFonts w:ascii="Arial" w:hAnsi="Arial" w:eastAsia="宋体" w:cs="Arial"/>
          <w:b/>
          <w:color w:val="auto"/>
          <w:sz w:val="28"/>
          <w:szCs w:val="28"/>
          <w:highlight w:val="none"/>
        </w:rPr>
      </w:pPr>
      <w:r>
        <w:rPr>
          <w:rFonts w:ascii="Arial" w:hAnsi="Arial" w:eastAsia="宋体" w:cs="Arial"/>
          <w:bCs/>
          <w:color w:val="auto"/>
          <w:szCs w:val="21"/>
          <w:highlight w:val="none"/>
        </w:rPr>
        <w:t>11.谈判保证缴纳证明材料复印件</w:t>
      </w:r>
      <w:r>
        <w:rPr>
          <w:rFonts w:ascii="Arial" w:hAnsi="Arial" w:eastAsia="宋体" w:cs="Arial"/>
          <w:b/>
          <w:color w:val="auto"/>
          <w:szCs w:val="21"/>
          <w:highlight w:val="none"/>
        </w:rPr>
        <w:t>（必须提供）</w:t>
      </w:r>
    </w:p>
    <w:p w14:paraId="1A696B12">
      <w:pPr>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1. 响应函（必须提供）</w:t>
      </w:r>
    </w:p>
    <w:p w14:paraId="2F4931EA">
      <w:pPr>
        <w:spacing w:line="288" w:lineRule="auto"/>
        <w:rPr>
          <w:rFonts w:ascii="Arial" w:hAnsi="Arial" w:eastAsia="宋体" w:cs="Arial"/>
          <w:b/>
          <w:color w:val="auto"/>
          <w:sz w:val="24"/>
          <w:highlight w:val="none"/>
        </w:rPr>
      </w:pPr>
      <w:r>
        <w:rPr>
          <w:rFonts w:ascii="Arial" w:hAnsi="Arial" w:eastAsia="宋体" w:cs="Arial"/>
          <w:b/>
          <w:color w:val="auto"/>
          <w:sz w:val="24"/>
          <w:highlight w:val="none"/>
        </w:rPr>
        <w:t>附件：</w:t>
      </w:r>
    </w:p>
    <w:p w14:paraId="04BFF6B5">
      <w:pPr>
        <w:pStyle w:val="14"/>
        <w:spacing w:line="288" w:lineRule="auto"/>
        <w:ind w:firstLine="800" w:firstLineChars="250"/>
        <w:jc w:val="center"/>
        <w:rPr>
          <w:rFonts w:ascii="Arial" w:hAnsi="Arial" w:eastAsia="宋体" w:cs="Arial"/>
          <w:b/>
          <w:color w:val="auto"/>
          <w:sz w:val="32"/>
          <w:highlight w:val="none"/>
        </w:rPr>
      </w:pPr>
      <w:r>
        <w:rPr>
          <w:rFonts w:ascii="Arial" w:hAnsi="Arial" w:eastAsia="宋体" w:cs="Arial"/>
          <w:b/>
          <w:color w:val="auto"/>
          <w:sz w:val="32"/>
          <w:highlight w:val="none"/>
        </w:rPr>
        <w:t>响 应 函 （格 式）</w:t>
      </w:r>
    </w:p>
    <w:p w14:paraId="3A4F6BA6">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lang w:eastAsia="zh-CN"/>
        </w:rPr>
        <w:t>广西机电设备招标有限公司</w:t>
      </w:r>
      <w:r>
        <w:rPr>
          <w:rFonts w:ascii="Arial" w:hAnsi="Arial" w:eastAsia="宋体" w:cs="Arial"/>
          <w:color w:val="auto"/>
          <w:szCs w:val="21"/>
          <w:highlight w:val="none"/>
          <w:u w:val="single"/>
        </w:rPr>
        <w:t xml:space="preserve"> </w:t>
      </w:r>
    </w:p>
    <w:p w14:paraId="0F3033F1">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根据贵方</w:t>
      </w:r>
      <w:r>
        <w:rPr>
          <w:rFonts w:ascii="Arial" w:hAnsi="Arial" w:eastAsia="宋体" w:cs="Arial"/>
          <w:color w:val="auto"/>
          <w:highlight w:val="none"/>
          <w:u w:val="single"/>
        </w:rPr>
        <w:t xml:space="preserve">         </w:t>
      </w:r>
      <w:r>
        <w:rPr>
          <w:rFonts w:ascii="Arial" w:hAnsi="Arial" w:eastAsia="宋体" w:cs="Arial"/>
          <w:color w:val="auto"/>
          <w:highlight w:val="none"/>
        </w:rPr>
        <w:t xml:space="preserve">项目谈判文件，项目编号 </w:t>
      </w:r>
      <w:r>
        <w:rPr>
          <w:rFonts w:ascii="Arial" w:hAnsi="Arial" w:eastAsia="宋体" w:cs="Arial"/>
          <w:color w:val="auto"/>
          <w:highlight w:val="none"/>
          <w:u w:val="single"/>
        </w:rPr>
        <w:t xml:space="preserve">               </w:t>
      </w:r>
      <w:r>
        <w:rPr>
          <w:rFonts w:ascii="Arial" w:hAnsi="Arial" w:eastAsia="宋体" w:cs="Arial"/>
          <w:color w:val="auto"/>
          <w:szCs w:val="21"/>
          <w:highlight w:val="none"/>
        </w:rPr>
        <w:t>，签字代表</w:t>
      </w:r>
      <w:r>
        <w:rPr>
          <w:rFonts w:ascii="Arial" w:hAnsi="Arial" w:eastAsia="宋体" w:cs="Arial"/>
          <w:color w:val="auto"/>
          <w:highlight w:val="none"/>
          <w:u w:val="single"/>
        </w:rPr>
        <w:t xml:space="preserve">         </w:t>
      </w:r>
      <w:r>
        <w:rPr>
          <w:rFonts w:ascii="Arial" w:hAnsi="Arial" w:eastAsia="宋体" w:cs="Arial"/>
          <w:color w:val="auto"/>
          <w:highlight w:val="none"/>
        </w:rPr>
        <w:t xml:space="preserve">（姓名）经正式授权并代表供应商 </w:t>
      </w:r>
      <w:r>
        <w:rPr>
          <w:rFonts w:ascii="Arial" w:hAnsi="Arial" w:eastAsia="宋体" w:cs="Arial"/>
          <w:color w:val="auto"/>
          <w:highlight w:val="none"/>
          <w:u w:val="single"/>
        </w:rPr>
        <w:t xml:space="preserve">                                   （</w:t>
      </w:r>
      <w:r>
        <w:rPr>
          <w:rFonts w:ascii="Arial" w:hAnsi="Arial" w:eastAsia="宋体" w:cs="Arial"/>
          <w:color w:val="auto"/>
          <w:highlight w:val="none"/>
        </w:rPr>
        <w:t>供应商单位名称），提交响应文件正本一份，副本二份。</w:t>
      </w:r>
    </w:p>
    <w:p w14:paraId="78B8393D">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据此函，签字代表宣布同意如下：</w:t>
      </w:r>
    </w:p>
    <w:p w14:paraId="6EBC65B4">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b/>
          <w:bCs/>
          <w:color w:val="auto"/>
          <w:highlight w:val="none"/>
        </w:rPr>
      </w:pPr>
      <w:r>
        <w:rPr>
          <w:rFonts w:ascii="Arial" w:hAnsi="Arial" w:eastAsia="宋体" w:cs="Arial"/>
          <w:color w:val="auto"/>
          <w:highlight w:val="none"/>
        </w:rPr>
        <w:t>1.按谈判文件项目采购需求作出如下报价：</w:t>
      </w:r>
      <w:r>
        <w:rPr>
          <w:rFonts w:hint="eastAsia" w:ascii="Arial" w:hAnsi="Arial" w:eastAsia="宋体" w:cs="Arial"/>
          <w:color w:val="auto"/>
          <w:highlight w:val="none"/>
          <w:u w:val="single"/>
        </w:rPr>
        <w:t xml:space="preserve">    </w:t>
      </w:r>
      <w:r>
        <w:rPr>
          <w:rFonts w:hint="eastAsia" w:ascii="Arial" w:hAnsi="Arial" w:eastAsia="宋体" w:cs="Arial"/>
          <w:color w:val="auto"/>
          <w:highlight w:val="none"/>
        </w:rPr>
        <w:t>分标：</w:t>
      </w:r>
      <w:r>
        <w:rPr>
          <w:rFonts w:ascii="Arial" w:hAnsi="Arial" w:eastAsia="宋体" w:cs="Arial"/>
          <w:color w:val="auto"/>
          <w:highlight w:val="none"/>
        </w:rPr>
        <w:t>谈判报价（大写）</w:t>
      </w:r>
      <w:r>
        <w:rPr>
          <w:rFonts w:ascii="Arial" w:hAnsi="Arial" w:eastAsia="宋体" w:cs="Arial"/>
          <w:color w:val="auto"/>
          <w:highlight w:val="none"/>
          <w:u w:val="single"/>
        </w:rPr>
        <w:t xml:space="preserve">       </w:t>
      </w:r>
      <w:r>
        <w:rPr>
          <w:rFonts w:ascii="Arial" w:hAnsi="Arial" w:eastAsia="宋体" w:cs="Arial"/>
          <w:color w:val="auto"/>
          <w:highlight w:val="none"/>
        </w:rPr>
        <w:t>元人民币(￥</w:t>
      </w:r>
      <w:r>
        <w:rPr>
          <w:rFonts w:ascii="Arial" w:hAnsi="Arial" w:eastAsia="宋体" w:cs="Arial"/>
          <w:color w:val="auto"/>
          <w:highlight w:val="none"/>
          <w:u w:val="single"/>
        </w:rPr>
        <w:t xml:space="preserve">    </w:t>
      </w:r>
      <w:r>
        <w:rPr>
          <w:rFonts w:ascii="Arial" w:hAnsi="Arial" w:eastAsia="宋体" w:cs="Arial"/>
          <w:color w:val="auto"/>
          <w:highlight w:val="none"/>
        </w:rPr>
        <w:t>)。</w:t>
      </w:r>
    </w:p>
    <w:p w14:paraId="4A3821B3">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2.我方承诺已具备谈判文件规定的供应商资格条件。</w:t>
      </w:r>
    </w:p>
    <w:p w14:paraId="170DAF6A">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3.我方已详细审核谈判文件，包括修改文件（如有的话）和有关附件，将自行承担因对全部谈判文件理解不正确或误解而产生的相应后果。</w:t>
      </w:r>
    </w:p>
    <w:p w14:paraId="498ABE31">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4.响应文件有效期为</w:t>
      </w:r>
      <w:r>
        <w:rPr>
          <w:rFonts w:ascii="Arial" w:hAnsi="Arial" w:eastAsia="宋体" w:cs="Arial"/>
          <w:color w:val="auto"/>
          <w:szCs w:val="21"/>
          <w:highlight w:val="none"/>
        </w:rPr>
        <w:t>响应文件递交截止时间之日起90天。</w:t>
      </w:r>
    </w:p>
    <w:p w14:paraId="21C9BB9E">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5.如我方成交：</w:t>
      </w:r>
    </w:p>
    <w:p w14:paraId="6F0CD5EC">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（1）我方承诺在收到成交通知书后，在成交通知书规定的期限内与采购人签订合同。</w:t>
      </w:r>
    </w:p>
    <w:p w14:paraId="67F8E136">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（2）我方承诺按照谈判文件规定递交履约担保。</w:t>
      </w:r>
    </w:p>
    <w:p w14:paraId="6575C10C">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（3）我方承诺本响应文件至本项目合同履行完毕止均保持有效，按谈判文件及相关法律、法规的规定履行合同责任和义务。</w:t>
      </w:r>
    </w:p>
    <w:p w14:paraId="034620BE">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与本项目有关的正式通讯地址为：</w:t>
      </w:r>
    </w:p>
    <w:p w14:paraId="1BDE2829">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p>
    <w:p w14:paraId="3E1665A7">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地址：</w:t>
      </w:r>
      <w:r>
        <w:rPr>
          <w:rFonts w:ascii="Arial" w:hAnsi="Arial" w:eastAsia="宋体" w:cs="Arial"/>
          <w:color w:val="auto"/>
          <w:highlight w:val="none"/>
          <w:u w:val="single"/>
        </w:rPr>
        <w:t xml:space="preserve">                                   </w:t>
      </w:r>
      <w:r>
        <w:rPr>
          <w:rFonts w:ascii="Arial" w:hAnsi="Arial" w:eastAsia="宋体" w:cs="Arial"/>
          <w:color w:val="auto"/>
          <w:highlight w:val="none"/>
        </w:rPr>
        <w:t xml:space="preserve"> 邮编：</w:t>
      </w:r>
      <w:r>
        <w:rPr>
          <w:rFonts w:ascii="Arial" w:hAnsi="Arial" w:eastAsia="宋体" w:cs="Arial"/>
          <w:color w:val="auto"/>
          <w:highlight w:val="none"/>
          <w:u w:val="single"/>
        </w:rPr>
        <w:t xml:space="preserve">          </w:t>
      </w:r>
      <w:r>
        <w:rPr>
          <w:rFonts w:ascii="Arial" w:hAnsi="Arial" w:eastAsia="宋体" w:cs="Arial"/>
          <w:color w:val="auto"/>
          <w:highlight w:val="none"/>
        </w:rPr>
        <w:t xml:space="preserve">  邮箱：</w:t>
      </w:r>
      <w:r>
        <w:rPr>
          <w:rFonts w:ascii="Arial" w:hAnsi="Arial" w:eastAsia="宋体" w:cs="Arial"/>
          <w:color w:val="auto"/>
          <w:highlight w:val="none"/>
          <w:u w:val="single"/>
        </w:rPr>
        <w:t xml:space="preserve">             </w:t>
      </w:r>
      <w:r>
        <w:rPr>
          <w:rFonts w:ascii="Arial" w:hAnsi="Arial" w:eastAsia="宋体" w:cs="Arial"/>
          <w:color w:val="auto"/>
          <w:highlight w:val="none"/>
        </w:rPr>
        <w:t xml:space="preserve"> </w:t>
      </w:r>
    </w:p>
    <w:p w14:paraId="512593C6">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u w:val="single"/>
        </w:rPr>
      </w:pPr>
      <w:r>
        <w:rPr>
          <w:rFonts w:ascii="Arial" w:hAnsi="Arial" w:eastAsia="宋体" w:cs="Arial"/>
          <w:color w:val="auto"/>
          <w:highlight w:val="none"/>
        </w:rPr>
        <w:t>办公电话：</w:t>
      </w:r>
      <w:r>
        <w:rPr>
          <w:rFonts w:ascii="Arial" w:hAnsi="Arial" w:eastAsia="宋体" w:cs="Arial"/>
          <w:color w:val="auto"/>
          <w:highlight w:val="none"/>
          <w:u w:val="single"/>
        </w:rPr>
        <w:t xml:space="preserve">                </w:t>
      </w:r>
      <w:r>
        <w:rPr>
          <w:rFonts w:ascii="Arial" w:hAnsi="Arial" w:eastAsia="宋体" w:cs="Arial"/>
          <w:color w:val="auto"/>
          <w:highlight w:val="none"/>
        </w:rPr>
        <w:t xml:space="preserve">   传真：</w:t>
      </w:r>
      <w:r>
        <w:rPr>
          <w:rFonts w:ascii="Arial" w:hAnsi="Arial" w:eastAsia="宋体" w:cs="Arial"/>
          <w:color w:val="auto"/>
          <w:highlight w:val="none"/>
          <w:u w:val="single"/>
        </w:rPr>
        <w:t xml:space="preserve">            </w:t>
      </w:r>
    </w:p>
    <w:p w14:paraId="5C122458">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u w:val="single"/>
        </w:rPr>
      </w:pPr>
      <w:r>
        <w:rPr>
          <w:rFonts w:ascii="Arial" w:hAnsi="Arial" w:eastAsia="宋体" w:cs="Arial"/>
          <w:color w:val="auto"/>
          <w:highlight w:val="none"/>
        </w:rPr>
        <w:t>委托代理人联系电话：</w:t>
      </w:r>
      <w:r>
        <w:rPr>
          <w:rFonts w:ascii="Arial" w:hAnsi="Arial" w:eastAsia="宋体" w:cs="Arial"/>
          <w:color w:val="auto"/>
          <w:highlight w:val="none"/>
          <w:u w:val="single"/>
        </w:rPr>
        <w:t xml:space="preserve">                </w:t>
      </w:r>
    </w:p>
    <w:p w14:paraId="50A014CE">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开户名称：</w:t>
      </w:r>
      <w:r>
        <w:rPr>
          <w:rFonts w:ascii="Arial" w:hAnsi="Arial" w:eastAsia="宋体" w:cs="Arial"/>
          <w:color w:val="auto"/>
          <w:highlight w:val="none"/>
          <w:u w:val="single"/>
        </w:rPr>
        <w:t xml:space="preserve">                                        </w:t>
      </w:r>
    </w:p>
    <w:p w14:paraId="40C26004">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开户银行：</w:t>
      </w:r>
      <w:r>
        <w:rPr>
          <w:rFonts w:ascii="Arial" w:hAnsi="Arial" w:eastAsia="宋体" w:cs="Arial"/>
          <w:color w:val="auto"/>
          <w:highlight w:val="none"/>
          <w:u w:val="single"/>
        </w:rPr>
        <w:t xml:space="preserve">                               　       </w:t>
      </w:r>
    </w:p>
    <w:p w14:paraId="26370384">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账号：</w:t>
      </w:r>
      <w:r>
        <w:rPr>
          <w:rFonts w:ascii="Arial" w:hAnsi="Arial" w:eastAsia="宋体" w:cs="Arial"/>
          <w:color w:val="auto"/>
          <w:highlight w:val="none"/>
          <w:u w:val="single"/>
        </w:rPr>
        <w:t xml:space="preserve">                                   　　　   </w:t>
      </w:r>
    </w:p>
    <w:p w14:paraId="1C614E6F">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1973E434">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1E7F0507">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color w:val="auto"/>
          <w:highlight w:val="none"/>
          <w:u w:val="single"/>
        </w:rPr>
      </w:pPr>
      <w:r>
        <w:rPr>
          <w:rFonts w:ascii="Arial" w:hAnsi="Arial" w:eastAsia="宋体" w:cs="Arial"/>
          <w:bCs/>
          <w:color w:val="auto"/>
          <w:highlight w:val="none"/>
        </w:rPr>
        <w:t>响应</w:t>
      </w:r>
      <w:r>
        <w:rPr>
          <w:rFonts w:ascii="Arial" w:hAnsi="Arial" w:eastAsia="宋体" w:cs="Arial"/>
          <w:color w:val="auto"/>
          <w:highlight w:val="none"/>
        </w:rPr>
        <w:t>日期：</w:t>
      </w:r>
      <w:r>
        <w:rPr>
          <w:rFonts w:ascii="Arial" w:hAnsi="Arial" w:eastAsia="宋体" w:cs="Arial"/>
          <w:color w:val="auto"/>
          <w:highlight w:val="none"/>
          <w:u w:val="single"/>
        </w:rPr>
        <w:t xml:space="preserve">                               </w:t>
      </w:r>
    </w:p>
    <w:p w14:paraId="2006EFDE">
      <w:pPr>
        <w:pStyle w:val="14"/>
        <w:keepNext w:val="0"/>
        <w:keepLines w:val="0"/>
        <w:pageBreakBefore w:val="0"/>
        <w:widowControl w:val="0"/>
        <w:kinsoku/>
        <w:wordWrap/>
        <w:overflowPunct/>
        <w:topLinePunct w:val="0"/>
        <w:autoSpaceDE/>
        <w:autoSpaceDN/>
        <w:bidi w:val="0"/>
        <w:adjustRightInd/>
        <w:snapToGrid w:val="0"/>
        <w:spacing w:after="0" w:line="288" w:lineRule="auto"/>
        <w:ind w:firstLine="420"/>
        <w:textAlignment w:val="auto"/>
        <w:rPr>
          <w:rFonts w:ascii="Arial" w:hAnsi="Arial" w:eastAsia="宋体" w:cs="Arial"/>
          <w:bCs/>
          <w:color w:val="auto"/>
          <w:highlight w:val="none"/>
        </w:rPr>
      </w:pPr>
    </w:p>
    <w:p w14:paraId="144AC3AA">
      <w:pPr>
        <w:pStyle w:val="14"/>
        <w:keepNext w:val="0"/>
        <w:keepLines w:val="0"/>
        <w:pageBreakBefore w:val="0"/>
        <w:widowControl w:val="0"/>
        <w:kinsoku/>
        <w:wordWrap/>
        <w:overflowPunct/>
        <w:topLinePunct w:val="0"/>
        <w:autoSpaceDE/>
        <w:autoSpaceDN/>
        <w:bidi w:val="0"/>
        <w:adjustRightInd/>
        <w:snapToGrid w:val="0"/>
        <w:spacing w:after="0" w:line="288" w:lineRule="auto"/>
        <w:ind w:left="840" w:leftChars="200" w:hanging="420" w:hangingChars="200"/>
        <w:textAlignment w:val="auto"/>
        <w:rPr>
          <w:rFonts w:ascii="Arial" w:hAnsi="Arial" w:eastAsia="宋体" w:cs="Arial"/>
          <w:bCs/>
          <w:color w:val="auto"/>
          <w:highlight w:val="none"/>
        </w:rPr>
      </w:pPr>
      <w:r>
        <w:rPr>
          <w:rFonts w:ascii="Arial" w:hAnsi="Arial" w:eastAsia="宋体" w:cs="Arial"/>
          <w:bCs/>
          <w:color w:val="auto"/>
          <w:highlight w:val="none"/>
        </w:rPr>
        <w:t>注：1.未按照本响应函（格式）要求填报的响应函将被视为非实质性响应竞争性谈判文件要求，从而导致该响应被拒绝。</w:t>
      </w:r>
    </w:p>
    <w:p w14:paraId="49BDE00D">
      <w:pPr>
        <w:pStyle w:val="14"/>
        <w:keepNext w:val="0"/>
        <w:keepLines w:val="0"/>
        <w:pageBreakBefore w:val="0"/>
        <w:widowControl w:val="0"/>
        <w:kinsoku/>
        <w:wordWrap/>
        <w:overflowPunct/>
        <w:topLinePunct w:val="0"/>
        <w:autoSpaceDE/>
        <w:autoSpaceDN/>
        <w:bidi w:val="0"/>
        <w:adjustRightInd/>
        <w:snapToGrid w:val="0"/>
        <w:spacing w:after="0" w:line="288" w:lineRule="auto"/>
        <w:ind w:left="840" w:leftChars="400"/>
        <w:textAlignment w:val="auto"/>
        <w:rPr>
          <w:rFonts w:ascii="Arial" w:hAnsi="Arial" w:eastAsia="宋体" w:cs="Arial"/>
          <w:bCs/>
          <w:color w:val="auto"/>
          <w:highlight w:val="none"/>
        </w:rPr>
      </w:pPr>
      <w:r>
        <w:rPr>
          <w:rFonts w:ascii="Arial" w:hAnsi="Arial" w:eastAsia="宋体" w:cs="Arial"/>
          <w:bCs/>
          <w:color w:val="auto"/>
          <w:szCs w:val="21"/>
          <w:highlight w:val="none"/>
        </w:rPr>
        <w:t>2.供应商必须按</w:t>
      </w:r>
      <w:r>
        <w:rPr>
          <w:rFonts w:ascii="Arial" w:hAnsi="Arial" w:eastAsia="宋体" w:cs="Arial"/>
          <w:bCs/>
          <w:color w:val="auto"/>
          <w:highlight w:val="none"/>
        </w:rPr>
        <w:t>本响应函（格式）</w:t>
      </w:r>
      <w:r>
        <w:rPr>
          <w:rFonts w:ascii="Arial" w:hAnsi="Arial" w:eastAsia="宋体" w:cs="Arial"/>
          <w:bCs/>
          <w:color w:val="auto"/>
          <w:szCs w:val="21"/>
          <w:highlight w:val="none"/>
        </w:rPr>
        <w:t>要求注明清楚联系方式（包括地址、邮编、邮箱、电话等），从而确保成交结果等相关信息能及时通知到位。</w:t>
      </w:r>
    </w:p>
    <w:p w14:paraId="11395822">
      <w:pPr>
        <w:pStyle w:val="14"/>
        <w:keepNext w:val="0"/>
        <w:keepLines w:val="0"/>
        <w:pageBreakBefore w:val="0"/>
        <w:widowControl w:val="0"/>
        <w:kinsoku/>
        <w:wordWrap/>
        <w:overflowPunct/>
        <w:topLinePunct w:val="0"/>
        <w:autoSpaceDE/>
        <w:autoSpaceDN/>
        <w:bidi w:val="0"/>
        <w:adjustRightInd/>
        <w:snapToGrid w:val="0"/>
        <w:spacing w:after="0" w:line="288" w:lineRule="auto"/>
        <w:ind w:left="840" w:leftChars="400"/>
        <w:textAlignment w:val="auto"/>
        <w:rPr>
          <w:rFonts w:ascii="Arial" w:hAnsi="Arial" w:eastAsia="宋体" w:cs="Arial"/>
          <w:bCs/>
          <w:color w:val="auto"/>
          <w:szCs w:val="21"/>
          <w:highlight w:val="none"/>
        </w:rPr>
      </w:pPr>
      <w:r>
        <w:rPr>
          <w:rFonts w:ascii="Arial" w:hAnsi="Arial" w:eastAsia="宋体" w:cs="Arial"/>
          <w:bCs/>
          <w:color w:val="auto"/>
          <w:highlight w:val="none"/>
        </w:rPr>
        <w:t>3.响应函</w:t>
      </w:r>
      <w:r>
        <w:rPr>
          <w:rFonts w:ascii="Arial" w:hAnsi="Arial" w:eastAsia="宋体" w:cs="Arial"/>
          <w:bCs/>
          <w:color w:val="auto"/>
          <w:szCs w:val="21"/>
          <w:highlight w:val="none"/>
        </w:rPr>
        <w:t>须</w:t>
      </w:r>
      <w:r>
        <w:rPr>
          <w:rFonts w:ascii="Arial" w:hAnsi="Arial" w:eastAsia="宋体" w:cs="Arial"/>
          <w:bCs/>
          <w:color w:val="auto"/>
          <w:highlight w:val="none"/>
        </w:rPr>
        <w:t>由</w:t>
      </w:r>
      <w:r>
        <w:rPr>
          <w:rFonts w:ascii="Arial" w:hAnsi="Arial" w:eastAsia="宋体" w:cs="Arial"/>
          <w:bCs/>
          <w:color w:val="auto"/>
          <w:szCs w:val="21"/>
          <w:highlight w:val="none"/>
        </w:rPr>
        <w:t>法定代表人（负责人）或委托代理人签字并加盖供应商公章。</w:t>
      </w:r>
    </w:p>
    <w:p w14:paraId="62B355D6">
      <w:pPr>
        <w:pStyle w:val="14"/>
        <w:keepNext w:val="0"/>
        <w:keepLines w:val="0"/>
        <w:pageBreakBefore w:val="0"/>
        <w:widowControl w:val="0"/>
        <w:kinsoku/>
        <w:wordWrap/>
        <w:overflowPunct/>
        <w:topLinePunct w:val="0"/>
        <w:autoSpaceDE/>
        <w:autoSpaceDN/>
        <w:bidi w:val="0"/>
        <w:adjustRightInd/>
        <w:snapToGrid w:val="0"/>
        <w:spacing w:after="0" w:line="288" w:lineRule="auto"/>
        <w:ind w:left="840" w:leftChars="400"/>
        <w:textAlignment w:val="auto"/>
        <w:rPr>
          <w:rFonts w:ascii="Arial" w:hAnsi="Arial" w:eastAsia="宋体" w:cs="Arial"/>
          <w:bCs/>
          <w:color w:val="auto"/>
          <w:szCs w:val="21"/>
          <w:highlight w:val="none"/>
        </w:rPr>
      </w:pPr>
    </w:p>
    <w:p w14:paraId="6619D255">
      <w:pPr>
        <w:pStyle w:val="14"/>
        <w:spacing w:after="0" w:line="288" w:lineRule="auto"/>
        <w:ind w:firstLine="420" w:firstLineChars="200"/>
        <w:rPr>
          <w:rFonts w:ascii="Arial" w:hAnsi="Arial" w:eastAsia="宋体" w:cs="Arial"/>
          <w:bCs/>
          <w:color w:val="auto"/>
          <w:highlight w:val="none"/>
        </w:rPr>
      </w:pPr>
    </w:p>
    <w:p w14:paraId="0815A57D">
      <w:pPr>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34A475A8">
      <w:pPr>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2.供应商相应的法定代表人（负责人)身份证正反两面复印件（必须提供）</w:t>
      </w:r>
    </w:p>
    <w:p w14:paraId="72469CDE">
      <w:pPr>
        <w:pStyle w:val="14"/>
        <w:spacing w:line="288" w:lineRule="auto"/>
        <w:rPr>
          <w:rFonts w:ascii="Arial" w:hAnsi="Arial" w:eastAsia="宋体" w:cs="Arial"/>
          <w:b/>
          <w:color w:val="auto"/>
          <w:sz w:val="28"/>
          <w:szCs w:val="28"/>
          <w:highlight w:val="none"/>
        </w:rPr>
      </w:pPr>
    </w:p>
    <w:p w14:paraId="17AB5577">
      <w:pPr>
        <w:pStyle w:val="14"/>
        <w:spacing w:line="288" w:lineRule="auto"/>
        <w:rPr>
          <w:rFonts w:ascii="Arial" w:hAnsi="Arial" w:eastAsia="宋体" w:cs="Arial"/>
          <w:b/>
          <w:color w:val="auto"/>
          <w:sz w:val="28"/>
          <w:szCs w:val="28"/>
          <w:highlight w:val="none"/>
        </w:rPr>
      </w:pPr>
    </w:p>
    <w:p w14:paraId="701209E8">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3.供应商的授权委托书原件、委托代理人身份证正反面复印件（委托代理时必须提供）</w:t>
      </w:r>
    </w:p>
    <w:p w14:paraId="36C2AB80">
      <w:pPr>
        <w:pStyle w:val="14"/>
        <w:spacing w:line="288" w:lineRule="auto"/>
        <w:rPr>
          <w:rFonts w:ascii="Arial" w:hAnsi="Arial" w:eastAsia="宋体" w:cs="Arial"/>
          <w:b/>
          <w:color w:val="auto"/>
          <w:sz w:val="32"/>
          <w:highlight w:val="none"/>
        </w:rPr>
      </w:pPr>
      <w:r>
        <w:rPr>
          <w:rFonts w:ascii="Arial" w:hAnsi="Arial" w:eastAsia="宋体" w:cs="Arial"/>
          <w:b/>
          <w:color w:val="auto"/>
          <w:sz w:val="32"/>
          <w:highlight w:val="none"/>
        </w:rPr>
        <w:t xml:space="preserve">附件：            </w:t>
      </w:r>
    </w:p>
    <w:p w14:paraId="7CCD22BF">
      <w:pPr>
        <w:pStyle w:val="14"/>
        <w:spacing w:line="288" w:lineRule="auto"/>
        <w:ind w:firstLine="627" w:firstLineChars="196"/>
        <w:jc w:val="center"/>
        <w:rPr>
          <w:rFonts w:ascii="Arial" w:hAnsi="Arial" w:eastAsia="宋体" w:cs="Arial"/>
          <w:b/>
          <w:color w:val="auto"/>
          <w:sz w:val="32"/>
          <w:highlight w:val="none"/>
        </w:rPr>
      </w:pPr>
      <w:r>
        <w:rPr>
          <w:rFonts w:ascii="Arial" w:hAnsi="Arial" w:eastAsia="宋体" w:cs="Arial"/>
          <w:b/>
          <w:color w:val="auto"/>
          <w:sz w:val="32"/>
          <w:highlight w:val="none"/>
        </w:rPr>
        <w:t>授权委托书</w:t>
      </w:r>
    </w:p>
    <w:p w14:paraId="1F45C78B">
      <w:pPr>
        <w:pStyle w:val="14"/>
        <w:spacing w:line="288" w:lineRule="auto"/>
        <w:rPr>
          <w:rFonts w:ascii="Arial" w:hAnsi="Arial" w:eastAsia="宋体" w:cs="Arial"/>
          <w:color w:val="auto"/>
          <w:highlight w:val="none"/>
        </w:rPr>
      </w:pPr>
    </w:p>
    <w:p w14:paraId="3204661B">
      <w:pPr>
        <w:spacing w:line="288" w:lineRule="auto"/>
        <w:rPr>
          <w:rFonts w:hint="eastAsia" w:ascii="Arial" w:hAnsi="Arial" w:eastAsia="宋体" w:cs="Arial"/>
          <w:color w:val="auto"/>
          <w:highlight w:val="none"/>
          <w:lang w:eastAsia="zh-CN"/>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lang w:eastAsia="zh-CN"/>
        </w:rPr>
        <w:t>广西机电设备招标有限公司</w:t>
      </w:r>
    </w:p>
    <w:p w14:paraId="1403A5C5">
      <w:pPr>
        <w:spacing w:line="288" w:lineRule="auto"/>
        <w:rPr>
          <w:rFonts w:ascii="Arial" w:hAnsi="Arial" w:eastAsia="宋体" w:cs="Arial"/>
          <w:color w:val="auto"/>
          <w:szCs w:val="21"/>
          <w:highlight w:val="none"/>
        </w:rPr>
      </w:pPr>
    </w:p>
    <w:p w14:paraId="4259F068">
      <w:pPr>
        <w:pStyle w:val="14"/>
        <w:spacing w:line="288" w:lineRule="auto"/>
        <w:ind w:firstLine="420" w:firstLineChars="200"/>
        <w:rPr>
          <w:rFonts w:ascii="Arial" w:hAnsi="Arial" w:eastAsia="宋体" w:cs="Arial"/>
          <w:color w:val="auto"/>
          <w:highlight w:val="none"/>
        </w:rPr>
      </w:pPr>
      <w:r>
        <w:rPr>
          <w:rFonts w:ascii="Arial" w:hAnsi="Arial" w:eastAsia="宋体" w:cs="Arial"/>
          <w:color w:val="auto"/>
          <w:kern w:val="0"/>
          <w:highlight w:val="none"/>
        </w:rPr>
        <w:t>我</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（姓名）系</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（供应商名称）的法定代表人，现授权委托本单位在职职工</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（姓 名）以我公司名义参加</w:t>
      </w:r>
      <w:r>
        <w:rPr>
          <w:rFonts w:ascii="Arial" w:hAnsi="Arial" w:eastAsia="宋体" w:cs="Arial"/>
          <w:color w:val="auto"/>
          <w:kern w:val="0"/>
          <w:highlight w:val="none"/>
          <w:u w:val="single"/>
        </w:rPr>
        <w:t xml:space="preserve">      </w:t>
      </w:r>
      <w:r>
        <w:rPr>
          <w:rFonts w:ascii="Arial" w:hAnsi="Arial" w:eastAsia="宋体" w:cs="Arial"/>
          <w:color w:val="auto"/>
          <w:highlight w:val="none"/>
          <w:u w:val="single"/>
        </w:rPr>
        <w:t xml:space="preserve">（项目名称、项目编号）        </w:t>
      </w:r>
      <w:r>
        <w:rPr>
          <w:rFonts w:ascii="Arial" w:hAnsi="Arial" w:eastAsia="宋体" w:cs="Arial"/>
          <w:color w:val="auto"/>
          <w:highlight w:val="none"/>
        </w:rPr>
        <w:t>项目的谈判活动，并代表我方全权办理针对上述项目的谈判、签约等具体事务和签署相关文件。</w:t>
      </w:r>
    </w:p>
    <w:p w14:paraId="586EA01E">
      <w:pPr>
        <w:pStyle w:val="14"/>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我方对被授权人的签字事项负全部责任。</w:t>
      </w:r>
    </w:p>
    <w:p w14:paraId="6BD6B36E">
      <w:pPr>
        <w:pStyle w:val="14"/>
        <w:spacing w:line="288" w:lineRule="auto"/>
        <w:ind w:firstLine="420" w:firstLineChars="200"/>
        <w:rPr>
          <w:rFonts w:ascii="Arial" w:hAnsi="Arial" w:eastAsia="宋体" w:cs="Arial"/>
          <w:color w:val="auto"/>
          <w:highlight w:val="none"/>
          <w:u w:val="single"/>
        </w:rPr>
      </w:pPr>
      <w:r>
        <w:rPr>
          <w:rFonts w:ascii="Arial" w:hAnsi="Arial" w:eastAsia="宋体" w:cs="Arial"/>
          <w:color w:val="auto"/>
          <w:highlight w:val="none"/>
        </w:rPr>
        <w:t>授权委托代理期限：从</w:t>
      </w:r>
      <w:r>
        <w:rPr>
          <w:rFonts w:ascii="Arial" w:hAnsi="Arial" w:eastAsia="宋体" w:cs="Arial"/>
          <w:color w:val="auto"/>
          <w:highlight w:val="none"/>
          <w:u w:val="single"/>
        </w:rPr>
        <w:t xml:space="preserve">       </w:t>
      </w:r>
      <w:r>
        <w:rPr>
          <w:rFonts w:ascii="Arial" w:hAnsi="Arial" w:eastAsia="宋体" w:cs="Arial"/>
          <w:color w:val="auto"/>
          <w:highlight w:val="none"/>
        </w:rPr>
        <w:t>年</w:t>
      </w:r>
      <w:r>
        <w:rPr>
          <w:rFonts w:ascii="Arial" w:hAnsi="Arial" w:eastAsia="宋体" w:cs="Arial"/>
          <w:color w:val="auto"/>
          <w:highlight w:val="none"/>
          <w:u w:val="single"/>
        </w:rPr>
        <w:t xml:space="preserve">     </w:t>
      </w:r>
      <w:r>
        <w:rPr>
          <w:rFonts w:ascii="Arial" w:hAnsi="Arial" w:eastAsia="宋体" w:cs="Arial"/>
          <w:color w:val="auto"/>
          <w:highlight w:val="none"/>
        </w:rPr>
        <w:t xml:space="preserve">月 </w:t>
      </w:r>
      <w:r>
        <w:rPr>
          <w:rFonts w:ascii="Arial" w:hAnsi="Arial" w:eastAsia="宋体" w:cs="Arial"/>
          <w:color w:val="auto"/>
          <w:highlight w:val="none"/>
          <w:u w:val="single"/>
        </w:rPr>
        <w:t xml:space="preserve">    </w:t>
      </w:r>
      <w:r>
        <w:rPr>
          <w:rFonts w:ascii="Arial" w:hAnsi="Arial" w:eastAsia="宋体" w:cs="Arial"/>
          <w:color w:val="auto"/>
          <w:highlight w:val="none"/>
        </w:rPr>
        <w:t xml:space="preserve"> 日起至</w:t>
      </w:r>
      <w:r>
        <w:rPr>
          <w:rFonts w:ascii="Arial" w:hAnsi="Arial" w:eastAsia="宋体" w:cs="Arial"/>
          <w:color w:val="auto"/>
          <w:highlight w:val="none"/>
          <w:u w:val="single"/>
        </w:rPr>
        <w:t xml:space="preserve">         </w:t>
      </w:r>
      <w:r>
        <w:rPr>
          <w:rFonts w:ascii="Arial" w:hAnsi="Arial" w:eastAsia="宋体" w:cs="Arial"/>
          <w:color w:val="auto"/>
          <w:highlight w:val="none"/>
        </w:rPr>
        <w:t>年</w:t>
      </w:r>
      <w:r>
        <w:rPr>
          <w:rFonts w:ascii="Arial" w:hAnsi="Arial" w:eastAsia="宋体" w:cs="Arial"/>
          <w:color w:val="auto"/>
          <w:highlight w:val="none"/>
          <w:u w:val="single"/>
        </w:rPr>
        <w:t xml:space="preserve">     </w:t>
      </w:r>
      <w:r>
        <w:rPr>
          <w:rFonts w:ascii="Arial" w:hAnsi="Arial" w:eastAsia="宋体" w:cs="Arial"/>
          <w:color w:val="auto"/>
          <w:highlight w:val="none"/>
        </w:rPr>
        <w:t xml:space="preserve">月 </w:t>
      </w:r>
      <w:r>
        <w:rPr>
          <w:rFonts w:ascii="Arial" w:hAnsi="Arial" w:eastAsia="宋体" w:cs="Arial"/>
          <w:color w:val="auto"/>
          <w:highlight w:val="none"/>
          <w:u w:val="single"/>
        </w:rPr>
        <w:t xml:space="preserve">     </w:t>
      </w:r>
      <w:r>
        <w:rPr>
          <w:rFonts w:ascii="Arial" w:hAnsi="Arial" w:eastAsia="宋体" w:cs="Arial"/>
          <w:color w:val="auto"/>
          <w:highlight w:val="none"/>
        </w:rPr>
        <w:t>日止。</w:t>
      </w:r>
    </w:p>
    <w:p w14:paraId="04F395CF">
      <w:pPr>
        <w:pStyle w:val="14"/>
        <w:spacing w:line="288" w:lineRule="auto"/>
        <w:rPr>
          <w:rFonts w:ascii="Arial" w:hAnsi="Arial" w:eastAsia="宋体" w:cs="Arial"/>
          <w:color w:val="auto"/>
          <w:highlight w:val="none"/>
          <w:u w:val="single"/>
        </w:rPr>
      </w:pPr>
      <w:r>
        <w:rPr>
          <w:rFonts w:ascii="Arial" w:hAnsi="Arial" w:eastAsia="宋体" w:cs="Arial"/>
          <w:color w:val="auto"/>
          <w:highlight w:val="none"/>
        </w:rPr>
        <w:t xml:space="preserve">                                                                                             </w:t>
      </w:r>
    </w:p>
    <w:p w14:paraId="2E503BD6">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14:paraId="44E24ECE">
      <w:pPr>
        <w:snapToGrid w:val="0"/>
        <w:spacing w:line="288" w:lineRule="auto"/>
        <w:ind w:firstLine="525"/>
        <w:rPr>
          <w:rFonts w:ascii="Arial" w:hAnsi="Arial" w:eastAsia="宋体" w:cs="Arial"/>
          <w:color w:val="auto"/>
          <w:szCs w:val="21"/>
          <w:highlight w:val="none"/>
        </w:rPr>
      </w:pPr>
    </w:p>
    <w:p w14:paraId="0CA514BE">
      <w:pPr>
        <w:snapToGrid w:val="0"/>
        <w:spacing w:line="288" w:lineRule="auto"/>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14:paraId="37B3F0BB">
      <w:pPr>
        <w:snapToGrid w:val="0"/>
        <w:spacing w:line="288" w:lineRule="auto"/>
        <w:ind w:firstLine="420"/>
        <w:rPr>
          <w:rFonts w:ascii="Arial" w:hAnsi="Arial" w:eastAsia="宋体" w:cs="Arial"/>
          <w:color w:val="auto"/>
          <w:szCs w:val="21"/>
          <w:highlight w:val="none"/>
        </w:rPr>
      </w:pPr>
    </w:p>
    <w:p w14:paraId="1C84DB90">
      <w:pPr>
        <w:snapToGrid w:val="0"/>
        <w:spacing w:line="288" w:lineRule="auto"/>
        <w:ind w:firstLine="420"/>
        <w:rPr>
          <w:rFonts w:ascii="Arial" w:hAnsi="Arial" w:eastAsia="宋体" w:cs="Arial"/>
          <w:color w:val="auto"/>
          <w:szCs w:val="21"/>
          <w:highlight w:val="none"/>
          <w:u w:val="single"/>
        </w:rPr>
      </w:pPr>
      <w:r>
        <w:rPr>
          <w:rFonts w:ascii="Arial" w:hAnsi="Arial" w:eastAsia="宋体" w:cs="Arial"/>
          <w:color w:val="auto"/>
          <w:szCs w:val="21"/>
          <w:highlight w:val="none"/>
        </w:rPr>
        <w:t>供应商（公章）：</w:t>
      </w:r>
      <w:r>
        <w:rPr>
          <w:rFonts w:ascii="Arial" w:hAnsi="Arial" w:eastAsia="宋体" w:cs="Arial"/>
          <w:b/>
          <w:color w:val="auto"/>
          <w:szCs w:val="21"/>
          <w:highlight w:val="none"/>
          <w:u w:val="single"/>
        </w:rPr>
        <w:t xml:space="preserve">                                      </w:t>
      </w:r>
    </w:p>
    <w:p w14:paraId="0C0AB72D">
      <w:pPr>
        <w:snapToGrid w:val="0"/>
        <w:spacing w:line="288" w:lineRule="auto"/>
        <w:ind w:firstLine="420"/>
        <w:rPr>
          <w:rFonts w:ascii="Arial" w:hAnsi="Arial" w:eastAsia="宋体" w:cs="Arial"/>
          <w:color w:val="auto"/>
          <w:szCs w:val="21"/>
          <w:highlight w:val="none"/>
        </w:rPr>
      </w:pPr>
    </w:p>
    <w:p w14:paraId="7F8D4375">
      <w:pPr>
        <w:snapToGrid w:val="0"/>
        <w:spacing w:line="288" w:lineRule="auto"/>
        <w:ind w:firstLine="420"/>
        <w:rPr>
          <w:rFonts w:ascii="Arial" w:hAnsi="Arial" w:eastAsia="宋体" w:cs="Arial"/>
          <w:color w:val="auto"/>
          <w:szCs w:val="21"/>
          <w:highlight w:val="none"/>
        </w:rPr>
      </w:pPr>
      <w:r>
        <w:rPr>
          <w:rFonts w:ascii="Arial" w:hAnsi="Arial" w:eastAsia="宋体" w:cs="Arial"/>
          <w:color w:val="auto"/>
          <w:szCs w:val="21"/>
          <w:highlight w:val="none"/>
        </w:rPr>
        <w:t>法定代表人签字：</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日</w:t>
      </w:r>
    </w:p>
    <w:p w14:paraId="1CF93615">
      <w:pPr>
        <w:snapToGrid w:val="0"/>
        <w:spacing w:line="288" w:lineRule="auto"/>
        <w:rPr>
          <w:rFonts w:ascii="Arial" w:hAnsi="Arial" w:eastAsia="宋体" w:cs="Arial"/>
          <w:b/>
          <w:color w:val="auto"/>
          <w:szCs w:val="21"/>
          <w:highlight w:val="none"/>
        </w:rPr>
      </w:pPr>
      <w:r>
        <w:rPr>
          <w:rFonts w:ascii="Arial" w:hAnsi="Arial" w:eastAsia="宋体" w:cs="Arial"/>
          <w:b/>
          <w:color w:val="auto"/>
          <w:szCs w:val="21"/>
          <w:highlight w:val="none"/>
        </w:rPr>
        <w:t>附：委托代理人有效的身份证正反两面复印件。</w:t>
      </w:r>
    </w:p>
    <w:p w14:paraId="11B2A9B4">
      <w:pPr>
        <w:spacing w:line="288" w:lineRule="auto"/>
        <w:rPr>
          <w:rFonts w:ascii="Arial" w:hAnsi="Arial" w:eastAsia="宋体" w:cs="Arial"/>
          <w:b/>
          <w:color w:val="auto"/>
          <w:szCs w:val="21"/>
          <w:highlight w:val="none"/>
        </w:rPr>
      </w:pPr>
      <w:r>
        <w:rPr>
          <w:rFonts w:ascii="Arial" w:hAnsi="Arial" w:eastAsia="宋体" w:cs="Arial"/>
          <w:b/>
          <w:color w:val="auto"/>
          <w:sz w:val="28"/>
          <w:szCs w:val="28"/>
          <w:highlight w:val="none"/>
        </w:rPr>
        <w:t>4. 供应商的法人或者其他组织营业执照等证明文件复印件（必须提供）</w:t>
      </w:r>
    </w:p>
    <w:p w14:paraId="28161679">
      <w:pPr>
        <w:tabs>
          <w:tab w:val="left" w:pos="1305"/>
        </w:tabs>
        <w:spacing w:line="288" w:lineRule="auto"/>
        <w:ind w:firstLine="420" w:firstLineChars="200"/>
        <w:rPr>
          <w:rFonts w:ascii="Arial" w:hAnsi="Arial" w:eastAsia="宋体" w:cs="Arial"/>
          <w:b/>
          <w:color w:val="auto"/>
          <w:sz w:val="32"/>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D1FE87F">
      <w:pPr>
        <w:pStyle w:val="14"/>
        <w:spacing w:line="288" w:lineRule="auto"/>
        <w:rPr>
          <w:rFonts w:ascii="Arial" w:hAnsi="Arial" w:eastAsia="宋体" w:cs="Arial"/>
          <w:b/>
          <w:color w:val="auto"/>
          <w:sz w:val="32"/>
          <w:highlight w:val="none"/>
        </w:rPr>
      </w:pPr>
    </w:p>
    <w:p w14:paraId="7CFFF37A">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5.供应商</w:t>
      </w:r>
      <w:r>
        <w:rPr>
          <w:rFonts w:hint="eastAsia" w:ascii="Arial" w:hAnsi="Arial" w:eastAsia="宋体" w:cs="Arial"/>
          <w:b/>
          <w:color w:val="auto"/>
          <w:sz w:val="28"/>
          <w:szCs w:val="28"/>
          <w:highlight w:val="none"/>
        </w:rPr>
        <w:t>2023年</w:t>
      </w:r>
      <w:r>
        <w:rPr>
          <w:rFonts w:ascii="Arial" w:hAnsi="Arial" w:eastAsia="宋体" w:cs="Arial"/>
          <w:b/>
          <w:color w:val="auto"/>
          <w:sz w:val="28"/>
          <w:szCs w:val="28"/>
          <w:highlight w:val="none"/>
        </w:rPr>
        <w:t xml:space="preserve">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14:paraId="0A19F96C">
      <w:pPr>
        <w:pStyle w:val="14"/>
        <w:spacing w:line="288" w:lineRule="auto"/>
        <w:rPr>
          <w:rFonts w:ascii="Arial" w:hAnsi="Arial" w:eastAsia="宋体" w:cs="Arial"/>
          <w:color w:val="auto"/>
          <w:szCs w:val="21"/>
          <w:highlight w:val="none"/>
        </w:rPr>
      </w:pPr>
    </w:p>
    <w:p w14:paraId="37778A78">
      <w:pPr>
        <w:pStyle w:val="14"/>
        <w:spacing w:line="288" w:lineRule="auto"/>
        <w:rPr>
          <w:rFonts w:ascii="Arial" w:hAnsi="Arial" w:eastAsia="宋体" w:cs="Arial"/>
          <w:color w:val="auto"/>
          <w:szCs w:val="21"/>
          <w:highlight w:val="none"/>
        </w:rPr>
      </w:pPr>
    </w:p>
    <w:p w14:paraId="2FC67429">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14:paraId="0860A33E">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5C6485A7">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7.供应商至响应文件递交截止时间前6个月内，任意1个月依法缴纳社会保障资金的相关材料复印件（必须提供）</w:t>
      </w:r>
    </w:p>
    <w:p w14:paraId="252EBCCE">
      <w:pPr>
        <w:pStyle w:val="14"/>
        <w:spacing w:line="288" w:lineRule="auto"/>
        <w:rPr>
          <w:rFonts w:ascii="Arial" w:hAnsi="Arial" w:eastAsia="宋体" w:cs="Arial"/>
          <w:b/>
          <w:color w:val="auto"/>
          <w:sz w:val="28"/>
          <w:szCs w:val="28"/>
          <w:highlight w:val="none"/>
        </w:rPr>
      </w:pPr>
    </w:p>
    <w:p w14:paraId="6E6954A0">
      <w:pPr>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8.供应商参加采购活动前3年内在经营活动中没有重大违法记录</w:t>
      </w:r>
      <w:r>
        <w:rPr>
          <w:rFonts w:ascii="Arial" w:hAnsi="Arial" w:eastAsia="宋体" w:cs="Arial"/>
          <w:b/>
          <w:color w:val="auto"/>
          <w:sz w:val="32"/>
          <w:szCs w:val="32"/>
          <w:highlight w:val="none"/>
        </w:rPr>
        <w:t>及</w:t>
      </w:r>
      <w:r>
        <w:rPr>
          <w:rFonts w:ascii="Arial" w:hAnsi="Arial" w:eastAsia="宋体" w:cs="Arial"/>
          <w:b/>
          <w:color w:val="auto"/>
          <w:sz w:val="28"/>
          <w:szCs w:val="28"/>
          <w:highlight w:val="none"/>
        </w:rPr>
        <w:t>有关信用信息的书面声明（必须提供）</w:t>
      </w:r>
    </w:p>
    <w:p w14:paraId="6A19350F">
      <w:pPr>
        <w:pStyle w:val="14"/>
        <w:spacing w:line="288" w:lineRule="auto"/>
        <w:ind w:left="420" w:leftChars="200" w:firstLine="156" w:firstLineChars="49"/>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w:t>
      </w:r>
    </w:p>
    <w:p w14:paraId="06EAB00D">
      <w:pPr>
        <w:pStyle w:val="14"/>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附件：</w:t>
      </w:r>
    </w:p>
    <w:p w14:paraId="45A63FB5">
      <w:pPr>
        <w:pStyle w:val="14"/>
        <w:spacing w:line="288" w:lineRule="auto"/>
        <w:rPr>
          <w:rFonts w:ascii="Arial" w:hAnsi="Arial" w:eastAsia="宋体" w:cs="Arial"/>
          <w:b/>
          <w:color w:val="auto"/>
          <w:sz w:val="32"/>
          <w:szCs w:val="32"/>
          <w:highlight w:val="none"/>
        </w:rPr>
      </w:pPr>
    </w:p>
    <w:p w14:paraId="4674DAA1">
      <w:pPr>
        <w:pStyle w:val="14"/>
        <w:spacing w:line="288" w:lineRule="auto"/>
        <w:rPr>
          <w:rFonts w:ascii="Arial" w:hAnsi="Arial" w:eastAsia="宋体" w:cs="Arial"/>
          <w:b/>
          <w:color w:val="auto"/>
          <w:sz w:val="32"/>
          <w:szCs w:val="32"/>
          <w:highlight w:val="none"/>
        </w:rPr>
      </w:pPr>
    </w:p>
    <w:p w14:paraId="3F2CB453">
      <w:pPr>
        <w:pStyle w:val="14"/>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声   明（格式）</w:t>
      </w:r>
    </w:p>
    <w:p w14:paraId="2E100648">
      <w:pPr>
        <w:snapToGrid w:val="0"/>
        <w:spacing w:line="288" w:lineRule="auto"/>
        <w:rPr>
          <w:rFonts w:hint="eastAsia" w:ascii="Arial" w:hAnsi="Arial" w:eastAsia="宋体" w:cs="Arial"/>
          <w:color w:val="auto"/>
          <w:highlight w:val="none"/>
          <w:lang w:eastAsia="zh-CN"/>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lang w:eastAsia="zh-CN"/>
        </w:rPr>
        <w:t>广西机电设备招标有限公司</w:t>
      </w:r>
    </w:p>
    <w:p w14:paraId="13EE29C8">
      <w:pPr>
        <w:snapToGrid w:val="0"/>
        <w:spacing w:line="288" w:lineRule="auto"/>
        <w:rPr>
          <w:rFonts w:ascii="Arial" w:hAnsi="Arial" w:eastAsia="宋体" w:cs="Arial"/>
          <w:color w:val="auto"/>
          <w:szCs w:val="21"/>
          <w:highlight w:val="none"/>
          <w:u w:val="single"/>
        </w:rPr>
      </w:pPr>
    </w:p>
    <w:p w14:paraId="4AFBC757">
      <w:pPr>
        <w:pStyle w:val="14"/>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0E1754">
      <w:pPr>
        <w:snapToGrid w:val="0"/>
        <w:spacing w:line="288" w:lineRule="auto"/>
        <w:rPr>
          <w:rFonts w:ascii="Arial" w:hAnsi="Arial" w:eastAsia="宋体" w:cs="Arial"/>
          <w:color w:val="auto"/>
          <w:szCs w:val="21"/>
          <w:highlight w:val="none"/>
        </w:rPr>
      </w:pPr>
    </w:p>
    <w:p w14:paraId="1F00D7EA">
      <w:pPr>
        <w:snapToGrid w:val="0"/>
        <w:spacing w:line="288" w:lineRule="auto"/>
        <w:ind w:firstLine="4935" w:firstLineChars="2350"/>
        <w:rPr>
          <w:rFonts w:ascii="Arial" w:hAnsi="Arial" w:eastAsia="宋体" w:cs="Arial"/>
          <w:color w:val="auto"/>
          <w:szCs w:val="21"/>
          <w:highlight w:val="none"/>
        </w:rPr>
      </w:pPr>
    </w:p>
    <w:p w14:paraId="37AC78BA">
      <w:pPr>
        <w:snapToGrid w:val="0"/>
        <w:spacing w:line="288" w:lineRule="auto"/>
        <w:ind w:firstLine="4935" w:firstLineChars="2350"/>
        <w:rPr>
          <w:rFonts w:ascii="Arial" w:hAnsi="Arial" w:eastAsia="宋体" w:cs="Arial"/>
          <w:color w:val="auto"/>
          <w:szCs w:val="21"/>
          <w:highlight w:val="none"/>
        </w:rPr>
      </w:pPr>
    </w:p>
    <w:p w14:paraId="4176869A">
      <w:pPr>
        <w:snapToGrid w:val="0"/>
        <w:spacing w:line="288" w:lineRule="auto"/>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29828E62">
      <w:pPr>
        <w:pStyle w:val="14"/>
        <w:spacing w:line="288" w:lineRule="auto"/>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36EEF83C">
      <w:pPr>
        <w:pStyle w:val="14"/>
        <w:spacing w:line="288" w:lineRule="auto"/>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6025BAEA">
      <w:pPr>
        <w:spacing w:line="288" w:lineRule="auto"/>
        <w:rPr>
          <w:rFonts w:ascii="Arial" w:hAnsi="Arial" w:eastAsia="宋体" w:cs="Arial"/>
          <w:b/>
          <w:bCs/>
          <w:color w:val="auto"/>
          <w:highlight w:val="none"/>
        </w:rPr>
      </w:pPr>
      <w:r>
        <w:rPr>
          <w:rFonts w:ascii="Arial" w:hAnsi="Arial" w:eastAsia="宋体" w:cs="Arial"/>
          <w:b/>
          <w:bCs/>
          <w:color w:val="auto"/>
          <w:highlight w:val="none"/>
        </w:rPr>
        <w:br w:type="page"/>
      </w:r>
    </w:p>
    <w:p w14:paraId="68458A68">
      <w:pPr>
        <w:pStyle w:val="14"/>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9.供应商股东及出资信息表（必须提供）</w:t>
      </w:r>
    </w:p>
    <w:p w14:paraId="5955F183">
      <w:pPr>
        <w:snapToGrid w:val="0"/>
        <w:spacing w:before="165" w:beforeLines="50" w:after="50" w:line="288" w:lineRule="auto"/>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供应商直接控股股东信息表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76"/>
        <w:gridCol w:w="1199"/>
        <w:gridCol w:w="3271"/>
        <w:gridCol w:w="1884"/>
      </w:tblGrid>
      <w:tr w14:paraId="09C6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7" w:type="dxa"/>
          </w:tcPr>
          <w:p w14:paraId="5249F7D2">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序号</w:t>
            </w:r>
          </w:p>
        </w:tc>
        <w:tc>
          <w:tcPr>
            <w:tcW w:w="2076" w:type="dxa"/>
          </w:tcPr>
          <w:p w14:paraId="4A5DB3CB">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直接控股股东名称</w:t>
            </w:r>
          </w:p>
        </w:tc>
        <w:tc>
          <w:tcPr>
            <w:tcW w:w="1199" w:type="dxa"/>
          </w:tcPr>
          <w:p w14:paraId="53AB985A">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出资比例</w:t>
            </w:r>
          </w:p>
        </w:tc>
        <w:tc>
          <w:tcPr>
            <w:tcW w:w="3271" w:type="dxa"/>
          </w:tcPr>
          <w:p w14:paraId="56C7A90E">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身份证号码或统一社会信用代码</w:t>
            </w:r>
          </w:p>
        </w:tc>
        <w:tc>
          <w:tcPr>
            <w:tcW w:w="1884" w:type="dxa"/>
          </w:tcPr>
          <w:p w14:paraId="7E5BA39B">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备注</w:t>
            </w:r>
          </w:p>
        </w:tc>
      </w:tr>
      <w:tr w14:paraId="445F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2EC47F4F">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1</w:t>
            </w:r>
          </w:p>
        </w:tc>
        <w:tc>
          <w:tcPr>
            <w:tcW w:w="2076" w:type="dxa"/>
          </w:tcPr>
          <w:p w14:paraId="517D4817">
            <w:pPr>
              <w:snapToGrid w:val="0"/>
              <w:spacing w:before="165" w:beforeLines="50" w:after="50" w:line="288" w:lineRule="auto"/>
              <w:rPr>
                <w:rFonts w:ascii="Arial" w:hAnsi="Arial" w:eastAsia="宋体" w:cs="Arial"/>
                <w:color w:val="auto"/>
                <w:highlight w:val="none"/>
              </w:rPr>
            </w:pPr>
          </w:p>
        </w:tc>
        <w:tc>
          <w:tcPr>
            <w:tcW w:w="1199" w:type="dxa"/>
          </w:tcPr>
          <w:p w14:paraId="7EDE338D">
            <w:pPr>
              <w:snapToGrid w:val="0"/>
              <w:spacing w:before="165" w:beforeLines="50" w:after="50" w:line="288" w:lineRule="auto"/>
              <w:rPr>
                <w:rFonts w:ascii="Arial" w:hAnsi="Arial" w:eastAsia="宋体" w:cs="Arial"/>
                <w:color w:val="auto"/>
                <w:highlight w:val="none"/>
              </w:rPr>
            </w:pPr>
          </w:p>
        </w:tc>
        <w:tc>
          <w:tcPr>
            <w:tcW w:w="3271" w:type="dxa"/>
          </w:tcPr>
          <w:p w14:paraId="6D46410F">
            <w:pPr>
              <w:snapToGrid w:val="0"/>
              <w:spacing w:before="165" w:beforeLines="50" w:after="50" w:line="288" w:lineRule="auto"/>
              <w:rPr>
                <w:rFonts w:ascii="Arial" w:hAnsi="Arial" w:eastAsia="宋体" w:cs="Arial"/>
                <w:color w:val="auto"/>
                <w:highlight w:val="none"/>
              </w:rPr>
            </w:pPr>
          </w:p>
        </w:tc>
        <w:tc>
          <w:tcPr>
            <w:tcW w:w="1884" w:type="dxa"/>
          </w:tcPr>
          <w:p w14:paraId="5224A506">
            <w:pPr>
              <w:snapToGrid w:val="0"/>
              <w:spacing w:before="165" w:beforeLines="50" w:after="50" w:line="288" w:lineRule="auto"/>
              <w:rPr>
                <w:rFonts w:ascii="Arial" w:hAnsi="Arial" w:eastAsia="宋体" w:cs="Arial"/>
                <w:color w:val="auto"/>
                <w:highlight w:val="none"/>
              </w:rPr>
            </w:pPr>
          </w:p>
        </w:tc>
      </w:tr>
      <w:tr w14:paraId="4AA2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0A7826EB">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2</w:t>
            </w:r>
          </w:p>
        </w:tc>
        <w:tc>
          <w:tcPr>
            <w:tcW w:w="2076" w:type="dxa"/>
          </w:tcPr>
          <w:p w14:paraId="48439701">
            <w:pPr>
              <w:snapToGrid w:val="0"/>
              <w:spacing w:before="165" w:beforeLines="50" w:after="50" w:line="288" w:lineRule="auto"/>
              <w:rPr>
                <w:rFonts w:ascii="Arial" w:hAnsi="Arial" w:eastAsia="宋体" w:cs="Arial"/>
                <w:color w:val="auto"/>
                <w:highlight w:val="none"/>
              </w:rPr>
            </w:pPr>
          </w:p>
        </w:tc>
        <w:tc>
          <w:tcPr>
            <w:tcW w:w="1199" w:type="dxa"/>
          </w:tcPr>
          <w:p w14:paraId="0544FB97">
            <w:pPr>
              <w:snapToGrid w:val="0"/>
              <w:spacing w:before="165" w:beforeLines="50" w:after="50" w:line="288" w:lineRule="auto"/>
              <w:rPr>
                <w:rFonts w:ascii="Arial" w:hAnsi="Arial" w:eastAsia="宋体" w:cs="Arial"/>
                <w:color w:val="auto"/>
                <w:highlight w:val="none"/>
              </w:rPr>
            </w:pPr>
          </w:p>
        </w:tc>
        <w:tc>
          <w:tcPr>
            <w:tcW w:w="3271" w:type="dxa"/>
          </w:tcPr>
          <w:p w14:paraId="29FC2009">
            <w:pPr>
              <w:snapToGrid w:val="0"/>
              <w:spacing w:before="165" w:beforeLines="50" w:after="50" w:line="288" w:lineRule="auto"/>
              <w:rPr>
                <w:rFonts w:ascii="Arial" w:hAnsi="Arial" w:eastAsia="宋体" w:cs="Arial"/>
                <w:color w:val="auto"/>
                <w:highlight w:val="none"/>
              </w:rPr>
            </w:pPr>
          </w:p>
        </w:tc>
        <w:tc>
          <w:tcPr>
            <w:tcW w:w="1884" w:type="dxa"/>
          </w:tcPr>
          <w:p w14:paraId="31E6915F">
            <w:pPr>
              <w:snapToGrid w:val="0"/>
              <w:spacing w:before="165" w:beforeLines="50" w:after="50" w:line="288" w:lineRule="auto"/>
              <w:rPr>
                <w:rFonts w:ascii="Arial" w:hAnsi="Arial" w:eastAsia="宋体" w:cs="Arial"/>
                <w:color w:val="auto"/>
                <w:highlight w:val="none"/>
              </w:rPr>
            </w:pPr>
          </w:p>
        </w:tc>
      </w:tr>
      <w:tr w14:paraId="79D2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1CB6C9B8">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3</w:t>
            </w:r>
          </w:p>
        </w:tc>
        <w:tc>
          <w:tcPr>
            <w:tcW w:w="2076" w:type="dxa"/>
          </w:tcPr>
          <w:p w14:paraId="4D5EFD9D">
            <w:pPr>
              <w:snapToGrid w:val="0"/>
              <w:spacing w:before="165" w:beforeLines="50" w:after="50" w:line="288" w:lineRule="auto"/>
              <w:rPr>
                <w:rFonts w:ascii="Arial" w:hAnsi="Arial" w:eastAsia="宋体" w:cs="Arial"/>
                <w:color w:val="auto"/>
                <w:highlight w:val="none"/>
              </w:rPr>
            </w:pPr>
          </w:p>
        </w:tc>
        <w:tc>
          <w:tcPr>
            <w:tcW w:w="1199" w:type="dxa"/>
          </w:tcPr>
          <w:p w14:paraId="72CC5843">
            <w:pPr>
              <w:snapToGrid w:val="0"/>
              <w:spacing w:before="165" w:beforeLines="50" w:after="50" w:line="288" w:lineRule="auto"/>
              <w:rPr>
                <w:rFonts w:ascii="Arial" w:hAnsi="Arial" w:eastAsia="宋体" w:cs="Arial"/>
                <w:color w:val="auto"/>
                <w:highlight w:val="none"/>
              </w:rPr>
            </w:pPr>
          </w:p>
        </w:tc>
        <w:tc>
          <w:tcPr>
            <w:tcW w:w="3271" w:type="dxa"/>
          </w:tcPr>
          <w:p w14:paraId="68411709">
            <w:pPr>
              <w:snapToGrid w:val="0"/>
              <w:spacing w:before="165" w:beforeLines="50" w:after="50" w:line="288" w:lineRule="auto"/>
              <w:rPr>
                <w:rFonts w:ascii="Arial" w:hAnsi="Arial" w:eastAsia="宋体" w:cs="Arial"/>
                <w:color w:val="auto"/>
                <w:highlight w:val="none"/>
              </w:rPr>
            </w:pPr>
          </w:p>
        </w:tc>
        <w:tc>
          <w:tcPr>
            <w:tcW w:w="1884" w:type="dxa"/>
          </w:tcPr>
          <w:p w14:paraId="683910A6">
            <w:pPr>
              <w:snapToGrid w:val="0"/>
              <w:spacing w:before="165" w:beforeLines="50" w:after="50" w:line="288" w:lineRule="auto"/>
              <w:rPr>
                <w:rFonts w:ascii="Arial" w:hAnsi="Arial" w:eastAsia="宋体" w:cs="Arial"/>
                <w:color w:val="auto"/>
                <w:highlight w:val="none"/>
              </w:rPr>
            </w:pPr>
          </w:p>
        </w:tc>
      </w:tr>
      <w:tr w14:paraId="7BA8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083B1980">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w:t>
            </w:r>
          </w:p>
        </w:tc>
        <w:tc>
          <w:tcPr>
            <w:tcW w:w="2076" w:type="dxa"/>
          </w:tcPr>
          <w:p w14:paraId="43B010DA">
            <w:pPr>
              <w:snapToGrid w:val="0"/>
              <w:spacing w:before="165" w:beforeLines="50" w:after="50" w:line="288" w:lineRule="auto"/>
              <w:rPr>
                <w:rFonts w:ascii="Arial" w:hAnsi="Arial" w:eastAsia="宋体" w:cs="Arial"/>
                <w:color w:val="auto"/>
                <w:highlight w:val="none"/>
              </w:rPr>
            </w:pPr>
          </w:p>
        </w:tc>
        <w:tc>
          <w:tcPr>
            <w:tcW w:w="1199" w:type="dxa"/>
          </w:tcPr>
          <w:p w14:paraId="508701AF">
            <w:pPr>
              <w:snapToGrid w:val="0"/>
              <w:spacing w:before="165" w:beforeLines="50" w:after="50" w:line="288" w:lineRule="auto"/>
              <w:rPr>
                <w:rFonts w:ascii="Arial" w:hAnsi="Arial" w:eastAsia="宋体" w:cs="Arial"/>
                <w:color w:val="auto"/>
                <w:highlight w:val="none"/>
              </w:rPr>
            </w:pPr>
          </w:p>
        </w:tc>
        <w:tc>
          <w:tcPr>
            <w:tcW w:w="3271" w:type="dxa"/>
          </w:tcPr>
          <w:p w14:paraId="117ED1C6">
            <w:pPr>
              <w:snapToGrid w:val="0"/>
              <w:spacing w:before="165" w:beforeLines="50" w:after="50" w:line="288" w:lineRule="auto"/>
              <w:rPr>
                <w:rFonts w:ascii="Arial" w:hAnsi="Arial" w:eastAsia="宋体" w:cs="Arial"/>
                <w:color w:val="auto"/>
                <w:highlight w:val="none"/>
              </w:rPr>
            </w:pPr>
          </w:p>
        </w:tc>
        <w:tc>
          <w:tcPr>
            <w:tcW w:w="1884" w:type="dxa"/>
          </w:tcPr>
          <w:p w14:paraId="7B88B77C">
            <w:pPr>
              <w:snapToGrid w:val="0"/>
              <w:spacing w:before="165" w:beforeLines="50" w:after="50" w:line="288" w:lineRule="auto"/>
              <w:rPr>
                <w:rFonts w:ascii="Arial" w:hAnsi="Arial" w:eastAsia="宋体" w:cs="Arial"/>
                <w:color w:val="auto"/>
                <w:highlight w:val="none"/>
              </w:rPr>
            </w:pPr>
          </w:p>
        </w:tc>
      </w:tr>
    </w:tbl>
    <w:p w14:paraId="33F9AB43">
      <w:pPr>
        <w:widowControl/>
        <w:spacing w:line="288" w:lineRule="auto"/>
        <w:jc w:val="left"/>
        <w:rPr>
          <w:rFonts w:ascii="Arial" w:hAnsi="Arial" w:eastAsia="宋体" w:cs="Arial"/>
          <w:color w:val="auto"/>
          <w:highlight w:val="none"/>
        </w:rPr>
      </w:pPr>
      <w:r>
        <w:rPr>
          <w:rFonts w:ascii="Arial" w:hAnsi="Arial" w:eastAsia="宋体" w:cs="Arial"/>
          <w:color w:val="auto"/>
          <w:kern w:val="0"/>
          <w:szCs w:val="21"/>
          <w:highlight w:val="none"/>
        </w:rPr>
        <w:t>注：</w:t>
      </w:r>
    </w:p>
    <w:p w14:paraId="7F853CEF">
      <w:pPr>
        <w:keepNext w:val="0"/>
        <w:keepLines w:val="0"/>
        <w:pageBreakBefore w:val="0"/>
        <w:widowControl/>
        <w:kinsoku/>
        <w:wordWrap/>
        <w:overflowPunct/>
        <w:topLinePunct w:val="0"/>
        <w:autoSpaceDE/>
        <w:autoSpaceDN/>
        <w:bidi w:val="0"/>
        <w:adjustRightInd/>
        <w:snapToGrid w:val="0"/>
        <w:spacing w:after="0" w:line="288" w:lineRule="auto"/>
        <w:jc w:val="left"/>
        <w:textAlignment w:val="auto"/>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1.直接控股股东：是指其出资额占有限责任公司资本总额百分之五十以上或者其持有的股份占股份有限 </w:t>
      </w:r>
    </w:p>
    <w:p w14:paraId="42DF0FEE">
      <w:pPr>
        <w:keepNext w:val="0"/>
        <w:keepLines w:val="0"/>
        <w:pageBreakBefore w:val="0"/>
        <w:widowControl/>
        <w:kinsoku/>
        <w:wordWrap/>
        <w:overflowPunct/>
        <w:topLinePunct w:val="0"/>
        <w:autoSpaceDE/>
        <w:autoSpaceDN/>
        <w:bidi w:val="0"/>
        <w:adjustRightInd/>
        <w:snapToGrid w:val="0"/>
        <w:spacing w:after="0" w:line="288" w:lineRule="auto"/>
        <w:jc w:val="left"/>
        <w:textAlignment w:val="auto"/>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公司股份总额百分之五十以上的股东；出资额或者持有股份的比例虽然不足百分之五十，但依其出资额 </w:t>
      </w:r>
    </w:p>
    <w:p w14:paraId="67E06E17">
      <w:pPr>
        <w:keepNext w:val="0"/>
        <w:keepLines w:val="0"/>
        <w:pageBreakBefore w:val="0"/>
        <w:widowControl/>
        <w:kinsoku/>
        <w:wordWrap/>
        <w:overflowPunct/>
        <w:topLinePunct w:val="0"/>
        <w:autoSpaceDE/>
        <w:autoSpaceDN/>
        <w:bidi w:val="0"/>
        <w:adjustRightInd/>
        <w:snapToGrid w:val="0"/>
        <w:spacing w:after="0" w:line="288" w:lineRule="auto"/>
        <w:jc w:val="left"/>
        <w:textAlignment w:val="auto"/>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或者持有的股份所享有的表决权已足以对股东会、股东大会的决议产生重大影响的股东。 </w:t>
      </w:r>
    </w:p>
    <w:p w14:paraId="5FD8FBC7">
      <w:pPr>
        <w:keepNext w:val="0"/>
        <w:keepLines w:val="0"/>
        <w:pageBreakBefore w:val="0"/>
        <w:widowControl/>
        <w:kinsoku/>
        <w:wordWrap/>
        <w:overflowPunct/>
        <w:topLinePunct w:val="0"/>
        <w:autoSpaceDE/>
        <w:autoSpaceDN/>
        <w:bidi w:val="0"/>
        <w:adjustRightInd/>
        <w:snapToGrid w:val="0"/>
        <w:spacing w:after="0" w:line="288" w:lineRule="auto"/>
        <w:jc w:val="left"/>
        <w:textAlignment w:val="auto"/>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2.本表所指的控股关系仅限于直接控股关系，不包括间接的控股关系。公司实际控制人与公司之间的关 </w:t>
      </w:r>
    </w:p>
    <w:p w14:paraId="33F81C88">
      <w:pPr>
        <w:keepNext w:val="0"/>
        <w:keepLines w:val="0"/>
        <w:pageBreakBefore w:val="0"/>
        <w:widowControl/>
        <w:kinsoku/>
        <w:wordWrap/>
        <w:overflowPunct/>
        <w:topLinePunct w:val="0"/>
        <w:autoSpaceDE/>
        <w:autoSpaceDN/>
        <w:bidi w:val="0"/>
        <w:adjustRightInd/>
        <w:snapToGrid w:val="0"/>
        <w:spacing w:after="0" w:line="288" w:lineRule="auto"/>
        <w:jc w:val="left"/>
        <w:textAlignment w:val="auto"/>
        <w:rPr>
          <w:rFonts w:ascii="Arial" w:hAnsi="Arial" w:eastAsia="宋体" w:cs="Arial"/>
          <w:color w:val="auto"/>
          <w:highlight w:val="none"/>
        </w:rPr>
      </w:pPr>
      <w:r>
        <w:rPr>
          <w:rFonts w:ascii="Arial" w:hAnsi="Arial" w:eastAsia="宋体" w:cs="Arial"/>
          <w:color w:val="auto"/>
          <w:kern w:val="0"/>
          <w:szCs w:val="21"/>
          <w:highlight w:val="none"/>
        </w:rPr>
        <w:t xml:space="preserve">系不属于本表所指的直接控股关系。 </w:t>
      </w:r>
    </w:p>
    <w:p w14:paraId="30830EEF">
      <w:pPr>
        <w:keepNext w:val="0"/>
        <w:keepLines w:val="0"/>
        <w:pageBreakBefore w:val="0"/>
        <w:kinsoku/>
        <w:wordWrap/>
        <w:overflowPunct/>
        <w:topLinePunct w:val="0"/>
        <w:autoSpaceDE/>
        <w:autoSpaceDN/>
        <w:bidi w:val="0"/>
        <w:adjustRightInd/>
        <w:snapToGrid w:val="0"/>
        <w:spacing w:after="0" w:line="288" w:lineRule="auto"/>
        <w:ind w:firstLine="1890" w:firstLineChars="900"/>
        <w:textAlignment w:val="auto"/>
        <w:rPr>
          <w:rFonts w:ascii="Arial" w:hAnsi="Arial" w:eastAsia="宋体" w:cs="Arial"/>
          <w:color w:val="auto"/>
          <w:highlight w:val="none"/>
        </w:rPr>
      </w:pPr>
      <w:r>
        <w:rPr>
          <w:rFonts w:ascii="Arial" w:hAnsi="Arial" w:eastAsia="宋体" w:cs="Arial"/>
          <w:color w:val="auto"/>
          <w:szCs w:val="21"/>
          <w:highlight w:val="none"/>
        </w:rPr>
        <w:t>供应商（公章）：</w:t>
      </w:r>
      <w:r>
        <w:rPr>
          <w:rFonts w:ascii="Arial" w:hAnsi="Arial" w:eastAsia="宋体" w:cs="Arial"/>
          <w:color w:val="auto"/>
          <w:szCs w:val="21"/>
          <w:highlight w:val="none"/>
          <w:u w:val="single"/>
        </w:rPr>
        <w:t xml:space="preserve">                                         </w:t>
      </w:r>
    </w:p>
    <w:p w14:paraId="22711B53">
      <w:pPr>
        <w:pStyle w:val="14"/>
        <w:keepNext w:val="0"/>
        <w:keepLines w:val="0"/>
        <w:pageBreakBefore w:val="0"/>
        <w:kinsoku/>
        <w:wordWrap/>
        <w:overflowPunct/>
        <w:topLinePunct w:val="0"/>
        <w:autoSpaceDE/>
        <w:autoSpaceDN/>
        <w:bidi w:val="0"/>
        <w:adjustRightInd/>
        <w:snapToGrid w:val="0"/>
        <w:spacing w:after="0" w:line="288" w:lineRule="auto"/>
        <w:ind w:firstLine="1890" w:firstLineChars="900"/>
        <w:textAlignment w:val="auto"/>
        <w:rPr>
          <w:rFonts w:ascii="Arial" w:hAnsi="Arial" w:eastAsia="宋体" w:cs="Arial"/>
          <w:color w:val="auto"/>
          <w:highlight w:val="none"/>
        </w:rPr>
      </w:pPr>
      <w:r>
        <w:rPr>
          <w:rFonts w:ascii="Arial" w:hAnsi="Arial" w:eastAsia="宋体" w:cs="Arial"/>
          <w:color w:val="auto"/>
          <w:highlight w:val="none"/>
        </w:rPr>
        <w:t>法定代表人、负责人或相应的委托代理人签字（或盖章）：</w:t>
      </w:r>
      <w:r>
        <w:rPr>
          <w:rFonts w:ascii="Arial" w:hAnsi="Arial" w:eastAsia="宋体" w:cs="Arial"/>
          <w:color w:val="auto"/>
          <w:szCs w:val="21"/>
          <w:highlight w:val="none"/>
          <w:u w:val="single"/>
        </w:rPr>
        <w:t xml:space="preserve">                    </w:t>
      </w:r>
    </w:p>
    <w:p w14:paraId="0F2431D3">
      <w:pPr>
        <w:pStyle w:val="14"/>
        <w:keepNext w:val="0"/>
        <w:keepLines w:val="0"/>
        <w:pageBreakBefore w:val="0"/>
        <w:kinsoku/>
        <w:wordWrap/>
        <w:overflowPunct/>
        <w:topLinePunct w:val="0"/>
        <w:autoSpaceDE/>
        <w:autoSpaceDN/>
        <w:bidi w:val="0"/>
        <w:adjustRightInd/>
        <w:snapToGrid w:val="0"/>
        <w:spacing w:after="0" w:line="288" w:lineRule="auto"/>
        <w:ind w:firstLine="1890" w:firstLineChars="900"/>
        <w:textAlignment w:val="auto"/>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r>
        <w:rPr>
          <w:rFonts w:ascii="Arial" w:hAnsi="Arial" w:eastAsia="宋体" w:cs="Arial"/>
          <w:color w:val="auto"/>
          <w:kern w:val="0"/>
          <w:szCs w:val="21"/>
          <w:highlight w:val="none"/>
        </w:rPr>
        <w:t xml:space="preserve"> </w:t>
      </w:r>
    </w:p>
    <w:p w14:paraId="79DF5648">
      <w:pPr>
        <w:snapToGrid w:val="0"/>
        <w:spacing w:before="165" w:beforeLines="50" w:after="50" w:line="288" w:lineRule="auto"/>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供应商直接管理关系信息表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24"/>
        <w:gridCol w:w="3661"/>
        <w:gridCol w:w="2109"/>
      </w:tblGrid>
      <w:tr w14:paraId="01A3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6D672F8E">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序号</w:t>
            </w:r>
          </w:p>
        </w:tc>
        <w:tc>
          <w:tcPr>
            <w:tcW w:w="2324" w:type="dxa"/>
          </w:tcPr>
          <w:p w14:paraId="642E0F4A">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直接管理关系单位名称</w:t>
            </w:r>
          </w:p>
        </w:tc>
        <w:tc>
          <w:tcPr>
            <w:tcW w:w="3661" w:type="dxa"/>
          </w:tcPr>
          <w:p w14:paraId="68C8DA12">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统一社会信用代码</w:t>
            </w:r>
          </w:p>
        </w:tc>
        <w:tc>
          <w:tcPr>
            <w:tcW w:w="2109" w:type="dxa"/>
          </w:tcPr>
          <w:p w14:paraId="5C5DA35D">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备注</w:t>
            </w:r>
          </w:p>
        </w:tc>
      </w:tr>
      <w:tr w14:paraId="204C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5E15E905">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1</w:t>
            </w:r>
          </w:p>
        </w:tc>
        <w:tc>
          <w:tcPr>
            <w:tcW w:w="2324" w:type="dxa"/>
          </w:tcPr>
          <w:p w14:paraId="0161EE71">
            <w:pPr>
              <w:snapToGrid w:val="0"/>
              <w:spacing w:before="165" w:beforeLines="50" w:after="50" w:line="288" w:lineRule="auto"/>
              <w:rPr>
                <w:rFonts w:ascii="Arial" w:hAnsi="Arial" w:eastAsia="宋体" w:cs="Arial"/>
                <w:color w:val="auto"/>
                <w:highlight w:val="none"/>
              </w:rPr>
            </w:pPr>
          </w:p>
        </w:tc>
        <w:tc>
          <w:tcPr>
            <w:tcW w:w="3661" w:type="dxa"/>
          </w:tcPr>
          <w:p w14:paraId="7C3ACFE2">
            <w:pPr>
              <w:snapToGrid w:val="0"/>
              <w:spacing w:before="165" w:beforeLines="50" w:after="50" w:line="288" w:lineRule="auto"/>
              <w:rPr>
                <w:rFonts w:ascii="Arial" w:hAnsi="Arial" w:eastAsia="宋体" w:cs="Arial"/>
                <w:color w:val="auto"/>
                <w:highlight w:val="none"/>
              </w:rPr>
            </w:pPr>
          </w:p>
        </w:tc>
        <w:tc>
          <w:tcPr>
            <w:tcW w:w="2109" w:type="dxa"/>
          </w:tcPr>
          <w:p w14:paraId="2010A597">
            <w:pPr>
              <w:snapToGrid w:val="0"/>
              <w:spacing w:before="165" w:beforeLines="50" w:after="50" w:line="288" w:lineRule="auto"/>
              <w:rPr>
                <w:rFonts w:ascii="Arial" w:hAnsi="Arial" w:eastAsia="宋体" w:cs="Arial"/>
                <w:color w:val="auto"/>
                <w:highlight w:val="none"/>
              </w:rPr>
            </w:pPr>
          </w:p>
        </w:tc>
      </w:tr>
      <w:tr w14:paraId="297A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52AA167C">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2</w:t>
            </w:r>
          </w:p>
        </w:tc>
        <w:tc>
          <w:tcPr>
            <w:tcW w:w="2324" w:type="dxa"/>
          </w:tcPr>
          <w:p w14:paraId="4FDB288A">
            <w:pPr>
              <w:snapToGrid w:val="0"/>
              <w:spacing w:before="165" w:beforeLines="50" w:after="50" w:line="288" w:lineRule="auto"/>
              <w:rPr>
                <w:rFonts w:ascii="Arial" w:hAnsi="Arial" w:eastAsia="宋体" w:cs="Arial"/>
                <w:color w:val="auto"/>
                <w:highlight w:val="none"/>
              </w:rPr>
            </w:pPr>
          </w:p>
        </w:tc>
        <w:tc>
          <w:tcPr>
            <w:tcW w:w="3661" w:type="dxa"/>
          </w:tcPr>
          <w:p w14:paraId="1D6C0C38">
            <w:pPr>
              <w:snapToGrid w:val="0"/>
              <w:spacing w:before="165" w:beforeLines="50" w:after="50" w:line="288" w:lineRule="auto"/>
              <w:rPr>
                <w:rFonts w:ascii="Arial" w:hAnsi="Arial" w:eastAsia="宋体" w:cs="Arial"/>
                <w:color w:val="auto"/>
                <w:highlight w:val="none"/>
              </w:rPr>
            </w:pPr>
          </w:p>
        </w:tc>
        <w:tc>
          <w:tcPr>
            <w:tcW w:w="2109" w:type="dxa"/>
          </w:tcPr>
          <w:p w14:paraId="6418A447">
            <w:pPr>
              <w:snapToGrid w:val="0"/>
              <w:spacing w:before="165" w:beforeLines="50" w:after="50" w:line="288" w:lineRule="auto"/>
              <w:rPr>
                <w:rFonts w:ascii="Arial" w:hAnsi="Arial" w:eastAsia="宋体" w:cs="Arial"/>
                <w:color w:val="auto"/>
                <w:highlight w:val="none"/>
              </w:rPr>
            </w:pPr>
          </w:p>
        </w:tc>
      </w:tr>
      <w:tr w14:paraId="4627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3C40E7CF">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3</w:t>
            </w:r>
          </w:p>
        </w:tc>
        <w:tc>
          <w:tcPr>
            <w:tcW w:w="2324" w:type="dxa"/>
          </w:tcPr>
          <w:p w14:paraId="4668385F">
            <w:pPr>
              <w:snapToGrid w:val="0"/>
              <w:spacing w:before="165" w:beforeLines="50" w:after="50" w:line="288" w:lineRule="auto"/>
              <w:rPr>
                <w:rFonts w:ascii="Arial" w:hAnsi="Arial" w:eastAsia="宋体" w:cs="Arial"/>
                <w:color w:val="auto"/>
                <w:highlight w:val="none"/>
              </w:rPr>
            </w:pPr>
          </w:p>
        </w:tc>
        <w:tc>
          <w:tcPr>
            <w:tcW w:w="3661" w:type="dxa"/>
          </w:tcPr>
          <w:p w14:paraId="482FB43C">
            <w:pPr>
              <w:snapToGrid w:val="0"/>
              <w:spacing w:before="165" w:beforeLines="50" w:after="50" w:line="288" w:lineRule="auto"/>
              <w:rPr>
                <w:rFonts w:ascii="Arial" w:hAnsi="Arial" w:eastAsia="宋体" w:cs="Arial"/>
                <w:color w:val="auto"/>
                <w:highlight w:val="none"/>
              </w:rPr>
            </w:pPr>
          </w:p>
        </w:tc>
        <w:tc>
          <w:tcPr>
            <w:tcW w:w="2109" w:type="dxa"/>
          </w:tcPr>
          <w:p w14:paraId="739868CF">
            <w:pPr>
              <w:snapToGrid w:val="0"/>
              <w:spacing w:before="165" w:beforeLines="50" w:after="50" w:line="288" w:lineRule="auto"/>
              <w:rPr>
                <w:rFonts w:ascii="Arial" w:hAnsi="Arial" w:eastAsia="宋体" w:cs="Arial"/>
                <w:color w:val="auto"/>
                <w:highlight w:val="none"/>
              </w:rPr>
            </w:pPr>
          </w:p>
        </w:tc>
      </w:tr>
      <w:tr w14:paraId="3071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3666171A">
            <w:pPr>
              <w:snapToGrid w:val="0"/>
              <w:spacing w:before="165" w:beforeLines="50" w:after="50" w:line="288" w:lineRule="auto"/>
              <w:jc w:val="center"/>
              <w:rPr>
                <w:rFonts w:ascii="Arial" w:hAnsi="Arial" w:eastAsia="宋体" w:cs="Arial"/>
                <w:color w:val="auto"/>
                <w:highlight w:val="none"/>
              </w:rPr>
            </w:pPr>
            <w:r>
              <w:rPr>
                <w:rFonts w:ascii="Arial" w:hAnsi="Arial" w:eastAsia="宋体" w:cs="Arial"/>
                <w:color w:val="auto"/>
                <w:highlight w:val="none"/>
              </w:rPr>
              <w:t>......</w:t>
            </w:r>
          </w:p>
        </w:tc>
        <w:tc>
          <w:tcPr>
            <w:tcW w:w="2324" w:type="dxa"/>
          </w:tcPr>
          <w:p w14:paraId="36DDCCC6">
            <w:pPr>
              <w:snapToGrid w:val="0"/>
              <w:spacing w:before="165" w:beforeLines="50" w:after="50" w:line="288" w:lineRule="auto"/>
              <w:rPr>
                <w:rFonts w:ascii="Arial" w:hAnsi="Arial" w:eastAsia="宋体" w:cs="Arial"/>
                <w:color w:val="auto"/>
                <w:highlight w:val="none"/>
              </w:rPr>
            </w:pPr>
          </w:p>
        </w:tc>
        <w:tc>
          <w:tcPr>
            <w:tcW w:w="3661" w:type="dxa"/>
          </w:tcPr>
          <w:p w14:paraId="5232E5FB">
            <w:pPr>
              <w:snapToGrid w:val="0"/>
              <w:spacing w:before="165" w:beforeLines="50" w:after="50" w:line="288" w:lineRule="auto"/>
              <w:rPr>
                <w:rFonts w:ascii="Arial" w:hAnsi="Arial" w:eastAsia="宋体" w:cs="Arial"/>
                <w:color w:val="auto"/>
                <w:highlight w:val="none"/>
              </w:rPr>
            </w:pPr>
          </w:p>
        </w:tc>
        <w:tc>
          <w:tcPr>
            <w:tcW w:w="2109" w:type="dxa"/>
          </w:tcPr>
          <w:p w14:paraId="61185234">
            <w:pPr>
              <w:snapToGrid w:val="0"/>
              <w:spacing w:before="165" w:beforeLines="50" w:after="50" w:line="288" w:lineRule="auto"/>
              <w:rPr>
                <w:rFonts w:ascii="Arial" w:hAnsi="Arial" w:eastAsia="宋体" w:cs="Arial"/>
                <w:color w:val="auto"/>
                <w:highlight w:val="none"/>
              </w:rPr>
            </w:pPr>
          </w:p>
        </w:tc>
      </w:tr>
    </w:tbl>
    <w:p w14:paraId="5C0C33E1">
      <w:pPr>
        <w:keepNext w:val="0"/>
        <w:keepLines w:val="0"/>
        <w:pageBreakBefore w:val="0"/>
        <w:widowControl/>
        <w:kinsoku/>
        <w:wordWrap/>
        <w:overflowPunct/>
        <w:topLinePunct w:val="0"/>
        <w:autoSpaceDE/>
        <w:autoSpaceDN/>
        <w:bidi w:val="0"/>
        <w:adjustRightInd/>
        <w:snapToGrid w:val="0"/>
        <w:spacing w:after="0" w:line="288" w:lineRule="auto"/>
        <w:jc w:val="left"/>
        <w:textAlignment w:val="auto"/>
        <w:rPr>
          <w:rFonts w:ascii="Arial" w:hAnsi="Arial" w:eastAsia="宋体" w:cs="Arial"/>
          <w:color w:val="auto"/>
          <w:kern w:val="0"/>
          <w:szCs w:val="21"/>
          <w:highlight w:val="none"/>
        </w:rPr>
      </w:pPr>
      <w:r>
        <w:rPr>
          <w:rFonts w:ascii="Arial" w:hAnsi="Arial" w:eastAsia="宋体" w:cs="Arial"/>
          <w:color w:val="auto"/>
          <w:kern w:val="0"/>
          <w:szCs w:val="21"/>
          <w:highlight w:val="none"/>
        </w:rPr>
        <w:t>注：1.管理关系：是指不具有出资持股关系的其他单位之间存在的管理与被管理关系，如一些上下级关系的事业单位和团体组织。</w:t>
      </w:r>
    </w:p>
    <w:p w14:paraId="44DBC122">
      <w:pPr>
        <w:keepNext w:val="0"/>
        <w:keepLines w:val="0"/>
        <w:pageBreakBefore w:val="0"/>
        <w:widowControl/>
        <w:kinsoku/>
        <w:wordWrap/>
        <w:overflowPunct/>
        <w:topLinePunct w:val="0"/>
        <w:autoSpaceDE/>
        <w:autoSpaceDN/>
        <w:bidi w:val="0"/>
        <w:adjustRightInd/>
        <w:snapToGrid w:val="0"/>
        <w:spacing w:after="0" w:line="288" w:lineRule="auto"/>
        <w:jc w:val="left"/>
        <w:textAlignment w:val="auto"/>
        <w:rPr>
          <w:rFonts w:ascii="Arial" w:hAnsi="Arial" w:eastAsia="宋体" w:cs="Arial"/>
          <w:color w:val="auto"/>
          <w:kern w:val="0"/>
          <w:szCs w:val="21"/>
          <w:highlight w:val="none"/>
        </w:rPr>
      </w:pPr>
      <w:r>
        <w:rPr>
          <w:rFonts w:ascii="Arial" w:hAnsi="Arial" w:eastAsia="宋体" w:cs="Arial"/>
          <w:color w:val="auto"/>
          <w:kern w:val="0"/>
          <w:szCs w:val="21"/>
          <w:highlight w:val="none"/>
        </w:rPr>
        <w:t>2.本表所指的管理关系仅限于直接管理关系，不包括间接的管理关系。</w:t>
      </w:r>
    </w:p>
    <w:p w14:paraId="1F849653">
      <w:pPr>
        <w:keepNext w:val="0"/>
        <w:keepLines w:val="0"/>
        <w:pageBreakBefore w:val="0"/>
        <w:kinsoku/>
        <w:wordWrap/>
        <w:overflowPunct/>
        <w:topLinePunct w:val="0"/>
        <w:autoSpaceDE/>
        <w:autoSpaceDN/>
        <w:bidi w:val="0"/>
        <w:adjustRightInd/>
        <w:snapToGrid w:val="0"/>
        <w:spacing w:after="0" w:line="288" w:lineRule="auto"/>
        <w:ind w:firstLine="1890" w:firstLineChars="900"/>
        <w:textAlignment w:val="auto"/>
        <w:rPr>
          <w:rFonts w:ascii="Arial" w:hAnsi="Arial" w:eastAsia="宋体" w:cs="Arial"/>
          <w:color w:val="auto"/>
          <w:highlight w:val="none"/>
        </w:rPr>
      </w:pPr>
      <w:r>
        <w:rPr>
          <w:rFonts w:ascii="Arial" w:hAnsi="Arial" w:eastAsia="宋体" w:cs="Arial"/>
          <w:color w:val="auto"/>
          <w:szCs w:val="21"/>
          <w:highlight w:val="none"/>
        </w:rPr>
        <w:t>供应商（公章）：</w:t>
      </w:r>
      <w:r>
        <w:rPr>
          <w:rFonts w:ascii="Arial" w:hAnsi="Arial" w:eastAsia="宋体" w:cs="Arial"/>
          <w:color w:val="auto"/>
          <w:szCs w:val="21"/>
          <w:highlight w:val="none"/>
          <w:u w:val="single"/>
        </w:rPr>
        <w:t xml:space="preserve">                                        </w:t>
      </w:r>
    </w:p>
    <w:p w14:paraId="48B47066">
      <w:pPr>
        <w:pStyle w:val="14"/>
        <w:keepNext w:val="0"/>
        <w:keepLines w:val="0"/>
        <w:pageBreakBefore w:val="0"/>
        <w:kinsoku/>
        <w:wordWrap/>
        <w:overflowPunct/>
        <w:topLinePunct w:val="0"/>
        <w:autoSpaceDE/>
        <w:autoSpaceDN/>
        <w:bidi w:val="0"/>
        <w:adjustRightInd/>
        <w:snapToGrid w:val="0"/>
        <w:spacing w:after="0" w:line="288" w:lineRule="auto"/>
        <w:ind w:firstLine="1890" w:firstLineChars="900"/>
        <w:textAlignment w:val="auto"/>
        <w:rPr>
          <w:rFonts w:ascii="Arial" w:hAnsi="Arial" w:eastAsia="宋体" w:cs="Arial"/>
          <w:color w:val="auto"/>
          <w:highlight w:val="none"/>
        </w:rPr>
      </w:pPr>
      <w:r>
        <w:rPr>
          <w:rFonts w:ascii="Arial" w:hAnsi="Arial" w:eastAsia="宋体" w:cs="Arial"/>
          <w:color w:val="auto"/>
          <w:highlight w:val="none"/>
        </w:rPr>
        <w:t>法定代表人、负责人或相应的委托代理人签字（或盖章）：</w:t>
      </w:r>
      <w:r>
        <w:rPr>
          <w:rFonts w:ascii="Arial" w:hAnsi="Arial" w:eastAsia="宋体" w:cs="Arial"/>
          <w:color w:val="auto"/>
          <w:szCs w:val="21"/>
          <w:highlight w:val="none"/>
          <w:u w:val="single"/>
        </w:rPr>
        <w:t xml:space="preserve">                     </w:t>
      </w:r>
    </w:p>
    <w:p w14:paraId="3CA5B318">
      <w:pPr>
        <w:pStyle w:val="14"/>
        <w:keepNext w:val="0"/>
        <w:keepLines w:val="0"/>
        <w:pageBreakBefore w:val="0"/>
        <w:kinsoku/>
        <w:wordWrap/>
        <w:overflowPunct/>
        <w:topLinePunct w:val="0"/>
        <w:autoSpaceDE/>
        <w:autoSpaceDN/>
        <w:bidi w:val="0"/>
        <w:adjustRightInd/>
        <w:snapToGrid w:val="0"/>
        <w:spacing w:after="0" w:line="288" w:lineRule="auto"/>
        <w:ind w:firstLine="1890" w:firstLineChars="900"/>
        <w:textAlignment w:val="auto"/>
        <w:rPr>
          <w:rFonts w:ascii="Arial" w:hAnsi="Arial" w:eastAsia="宋体" w:cs="Arial"/>
          <w:bCs/>
          <w:color w:val="auto"/>
          <w:szCs w:val="21"/>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2DD5A549">
      <w:pPr>
        <w:widowControl/>
        <w:spacing w:line="288" w:lineRule="auto"/>
        <w:jc w:val="left"/>
        <w:rPr>
          <w:rFonts w:ascii="Arial" w:hAnsi="Arial" w:eastAsia="宋体" w:cs="Arial"/>
          <w:color w:val="auto"/>
          <w:highlight w:val="none"/>
        </w:rPr>
      </w:pPr>
      <w:r>
        <w:rPr>
          <w:rFonts w:ascii="Arial" w:hAnsi="Arial" w:eastAsia="宋体" w:cs="Arial"/>
          <w:b/>
          <w:color w:val="auto"/>
          <w:kern w:val="0"/>
          <w:szCs w:val="21"/>
          <w:highlight w:val="none"/>
        </w:rPr>
        <w:t xml:space="preserve">注：“供应商直接控股、管理关系信息表”必须由法定代表人(负责人)或委托代理人签字并加盖供应商公章。 </w:t>
      </w:r>
    </w:p>
    <w:p w14:paraId="6B4533AC">
      <w:pPr>
        <w:pStyle w:val="14"/>
        <w:spacing w:line="288" w:lineRule="auto"/>
        <w:ind w:firstLine="420"/>
        <w:rPr>
          <w:rFonts w:ascii="Arial" w:hAnsi="Arial" w:eastAsia="宋体" w:cs="Arial"/>
          <w:b/>
          <w:bCs/>
          <w:color w:val="auto"/>
          <w:highlight w:val="none"/>
        </w:rPr>
        <w:sectPr>
          <w:footerReference r:id="rId10" w:type="first"/>
          <w:footerReference r:id="rId9" w:type="default"/>
          <w:pgSz w:w="11906" w:h="16838"/>
          <w:pgMar w:top="1134" w:right="1312" w:bottom="1134" w:left="1134" w:header="720" w:footer="720" w:gutter="0"/>
          <w:cols w:space="720" w:num="1"/>
          <w:titlePg/>
          <w:docGrid w:type="linesAndChars" w:linePitch="331" w:charSpace="0"/>
        </w:sectPr>
      </w:pPr>
    </w:p>
    <w:p w14:paraId="2CDA5D6C">
      <w:pPr>
        <w:spacing w:line="288"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10.供应商参加本项目无围标串标行为的承诺函（必须提供）</w:t>
      </w:r>
    </w:p>
    <w:p w14:paraId="11805898">
      <w:pPr>
        <w:pStyle w:val="14"/>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附件：</w:t>
      </w:r>
    </w:p>
    <w:p w14:paraId="6CA974F1">
      <w:pPr>
        <w:pStyle w:val="14"/>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供应商参加本项目无围标串标行为的承诺函（格式）</w:t>
      </w:r>
    </w:p>
    <w:p w14:paraId="68014DF0">
      <w:pPr>
        <w:snapToGrid w:val="0"/>
        <w:spacing w:before="165" w:beforeLines="50" w:after="0" w:line="288" w:lineRule="auto"/>
        <w:jc w:val="left"/>
        <w:rPr>
          <w:rFonts w:ascii="Arial" w:hAnsi="Arial" w:eastAsia="宋体" w:cs="Arial"/>
          <w:b/>
          <w:color w:val="auto"/>
          <w:szCs w:val="21"/>
          <w:highlight w:val="none"/>
        </w:rPr>
      </w:pPr>
      <w:r>
        <w:rPr>
          <w:rFonts w:ascii="Arial" w:hAnsi="Arial" w:eastAsia="宋体" w:cs="Arial"/>
          <w:b/>
          <w:color w:val="auto"/>
          <w:szCs w:val="21"/>
          <w:highlight w:val="none"/>
        </w:rPr>
        <w:t>一、我公司承诺无下列相互串通参与谈判的情形：</w:t>
      </w:r>
    </w:p>
    <w:p w14:paraId="59164384">
      <w:pPr>
        <w:snapToGrid w:val="0"/>
        <w:spacing w:before="165" w:beforeLines="50" w:after="0" w:line="288" w:lineRule="auto"/>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（1）不同供应商的响应文件由同一单位或者个人编制；</w:t>
      </w:r>
    </w:p>
    <w:p w14:paraId="7D083AC5">
      <w:pPr>
        <w:snapToGrid w:val="0"/>
        <w:spacing w:before="165" w:beforeLines="50" w:after="0" w:line="288" w:lineRule="auto"/>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（2）不同供应商委托同一单位或者个人办理谈判事宜；</w:t>
      </w:r>
    </w:p>
    <w:p w14:paraId="035100DF">
      <w:pPr>
        <w:snapToGrid w:val="0"/>
        <w:spacing w:before="165" w:beforeLines="50" w:after="0" w:line="288" w:lineRule="auto"/>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（3）不同的供应商的响应文件载明的项目管理员为同一个人；</w:t>
      </w:r>
    </w:p>
    <w:p w14:paraId="11E3C999">
      <w:pPr>
        <w:snapToGrid w:val="0"/>
        <w:spacing w:before="165" w:beforeLines="50" w:after="0" w:line="288" w:lineRule="auto"/>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 xml:space="preserve">（4）不同供应商的响应文件异常一致或最后报价呈规律性差异； </w:t>
      </w:r>
    </w:p>
    <w:p w14:paraId="434F136F">
      <w:pPr>
        <w:snapToGrid w:val="0"/>
        <w:spacing w:before="165" w:beforeLines="50" w:after="0" w:line="288" w:lineRule="auto"/>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（5）不同供应商的响应文件相互混装；</w:t>
      </w:r>
    </w:p>
    <w:p w14:paraId="3C7C2B13">
      <w:pPr>
        <w:snapToGrid w:val="0"/>
        <w:spacing w:before="165" w:beforeLines="50" w:after="0" w:line="288" w:lineRule="auto"/>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（6）谈判文件未做实质性变动，最后报价高于首次报价。</w:t>
      </w:r>
    </w:p>
    <w:p w14:paraId="4AD6E99A">
      <w:pPr>
        <w:snapToGrid w:val="0"/>
        <w:spacing w:before="165" w:beforeLines="50" w:after="0" w:line="288" w:lineRule="auto"/>
        <w:jc w:val="left"/>
        <w:rPr>
          <w:rFonts w:ascii="Arial" w:hAnsi="Arial" w:eastAsia="宋体" w:cs="Arial"/>
          <w:color w:val="auto"/>
          <w:szCs w:val="21"/>
          <w:highlight w:val="none"/>
        </w:rPr>
      </w:pPr>
      <w:r>
        <w:rPr>
          <w:rFonts w:ascii="Arial" w:hAnsi="Arial" w:eastAsia="宋体" w:cs="Arial"/>
          <w:b/>
          <w:color w:val="auto"/>
          <w:szCs w:val="21"/>
          <w:highlight w:val="none"/>
        </w:rPr>
        <w:t>二、我公司承诺无下列恶意串通的情形：</w:t>
      </w:r>
    </w:p>
    <w:p w14:paraId="4F101670">
      <w:pPr>
        <w:tabs>
          <w:tab w:val="left" w:pos="1305"/>
        </w:tabs>
        <w:spacing w:after="0" w:line="288" w:lineRule="auto"/>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w:t>
      </w:r>
    </w:p>
    <w:p w14:paraId="2C9B89D9">
      <w:pPr>
        <w:tabs>
          <w:tab w:val="left" w:pos="1305"/>
        </w:tabs>
        <w:spacing w:after="0" w:line="288" w:lineRule="auto"/>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w:t>
      </w:r>
    </w:p>
    <w:p w14:paraId="0C586EE7">
      <w:pPr>
        <w:tabs>
          <w:tab w:val="left" w:pos="1305"/>
        </w:tabs>
        <w:spacing w:after="0" w:line="288" w:lineRule="auto"/>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w:t>
      </w:r>
    </w:p>
    <w:p w14:paraId="1E3FCEED">
      <w:pPr>
        <w:tabs>
          <w:tab w:val="left" w:pos="1305"/>
        </w:tabs>
        <w:spacing w:after="0" w:line="288" w:lineRule="auto"/>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w:t>
      </w:r>
    </w:p>
    <w:p w14:paraId="3539E47A">
      <w:pPr>
        <w:tabs>
          <w:tab w:val="left" w:pos="1305"/>
        </w:tabs>
        <w:spacing w:after="0" w:line="288" w:lineRule="auto"/>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5. 供应商之间事先约定一致抬高或者压低谈判报价,或者在采购项目中事先约定轮流以高价位或者低价位成交,或者事先约定由某一特定供应商成交,然后再参加谈判；</w:t>
      </w:r>
    </w:p>
    <w:p w14:paraId="5254359E">
      <w:pPr>
        <w:tabs>
          <w:tab w:val="left" w:pos="1305"/>
        </w:tabs>
        <w:spacing w:after="0" w:line="288" w:lineRule="auto"/>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6. 供应商之间商定部分供应商放弃参加政府采购活动或者放弃成交；</w:t>
      </w:r>
    </w:p>
    <w:p w14:paraId="257622D8">
      <w:pPr>
        <w:tabs>
          <w:tab w:val="left" w:pos="1305"/>
        </w:tabs>
        <w:spacing w:after="0" w:line="288" w:lineRule="auto"/>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7. 供应商与采购人或者采购代理机构之间、供应商相互之间，为谋求特定供应商成交或者排斥其他供应商的其他串通行为。</w:t>
      </w:r>
    </w:p>
    <w:p w14:paraId="527998D8">
      <w:pPr>
        <w:snapToGrid w:val="0"/>
        <w:spacing w:before="165" w:beforeLines="50" w:after="0" w:line="288" w:lineRule="auto"/>
        <w:ind w:firstLine="470" w:firstLineChars="196"/>
        <w:jc w:val="left"/>
        <w:rPr>
          <w:rFonts w:ascii="Arial" w:hAnsi="Arial" w:eastAsia="宋体" w:cs="Arial"/>
          <w:color w:val="auto"/>
          <w:sz w:val="24"/>
          <w:highlight w:val="none"/>
        </w:rPr>
      </w:pPr>
    </w:p>
    <w:p w14:paraId="06430E70">
      <w:pPr>
        <w:snapToGrid w:val="0"/>
        <w:spacing w:before="165" w:beforeLines="50" w:after="0" w:line="288" w:lineRule="auto"/>
        <w:ind w:firstLine="470" w:firstLineChars="196"/>
        <w:jc w:val="left"/>
        <w:rPr>
          <w:rFonts w:ascii="Arial" w:hAnsi="Arial" w:eastAsia="宋体" w:cs="Arial"/>
          <w:b/>
          <w:color w:val="auto"/>
          <w:sz w:val="24"/>
          <w:highlight w:val="none"/>
        </w:rPr>
      </w:pPr>
      <w:r>
        <w:rPr>
          <w:rFonts w:ascii="Arial" w:hAnsi="Arial" w:eastAsia="宋体" w:cs="Arial"/>
          <w:b/>
          <w:color w:val="auto"/>
          <w:sz w:val="24"/>
          <w:highlight w:val="none"/>
        </w:rPr>
        <w:t>以上情形一经核查属实，我方愿意承担一切后果，并不再寻求任何旨在减轻或免除法律责任的辩解。</w:t>
      </w:r>
    </w:p>
    <w:p w14:paraId="1763C028">
      <w:pPr>
        <w:pStyle w:val="14"/>
        <w:snapToGrid w:val="0"/>
        <w:spacing w:before="295" w:after="295" w:line="288" w:lineRule="auto"/>
        <w:ind w:firstLine="6840" w:firstLineChars="2850"/>
        <w:rPr>
          <w:rFonts w:ascii="Arial" w:hAnsi="Arial" w:eastAsia="宋体" w:cs="Arial"/>
          <w:color w:val="auto"/>
          <w:sz w:val="24"/>
          <w:szCs w:val="24"/>
          <w:highlight w:val="none"/>
        </w:rPr>
      </w:pPr>
    </w:p>
    <w:p w14:paraId="38FD70EE">
      <w:pPr>
        <w:pStyle w:val="14"/>
        <w:snapToGrid w:val="0"/>
        <w:spacing w:before="295" w:after="295" w:line="288" w:lineRule="auto"/>
        <w:ind w:firstLine="6840" w:firstLineChars="2850"/>
        <w:rPr>
          <w:rFonts w:ascii="Arial" w:hAnsi="Arial" w:eastAsia="宋体" w:cs="Arial"/>
          <w:color w:val="auto"/>
          <w:sz w:val="24"/>
          <w:szCs w:val="24"/>
          <w:highlight w:val="none"/>
        </w:rPr>
      </w:pPr>
      <w:bookmarkStart w:id="34" w:name="_Toc6210"/>
      <w:bookmarkStart w:id="35" w:name="_Toc5372"/>
      <w:r>
        <w:rPr>
          <w:rFonts w:ascii="Arial" w:hAnsi="Arial" w:eastAsia="宋体" w:cs="Arial"/>
          <w:color w:val="auto"/>
          <w:sz w:val="24"/>
          <w:szCs w:val="24"/>
          <w:highlight w:val="none"/>
        </w:rPr>
        <w:t>（公章）</w:t>
      </w:r>
      <w:bookmarkEnd w:id="34"/>
      <w:bookmarkEnd w:id="35"/>
    </w:p>
    <w:p w14:paraId="345B57D1">
      <w:pPr>
        <w:pStyle w:val="14"/>
        <w:spacing w:line="288" w:lineRule="auto"/>
        <w:ind w:firstLine="420"/>
        <w:jc w:val="center"/>
        <w:rPr>
          <w:rFonts w:ascii="Arial" w:hAnsi="Arial" w:eastAsia="宋体" w:cs="Arial"/>
          <w:b/>
          <w:bCs/>
          <w:color w:val="auto"/>
          <w:highlight w:val="none"/>
        </w:rPr>
      </w:pPr>
      <w:r>
        <w:rPr>
          <w:rFonts w:ascii="Arial" w:hAnsi="Arial" w:eastAsia="宋体" w:cs="Arial"/>
          <w:color w:val="auto"/>
          <w:sz w:val="24"/>
          <w:highlight w:val="none"/>
        </w:rPr>
        <w:t xml:space="preserve">                                                </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年</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月</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日</w:t>
      </w:r>
    </w:p>
    <w:p w14:paraId="5BED1BE1">
      <w:pPr>
        <w:spacing w:line="288" w:lineRule="auto"/>
        <w:rPr>
          <w:rFonts w:ascii="Arial" w:hAnsi="Arial" w:eastAsia="宋体" w:cs="Arial"/>
          <w:b/>
          <w:color w:val="auto"/>
          <w:sz w:val="32"/>
          <w:szCs w:val="32"/>
          <w:highlight w:val="none"/>
        </w:rPr>
      </w:pPr>
    </w:p>
    <w:p w14:paraId="3B8008FC">
      <w:pPr>
        <w:spacing w:line="288"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11.谈判保证缴纳证明材料复印件（必须提供）</w:t>
      </w:r>
    </w:p>
    <w:p w14:paraId="5810E7C1">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2E77A780">
      <w:pPr>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（二）符合性响应证明材料目录</w:t>
      </w:r>
    </w:p>
    <w:p w14:paraId="54923EA0">
      <w:pPr>
        <w:tabs>
          <w:tab w:val="left" w:pos="1305"/>
        </w:tabs>
        <w:spacing w:line="288" w:lineRule="auto"/>
        <w:ind w:firstLine="420" w:firstLineChars="200"/>
        <w:rPr>
          <w:rFonts w:ascii="Arial" w:hAnsi="Arial" w:eastAsia="宋体" w:cs="Arial"/>
          <w:color w:val="auto"/>
          <w:szCs w:val="21"/>
          <w:highlight w:val="none"/>
        </w:rPr>
      </w:pPr>
    </w:p>
    <w:p w14:paraId="6B085274">
      <w:pPr>
        <w:tabs>
          <w:tab w:val="left" w:pos="1305"/>
        </w:tabs>
        <w:spacing w:line="288" w:lineRule="auto"/>
        <w:ind w:firstLine="720" w:firstLineChars="300"/>
        <w:rPr>
          <w:rFonts w:ascii="Arial" w:hAnsi="Arial" w:eastAsia="宋体" w:cs="Arial"/>
          <w:color w:val="auto"/>
          <w:sz w:val="24"/>
          <w:highlight w:val="none"/>
        </w:rPr>
      </w:pPr>
      <w:r>
        <w:rPr>
          <w:rFonts w:ascii="Arial" w:hAnsi="Arial" w:eastAsia="宋体" w:cs="Arial"/>
          <w:color w:val="auto"/>
          <w:sz w:val="24"/>
          <w:highlight w:val="none"/>
        </w:rPr>
        <w:t>1.谈判报价表</w:t>
      </w:r>
      <w:r>
        <w:rPr>
          <w:rFonts w:ascii="Arial" w:hAnsi="Arial" w:eastAsia="宋体" w:cs="Arial"/>
          <w:b/>
          <w:color w:val="auto"/>
          <w:sz w:val="24"/>
          <w:highlight w:val="none"/>
        </w:rPr>
        <w:t>（必须提供）</w:t>
      </w:r>
      <w:r>
        <w:rPr>
          <w:rFonts w:ascii="Arial" w:hAnsi="Arial" w:eastAsia="宋体" w:cs="Arial"/>
          <w:color w:val="auto"/>
          <w:sz w:val="24"/>
          <w:highlight w:val="none"/>
        </w:rPr>
        <w:t xml:space="preserve"> </w:t>
      </w:r>
    </w:p>
    <w:p w14:paraId="3A214F04">
      <w:pPr>
        <w:tabs>
          <w:tab w:val="left" w:pos="1305"/>
        </w:tabs>
        <w:spacing w:line="288" w:lineRule="auto"/>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2.技术响应表</w:t>
      </w:r>
      <w:r>
        <w:rPr>
          <w:rFonts w:ascii="Arial" w:hAnsi="Arial" w:eastAsia="宋体" w:cs="Arial"/>
          <w:b/>
          <w:color w:val="auto"/>
          <w:sz w:val="24"/>
          <w:highlight w:val="none"/>
        </w:rPr>
        <w:t>（必须提供）</w:t>
      </w:r>
    </w:p>
    <w:p w14:paraId="0E224B30">
      <w:pPr>
        <w:tabs>
          <w:tab w:val="left" w:pos="1305"/>
        </w:tabs>
        <w:spacing w:line="288" w:lineRule="auto"/>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3.供应商的项目实施方案</w:t>
      </w:r>
      <w:r>
        <w:rPr>
          <w:rFonts w:ascii="Arial" w:hAnsi="Arial" w:eastAsia="宋体" w:cs="Arial"/>
          <w:b/>
          <w:color w:val="auto"/>
          <w:sz w:val="24"/>
          <w:highlight w:val="none"/>
        </w:rPr>
        <w:t>（必须提供）；</w:t>
      </w:r>
    </w:p>
    <w:p w14:paraId="0E1610E0">
      <w:pPr>
        <w:tabs>
          <w:tab w:val="left" w:pos="1305"/>
        </w:tabs>
        <w:spacing w:line="288" w:lineRule="auto"/>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4.供应商的售后服务承诺书</w:t>
      </w:r>
      <w:r>
        <w:rPr>
          <w:rFonts w:ascii="Arial" w:hAnsi="Arial" w:eastAsia="宋体" w:cs="Arial"/>
          <w:b/>
          <w:color w:val="auto"/>
          <w:sz w:val="24"/>
          <w:highlight w:val="none"/>
        </w:rPr>
        <w:t>（必须提供）；</w:t>
      </w:r>
    </w:p>
    <w:p w14:paraId="68417626">
      <w:pPr>
        <w:tabs>
          <w:tab w:val="left" w:pos="1305"/>
        </w:tabs>
        <w:spacing w:line="288" w:lineRule="auto"/>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5.商务响应表</w:t>
      </w:r>
      <w:r>
        <w:rPr>
          <w:rFonts w:ascii="Arial" w:hAnsi="Arial" w:eastAsia="宋体" w:cs="Arial"/>
          <w:b/>
          <w:color w:val="auto"/>
          <w:sz w:val="24"/>
          <w:highlight w:val="none"/>
        </w:rPr>
        <w:t>（必须提供））</w:t>
      </w:r>
    </w:p>
    <w:p w14:paraId="24E4F4B7">
      <w:pPr>
        <w:tabs>
          <w:tab w:val="left" w:pos="1305"/>
        </w:tabs>
        <w:spacing w:line="288" w:lineRule="auto"/>
        <w:ind w:firstLine="720" w:firstLineChars="300"/>
        <w:rPr>
          <w:rFonts w:ascii="Arial" w:hAnsi="Arial" w:eastAsia="宋体" w:cs="Arial"/>
          <w:b/>
          <w:color w:val="auto"/>
          <w:sz w:val="24"/>
          <w:highlight w:val="none"/>
        </w:rPr>
      </w:pPr>
    </w:p>
    <w:p w14:paraId="6475EC17">
      <w:pPr>
        <w:tabs>
          <w:tab w:val="left" w:pos="1305"/>
        </w:tabs>
        <w:spacing w:line="288" w:lineRule="auto"/>
        <w:ind w:firstLine="630" w:firstLineChars="300"/>
        <w:rPr>
          <w:rFonts w:ascii="Arial" w:hAnsi="Arial" w:eastAsia="宋体" w:cs="Arial"/>
          <w:b/>
          <w:bCs/>
          <w:color w:val="auto"/>
          <w:highlight w:val="none"/>
        </w:rPr>
        <w:sectPr>
          <w:footerReference r:id="rId12" w:type="first"/>
          <w:footerReference r:id="rId11" w:type="default"/>
          <w:pgSz w:w="11906" w:h="16838"/>
          <w:pgMar w:top="1134" w:right="849" w:bottom="1134" w:left="1134" w:header="720" w:footer="720" w:gutter="0"/>
          <w:cols w:space="720" w:num="1"/>
          <w:docGrid w:type="linesAndChars" w:linePitch="331" w:charSpace="0"/>
        </w:sectPr>
      </w:pPr>
    </w:p>
    <w:p w14:paraId="28F9A973">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1.谈判报价表（必须提供）</w:t>
      </w:r>
    </w:p>
    <w:p w14:paraId="574D8214">
      <w:pPr>
        <w:snapToGrid w:val="0"/>
        <w:spacing w:line="288" w:lineRule="auto"/>
        <w:jc w:val="left"/>
        <w:rPr>
          <w:rFonts w:ascii="Arial" w:hAnsi="Arial" w:eastAsia="宋体" w:cs="Arial"/>
          <w:color w:val="auto"/>
          <w:szCs w:val="21"/>
          <w:highlight w:val="none"/>
        </w:rPr>
      </w:pPr>
    </w:p>
    <w:p w14:paraId="56A17548">
      <w:pPr>
        <w:snapToGrid w:val="0"/>
        <w:spacing w:line="288" w:lineRule="auto"/>
        <w:jc w:val="left"/>
        <w:rPr>
          <w:rFonts w:ascii="Arial" w:hAnsi="Arial" w:eastAsia="宋体" w:cs="Arial"/>
          <w:color w:val="auto"/>
          <w:szCs w:val="21"/>
          <w:highlight w:val="none"/>
        </w:rPr>
      </w:pPr>
      <w:r>
        <w:rPr>
          <w:rFonts w:ascii="Arial" w:hAnsi="Arial" w:eastAsia="宋体" w:cs="Arial"/>
          <w:color w:val="auto"/>
          <w:szCs w:val="21"/>
          <w:highlight w:val="none"/>
        </w:rPr>
        <w:t>项目名称：</w:t>
      </w:r>
      <w:r>
        <w:rPr>
          <w:rFonts w:hint="eastAsia" w:ascii="Arial" w:hAnsi="Arial" w:eastAsia="宋体" w:cs="Arial"/>
          <w:color w:val="auto"/>
          <w:highlight w:val="none"/>
        </w:rPr>
        <w:t>土木学院智慧建造专业实训平台采购项目</w:t>
      </w:r>
    </w:p>
    <w:p w14:paraId="3DD92F21">
      <w:pPr>
        <w:snapToGrid w:val="0"/>
        <w:spacing w:line="288" w:lineRule="auto"/>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GXJD-24114CC031162</w:t>
      </w:r>
    </w:p>
    <w:p w14:paraId="2E2689A8">
      <w:pPr>
        <w:snapToGrid w:val="0"/>
        <w:spacing w:line="288" w:lineRule="auto"/>
        <w:jc w:val="left"/>
        <w:rPr>
          <w:rFonts w:ascii="Arial" w:hAnsi="Arial" w:eastAsia="宋体" w:cs="Arial"/>
          <w:color w:val="auto"/>
          <w:szCs w:val="21"/>
          <w:highlight w:val="none"/>
        </w:rPr>
      </w:pPr>
      <w:r>
        <w:rPr>
          <w:rFonts w:hint="eastAsia" w:ascii="Arial" w:hAnsi="Arial" w:eastAsia="宋体" w:cs="Arial"/>
          <w:color w:val="auto"/>
          <w:szCs w:val="21"/>
          <w:highlight w:val="none"/>
        </w:rPr>
        <w:t>分标号：</w:t>
      </w:r>
      <w:r>
        <w:rPr>
          <w:rFonts w:hint="eastAsia" w:ascii="Arial" w:hAnsi="Arial" w:eastAsia="宋体" w:cs="Arial"/>
          <w:color w:val="auto"/>
          <w:szCs w:val="21"/>
          <w:highlight w:val="none"/>
          <w:u w:val="single"/>
        </w:rPr>
        <w:t xml:space="preserve">     </w:t>
      </w:r>
      <w:r>
        <w:rPr>
          <w:rFonts w:hint="eastAsia" w:ascii="Arial" w:hAnsi="Arial" w:eastAsia="宋体" w:cs="Arial"/>
          <w:color w:val="auto"/>
          <w:szCs w:val="21"/>
          <w:highlight w:val="none"/>
        </w:rPr>
        <w:t>分标</w:t>
      </w:r>
    </w:p>
    <w:tbl>
      <w:tblPr>
        <w:tblStyle w:val="24"/>
        <w:tblpPr w:leftFromText="180" w:rightFromText="180" w:vertAnchor="text" w:tblpY="1"/>
        <w:tblOverlap w:val="never"/>
        <w:tblW w:w="104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1359"/>
        <w:gridCol w:w="1900"/>
        <w:gridCol w:w="2120"/>
        <w:gridCol w:w="910"/>
        <w:gridCol w:w="690"/>
        <w:gridCol w:w="1330"/>
        <w:gridCol w:w="1370"/>
      </w:tblGrid>
      <w:tr w14:paraId="175D0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vAlign w:val="center"/>
          </w:tcPr>
          <w:p w14:paraId="0AC80401">
            <w:pPr>
              <w:spacing w:line="288" w:lineRule="auto"/>
              <w:jc w:val="center"/>
              <w:rPr>
                <w:rFonts w:ascii="Arial" w:hAnsi="Arial" w:eastAsia="宋体" w:cs="Arial"/>
                <w:color w:val="auto"/>
                <w:highlight w:val="none"/>
              </w:rPr>
            </w:pPr>
            <w:r>
              <w:rPr>
                <w:rFonts w:ascii="Arial" w:hAnsi="Arial" w:eastAsia="宋体" w:cs="Arial"/>
                <w:color w:val="auto"/>
                <w:highlight w:val="none"/>
              </w:rPr>
              <w:t>项号</w:t>
            </w:r>
          </w:p>
        </w:tc>
        <w:tc>
          <w:tcPr>
            <w:tcW w:w="1359" w:type="dxa"/>
            <w:tcBorders>
              <w:top w:val="single" w:color="auto" w:sz="4" w:space="0"/>
              <w:left w:val="single" w:color="auto" w:sz="4" w:space="0"/>
              <w:bottom w:val="single" w:color="auto" w:sz="4" w:space="0"/>
              <w:right w:val="single" w:color="auto" w:sz="4" w:space="0"/>
            </w:tcBorders>
            <w:vAlign w:val="center"/>
          </w:tcPr>
          <w:p w14:paraId="489B56A7">
            <w:pPr>
              <w:spacing w:line="288" w:lineRule="auto"/>
              <w:jc w:val="center"/>
              <w:rPr>
                <w:rFonts w:ascii="Arial" w:hAnsi="Arial" w:eastAsia="宋体" w:cs="Arial"/>
                <w:color w:val="auto"/>
                <w:highlight w:val="none"/>
              </w:rPr>
            </w:pPr>
            <w:r>
              <w:rPr>
                <w:rFonts w:ascii="Arial" w:hAnsi="Arial" w:eastAsia="宋体" w:cs="Arial"/>
                <w:color w:val="auto"/>
                <w:highlight w:val="none"/>
              </w:rPr>
              <w:t>标的名称</w:t>
            </w:r>
          </w:p>
        </w:tc>
        <w:tc>
          <w:tcPr>
            <w:tcW w:w="1900" w:type="dxa"/>
            <w:tcBorders>
              <w:top w:val="single" w:color="auto" w:sz="4" w:space="0"/>
              <w:left w:val="single" w:color="auto" w:sz="4" w:space="0"/>
              <w:bottom w:val="single" w:color="auto" w:sz="4" w:space="0"/>
              <w:right w:val="single" w:color="auto" w:sz="4" w:space="0"/>
            </w:tcBorders>
            <w:vAlign w:val="center"/>
          </w:tcPr>
          <w:p w14:paraId="0E679EA7">
            <w:pPr>
              <w:spacing w:line="288" w:lineRule="auto"/>
              <w:jc w:val="center"/>
              <w:rPr>
                <w:rFonts w:ascii="Arial" w:hAnsi="Arial" w:eastAsia="宋体" w:cs="Arial"/>
                <w:color w:val="auto"/>
                <w:highlight w:val="none"/>
              </w:rPr>
            </w:pPr>
            <w:r>
              <w:rPr>
                <w:rFonts w:ascii="Arial" w:hAnsi="Arial" w:eastAsia="宋体" w:cs="Arial"/>
                <w:color w:val="auto"/>
                <w:szCs w:val="30"/>
                <w:highlight w:val="none"/>
              </w:rPr>
              <w:t>生产厂家、品牌、规格型号</w:t>
            </w:r>
          </w:p>
        </w:tc>
        <w:tc>
          <w:tcPr>
            <w:tcW w:w="2120" w:type="dxa"/>
            <w:tcBorders>
              <w:top w:val="single" w:color="auto" w:sz="4" w:space="0"/>
              <w:left w:val="single" w:color="auto" w:sz="4" w:space="0"/>
              <w:bottom w:val="single" w:color="auto" w:sz="4" w:space="0"/>
              <w:right w:val="single" w:color="auto" w:sz="4" w:space="0"/>
            </w:tcBorders>
            <w:vAlign w:val="center"/>
          </w:tcPr>
          <w:p w14:paraId="27929712">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技术参数性能指标等</w:t>
            </w:r>
          </w:p>
          <w:p w14:paraId="6DFDDEF7">
            <w:pPr>
              <w:spacing w:line="288" w:lineRule="auto"/>
              <w:jc w:val="center"/>
              <w:rPr>
                <w:rFonts w:ascii="Arial" w:hAnsi="Arial" w:eastAsia="宋体" w:cs="Arial"/>
                <w:color w:val="auto"/>
                <w:highlight w:val="none"/>
              </w:rPr>
            </w:pPr>
            <w:r>
              <w:rPr>
                <w:rFonts w:ascii="Arial" w:hAnsi="Arial" w:eastAsia="宋体" w:cs="Arial"/>
                <w:color w:val="auto"/>
                <w:szCs w:val="21"/>
                <w:highlight w:val="none"/>
              </w:rPr>
              <w:t>（须完整填写）</w:t>
            </w:r>
          </w:p>
        </w:tc>
        <w:tc>
          <w:tcPr>
            <w:tcW w:w="910" w:type="dxa"/>
            <w:tcBorders>
              <w:top w:val="single" w:color="auto" w:sz="4" w:space="0"/>
              <w:left w:val="single" w:color="auto" w:sz="4" w:space="0"/>
              <w:bottom w:val="single" w:color="auto" w:sz="4" w:space="0"/>
              <w:right w:val="single" w:color="auto" w:sz="4" w:space="0"/>
            </w:tcBorders>
            <w:vAlign w:val="center"/>
          </w:tcPr>
          <w:p w14:paraId="760814CB">
            <w:pPr>
              <w:spacing w:line="288" w:lineRule="auto"/>
              <w:jc w:val="center"/>
              <w:rPr>
                <w:rFonts w:ascii="Arial" w:hAnsi="Arial" w:eastAsia="宋体" w:cs="Arial"/>
                <w:color w:val="auto"/>
                <w:highlight w:val="none"/>
              </w:rPr>
            </w:pPr>
            <w:r>
              <w:rPr>
                <w:rFonts w:ascii="Arial" w:hAnsi="Arial" w:eastAsia="宋体" w:cs="Arial"/>
                <w:color w:val="auto"/>
                <w:highlight w:val="none"/>
              </w:rPr>
              <w:t>数量</w:t>
            </w:r>
          </w:p>
          <w:p w14:paraId="6DF2E792">
            <w:pPr>
              <w:spacing w:line="288" w:lineRule="auto"/>
              <w:jc w:val="center"/>
              <w:rPr>
                <w:rFonts w:ascii="Arial" w:hAnsi="Arial" w:eastAsia="宋体" w:cs="Arial"/>
                <w:color w:val="auto"/>
                <w:highlight w:val="none"/>
              </w:rPr>
            </w:pPr>
            <w:r>
              <w:rPr>
                <w:rFonts w:ascii="Arial" w:hAnsi="Arial" w:eastAsia="宋体" w:cs="Arial"/>
                <w:color w:val="auto"/>
                <w:szCs w:val="21"/>
                <w:highlight w:val="none"/>
              </w:rPr>
              <w:t>①</w:t>
            </w:r>
          </w:p>
        </w:tc>
        <w:tc>
          <w:tcPr>
            <w:tcW w:w="690" w:type="dxa"/>
            <w:tcBorders>
              <w:top w:val="single" w:color="auto" w:sz="4" w:space="0"/>
              <w:left w:val="single" w:color="auto" w:sz="4" w:space="0"/>
              <w:bottom w:val="single" w:color="auto" w:sz="4" w:space="0"/>
              <w:right w:val="single" w:color="auto" w:sz="4" w:space="0"/>
            </w:tcBorders>
            <w:vAlign w:val="center"/>
          </w:tcPr>
          <w:p w14:paraId="594E3B6A">
            <w:pPr>
              <w:spacing w:line="288" w:lineRule="auto"/>
              <w:jc w:val="center"/>
              <w:rPr>
                <w:rFonts w:ascii="Arial" w:hAnsi="Arial" w:eastAsia="宋体" w:cs="Arial"/>
                <w:color w:val="auto"/>
                <w:highlight w:val="none"/>
              </w:rPr>
            </w:pPr>
            <w:r>
              <w:rPr>
                <w:rFonts w:ascii="Arial" w:hAnsi="Arial" w:eastAsia="宋体" w:cs="Arial"/>
                <w:color w:val="auto"/>
                <w:highlight w:val="none"/>
              </w:rPr>
              <w:t>单位</w:t>
            </w:r>
          </w:p>
        </w:tc>
        <w:tc>
          <w:tcPr>
            <w:tcW w:w="1330" w:type="dxa"/>
            <w:tcBorders>
              <w:top w:val="single" w:color="auto" w:sz="4" w:space="0"/>
              <w:left w:val="single" w:color="auto" w:sz="4" w:space="0"/>
              <w:bottom w:val="single" w:color="auto" w:sz="4" w:space="0"/>
              <w:right w:val="single" w:color="auto" w:sz="4" w:space="0"/>
            </w:tcBorders>
            <w:vAlign w:val="center"/>
          </w:tcPr>
          <w:p w14:paraId="1ED7F290">
            <w:pPr>
              <w:spacing w:line="288" w:lineRule="auto"/>
              <w:jc w:val="center"/>
              <w:rPr>
                <w:rFonts w:ascii="Arial" w:hAnsi="Arial" w:eastAsia="宋体" w:cs="Arial"/>
                <w:color w:val="auto"/>
                <w:highlight w:val="none"/>
              </w:rPr>
            </w:pPr>
            <w:r>
              <w:rPr>
                <w:rFonts w:ascii="Arial" w:hAnsi="Arial" w:eastAsia="宋体" w:cs="Arial"/>
                <w:color w:val="auto"/>
                <w:highlight w:val="none"/>
              </w:rPr>
              <w:t>单价（元）</w:t>
            </w:r>
          </w:p>
          <w:p w14:paraId="13CC285E">
            <w:pPr>
              <w:spacing w:line="288" w:lineRule="auto"/>
              <w:jc w:val="center"/>
              <w:rPr>
                <w:rFonts w:ascii="Arial" w:hAnsi="Arial" w:eastAsia="宋体" w:cs="Arial"/>
                <w:color w:val="auto"/>
                <w:highlight w:val="none"/>
              </w:rPr>
            </w:pPr>
            <w:r>
              <w:rPr>
                <w:rFonts w:ascii="Arial" w:hAnsi="Arial" w:eastAsia="宋体" w:cs="Arial"/>
                <w:color w:val="auto"/>
                <w:szCs w:val="21"/>
                <w:highlight w:val="none"/>
              </w:rPr>
              <w:t>②</w:t>
            </w:r>
          </w:p>
        </w:tc>
        <w:tc>
          <w:tcPr>
            <w:tcW w:w="1370" w:type="dxa"/>
            <w:tcBorders>
              <w:top w:val="single" w:color="auto" w:sz="4" w:space="0"/>
              <w:left w:val="single" w:color="auto" w:sz="4" w:space="0"/>
              <w:bottom w:val="single" w:color="auto" w:sz="4" w:space="0"/>
            </w:tcBorders>
            <w:vAlign w:val="center"/>
          </w:tcPr>
          <w:p w14:paraId="2C315403">
            <w:pPr>
              <w:spacing w:line="288" w:lineRule="auto"/>
              <w:jc w:val="center"/>
              <w:rPr>
                <w:rFonts w:ascii="Arial" w:hAnsi="Arial" w:eastAsia="宋体" w:cs="Arial"/>
                <w:color w:val="auto"/>
                <w:highlight w:val="none"/>
              </w:rPr>
            </w:pPr>
            <w:r>
              <w:rPr>
                <w:rFonts w:ascii="Arial" w:hAnsi="Arial" w:eastAsia="宋体" w:cs="Arial"/>
                <w:color w:val="auto"/>
                <w:highlight w:val="none"/>
              </w:rPr>
              <w:t>单项合计=数量×单价</w:t>
            </w:r>
          </w:p>
          <w:p w14:paraId="339E852E">
            <w:pPr>
              <w:spacing w:line="288" w:lineRule="auto"/>
              <w:jc w:val="center"/>
              <w:rPr>
                <w:rFonts w:ascii="Arial" w:hAnsi="Arial" w:eastAsia="宋体" w:cs="Arial"/>
                <w:color w:val="auto"/>
                <w:highlight w:val="none"/>
              </w:rPr>
            </w:pPr>
            <w:r>
              <w:rPr>
                <w:rFonts w:ascii="Arial" w:hAnsi="Arial" w:eastAsia="宋体" w:cs="Arial"/>
                <w:color w:val="auto"/>
                <w:szCs w:val="21"/>
                <w:highlight w:val="none"/>
              </w:rPr>
              <w:t>③＝①×②</w:t>
            </w:r>
          </w:p>
        </w:tc>
      </w:tr>
      <w:tr w14:paraId="00C5B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3D1785C6">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359" w:type="dxa"/>
            <w:tcBorders>
              <w:top w:val="single" w:color="auto" w:sz="4" w:space="0"/>
              <w:left w:val="single" w:color="auto" w:sz="4" w:space="0"/>
              <w:bottom w:val="single" w:color="auto" w:sz="4" w:space="0"/>
              <w:right w:val="single" w:color="auto" w:sz="4" w:space="0"/>
            </w:tcBorders>
            <w:vAlign w:val="center"/>
          </w:tcPr>
          <w:p w14:paraId="6BBD873F">
            <w:pPr>
              <w:spacing w:line="288" w:lineRule="auto"/>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46F54432">
            <w:pPr>
              <w:spacing w:line="288"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7EE09066">
            <w:pPr>
              <w:spacing w:line="288" w:lineRule="auto"/>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119523A8">
            <w:pPr>
              <w:spacing w:line="288" w:lineRule="auto"/>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7F15927C">
            <w:pPr>
              <w:spacing w:line="288" w:lineRule="auto"/>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674D1FD7">
            <w:pPr>
              <w:spacing w:line="288" w:lineRule="auto"/>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68EB0178">
            <w:pPr>
              <w:spacing w:line="288" w:lineRule="auto"/>
              <w:jc w:val="center"/>
              <w:rPr>
                <w:rFonts w:ascii="Arial" w:hAnsi="Arial" w:eastAsia="宋体" w:cs="Arial"/>
                <w:b/>
                <w:bCs/>
                <w:color w:val="auto"/>
                <w:highlight w:val="none"/>
              </w:rPr>
            </w:pPr>
          </w:p>
        </w:tc>
      </w:tr>
      <w:tr w14:paraId="63264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4D396282">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359" w:type="dxa"/>
            <w:tcBorders>
              <w:top w:val="single" w:color="auto" w:sz="4" w:space="0"/>
              <w:left w:val="single" w:color="auto" w:sz="4" w:space="0"/>
              <w:bottom w:val="single" w:color="auto" w:sz="4" w:space="0"/>
              <w:right w:val="single" w:color="auto" w:sz="4" w:space="0"/>
            </w:tcBorders>
            <w:vAlign w:val="center"/>
          </w:tcPr>
          <w:p w14:paraId="2FA49A7C">
            <w:pPr>
              <w:spacing w:line="288" w:lineRule="auto"/>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334933A1">
            <w:pPr>
              <w:spacing w:line="288"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664FE9AF">
            <w:pPr>
              <w:spacing w:line="288" w:lineRule="auto"/>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629F96BE">
            <w:pPr>
              <w:spacing w:line="288" w:lineRule="auto"/>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59726DDE">
            <w:pPr>
              <w:spacing w:line="288" w:lineRule="auto"/>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0CDF1BD2">
            <w:pPr>
              <w:spacing w:line="288" w:lineRule="auto"/>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77D20989">
            <w:pPr>
              <w:spacing w:line="288" w:lineRule="auto"/>
              <w:jc w:val="center"/>
              <w:rPr>
                <w:rFonts w:ascii="Arial" w:hAnsi="Arial" w:eastAsia="宋体" w:cs="Arial"/>
                <w:b/>
                <w:bCs/>
                <w:color w:val="auto"/>
                <w:highlight w:val="none"/>
              </w:rPr>
            </w:pPr>
          </w:p>
        </w:tc>
      </w:tr>
      <w:tr w14:paraId="26EE2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6796ACD0">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1359" w:type="dxa"/>
            <w:tcBorders>
              <w:top w:val="single" w:color="auto" w:sz="4" w:space="0"/>
              <w:left w:val="single" w:color="auto" w:sz="4" w:space="0"/>
              <w:bottom w:val="single" w:color="auto" w:sz="4" w:space="0"/>
              <w:right w:val="single" w:color="auto" w:sz="4" w:space="0"/>
            </w:tcBorders>
            <w:vAlign w:val="center"/>
          </w:tcPr>
          <w:p w14:paraId="5BDBFC69">
            <w:pPr>
              <w:spacing w:line="288" w:lineRule="auto"/>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6E82C926">
            <w:pPr>
              <w:spacing w:line="288"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23548E5E">
            <w:pPr>
              <w:spacing w:line="288" w:lineRule="auto"/>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0582B29D">
            <w:pPr>
              <w:spacing w:line="288" w:lineRule="auto"/>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158E5503">
            <w:pPr>
              <w:spacing w:line="288" w:lineRule="auto"/>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7EE57015">
            <w:pPr>
              <w:spacing w:line="288" w:lineRule="auto"/>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55575D55">
            <w:pPr>
              <w:spacing w:line="288" w:lineRule="auto"/>
              <w:jc w:val="center"/>
              <w:rPr>
                <w:rFonts w:ascii="Arial" w:hAnsi="Arial" w:eastAsia="宋体" w:cs="Arial"/>
                <w:b/>
                <w:bCs/>
                <w:color w:val="auto"/>
                <w:highlight w:val="none"/>
              </w:rPr>
            </w:pPr>
          </w:p>
        </w:tc>
      </w:tr>
      <w:tr w14:paraId="1AE05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109" w:type="dxa"/>
            <w:gridSpan w:val="7"/>
            <w:tcBorders>
              <w:top w:val="single" w:color="auto" w:sz="4" w:space="0"/>
              <w:left w:val="single" w:color="auto" w:sz="4" w:space="0"/>
              <w:right w:val="single" w:color="auto" w:sz="4" w:space="0"/>
            </w:tcBorders>
            <w:vAlign w:val="center"/>
          </w:tcPr>
          <w:p w14:paraId="025886B4">
            <w:pPr>
              <w:spacing w:line="288" w:lineRule="auto"/>
              <w:ind w:right="315"/>
              <w:jc w:val="right"/>
              <w:rPr>
                <w:rFonts w:ascii="Arial" w:hAnsi="Arial" w:eastAsia="宋体" w:cs="Arial"/>
                <w:bCs/>
                <w:color w:val="auto"/>
                <w:highlight w:val="none"/>
              </w:rPr>
            </w:pPr>
            <w:r>
              <w:rPr>
                <w:rFonts w:ascii="Arial" w:hAnsi="Arial" w:eastAsia="宋体" w:cs="Arial"/>
                <w:bCs/>
                <w:color w:val="auto"/>
                <w:highlight w:val="none"/>
              </w:rPr>
              <w:t>合计金额</w:t>
            </w:r>
          </w:p>
        </w:tc>
        <w:tc>
          <w:tcPr>
            <w:tcW w:w="1370" w:type="dxa"/>
            <w:tcBorders>
              <w:top w:val="single" w:color="auto" w:sz="4" w:space="0"/>
              <w:left w:val="single" w:color="auto" w:sz="4" w:space="0"/>
              <w:bottom w:val="single" w:color="auto" w:sz="4" w:space="0"/>
            </w:tcBorders>
            <w:vAlign w:val="center"/>
          </w:tcPr>
          <w:p w14:paraId="3FABDAF6">
            <w:pPr>
              <w:spacing w:line="288" w:lineRule="auto"/>
              <w:jc w:val="center"/>
              <w:rPr>
                <w:rFonts w:ascii="Arial" w:hAnsi="Arial" w:eastAsia="宋体" w:cs="Arial"/>
                <w:b/>
                <w:bCs/>
                <w:color w:val="auto"/>
                <w:highlight w:val="none"/>
              </w:rPr>
            </w:pPr>
          </w:p>
        </w:tc>
      </w:tr>
      <w:tr w14:paraId="37169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543EA900">
            <w:pPr>
              <w:spacing w:line="288" w:lineRule="auto"/>
              <w:rPr>
                <w:rFonts w:ascii="Arial" w:hAnsi="Arial" w:eastAsia="宋体" w:cs="Arial"/>
                <w:b/>
                <w:bCs/>
                <w:color w:val="auto"/>
                <w:highlight w:val="none"/>
              </w:rPr>
            </w:pPr>
            <w:r>
              <w:rPr>
                <w:rFonts w:ascii="Arial" w:hAnsi="Arial" w:eastAsia="宋体" w:cs="Arial"/>
                <w:color w:val="auto"/>
                <w:spacing w:val="-6"/>
                <w:highlight w:val="none"/>
              </w:rPr>
              <w:t>谈判报价（大写）：                                                    元人民币（￥                      ）</w:t>
            </w:r>
          </w:p>
        </w:tc>
      </w:tr>
      <w:tr w14:paraId="3749E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44DD1C69">
            <w:pPr>
              <w:spacing w:line="288" w:lineRule="auto"/>
              <w:rPr>
                <w:rFonts w:ascii="Arial" w:hAnsi="Arial" w:eastAsia="宋体" w:cs="Arial"/>
                <w:color w:val="auto"/>
                <w:spacing w:val="-6"/>
                <w:highlight w:val="none"/>
              </w:rPr>
            </w:pPr>
            <w:r>
              <w:rPr>
                <w:rFonts w:ascii="Arial" w:hAnsi="Arial" w:eastAsia="宋体" w:cs="Arial"/>
                <w:color w:val="auto"/>
                <w:spacing w:val="-6"/>
                <w:highlight w:val="none"/>
              </w:rPr>
              <w:t>交付时间及地点:</w:t>
            </w:r>
          </w:p>
        </w:tc>
      </w:tr>
      <w:tr w14:paraId="197B7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7C25A96D">
            <w:pPr>
              <w:spacing w:line="288" w:lineRule="auto"/>
              <w:rPr>
                <w:rFonts w:ascii="Arial" w:hAnsi="Arial" w:eastAsia="宋体" w:cs="Arial"/>
                <w:color w:val="auto"/>
                <w:spacing w:val="-6"/>
                <w:highlight w:val="none"/>
              </w:rPr>
            </w:pPr>
            <w:r>
              <w:rPr>
                <w:rFonts w:ascii="Arial" w:hAnsi="Arial" w:eastAsia="宋体" w:cs="Arial"/>
                <w:color w:val="auto"/>
                <w:spacing w:val="-6"/>
                <w:highlight w:val="none"/>
              </w:rPr>
              <w:t>本项目响应有效期为响应文件递交截止时间之日起90天。</w:t>
            </w:r>
          </w:p>
        </w:tc>
      </w:tr>
      <w:tr w14:paraId="32218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7DE39C30">
            <w:pPr>
              <w:spacing w:line="288" w:lineRule="auto"/>
              <w:rPr>
                <w:rFonts w:ascii="Arial" w:hAnsi="Arial" w:eastAsia="宋体" w:cs="Arial"/>
                <w:color w:val="auto"/>
                <w:spacing w:val="-6"/>
                <w:highlight w:val="none"/>
              </w:rPr>
            </w:pPr>
            <w:r>
              <w:rPr>
                <w:rFonts w:ascii="Arial" w:hAnsi="Arial" w:eastAsia="宋体" w:cs="Arial"/>
                <w:color w:val="auto"/>
                <w:spacing w:val="-6"/>
                <w:highlight w:val="none"/>
              </w:rPr>
              <w:t>质保期：</w:t>
            </w:r>
          </w:p>
        </w:tc>
      </w:tr>
      <w:tr w14:paraId="46948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0479" w:type="dxa"/>
            <w:gridSpan w:val="8"/>
            <w:tcBorders>
              <w:top w:val="single" w:color="auto" w:sz="4" w:space="0"/>
              <w:left w:val="single" w:color="auto" w:sz="4" w:space="0"/>
              <w:bottom w:val="single" w:color="auto" w:sz="4" w:space="0"/>
            </w:tcBorders>
            <w:vAlign w:val="center"/>
          </w:tcPr>
          <w:p w14:paraId="77A1653C">
            <w:pPr>
              <w:spacing w:line="288" w:lineRule="auto"/>
              <w:rPr>
                <w:rFonts w:ascii="Arial" w:hAnsi="Arial" w:eastAsia="宋体" w:cs="Arial"/>
                <w:b/>
                <w:bCs/>
                <w:color w:val="auto"/>
                <w:highlight w:val="none"/>
              </w:rPr>
            </w:pPr>
            <w:r>
              <w:rPr>
                <w:rFonts w:ascii="Arial" w:hAnsi="Arial" w:eastAsia="宋体" w:cs="Arial"/>
                <w:color w:val="auto"/>
                <w:highlight w:val="none"/>
              </w:rPr>
              <w:t>说明：</w:t>
            </w:r>
            <w:r>
              <w:rPr>
                <w:rFonts w:hint="eastAsia" w:ascii="Arial" w:hAnsi="Arial" w:eastAsia="宋体" w:cs="Arial"/>
                <w:color w:val="auto"/>
                <w:highlight w:val="none"/>
              </w:rPr>
              <w:t>谈判报价指本次采购范围内货物货款、货物标准附件、备品备件、专用工具、包装、运输、装卸、保险、税金、货到就位以及安装、安装所需辅材、调试、培训、保修和和采购文件要求提供的所有伴随服务、工程等费用和税费，采购人不再支付任何费用；验收过程中所产生的一切费用均由成交供应商承担；报价时应考虑相关费用。</w:t>
            </w:r>
          </w:p>
        </w:tc>
      </w:tr>
    </w:tbl>
    <w:p w14:paraId="2D9F1C7B">
      <w:pPr>
        <w:snapToGrid w:val="0"/>
        <w:spacing w:line="288" w:lineRule="auto"/>
        <w:jc w:val="left"/>
        <w:rPr>
          <w:rFonts w:ascii="Arial" w:hAnsi="Arial" w:eastAsia="宋体" w:cs="Arial"/>
          <w:color w:val="auto"/>
          <w:highlight w:val="none"/>
        </w:rPr>
      </w:pPr>
    </w:p>
    <w:p w14:paraId="534E9F92">
      <w:pPr>
        <w:snapToGrid w:val="0"/>
        <w:spacing w:line="288" w:lineRule="auto"/>
        <w:jc w:val="left"/>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134F07A7">
      <w:pPr>
        <w:pStyle w:val="14"/>
        <w:spacing w:line="288" w:lineRule="auto"/>
        <w:jc w:val="left"/>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5DC82624">
      <w:pPr>
        <w:pStyle w:val="14"/>
        <w:spacing w:line="288" w:lineRule="auto"/>
        <w:jc w:val="left"/>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23315E91">
      <w:pPr>
        <w:tabs>
          <w:tab w:val="left" w:pos="1305"/>
        </w:tabs>
        <w:spacing w:line="288" w:lineRule="auto"/>
        <w:ind w:left="625" w:leftChars="98"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w:t>
      </w:r>
      <w:r>
        <w:rPr>
          <w:rFonts w:ascii="Arial" w:hAnsi="Arial" w:eastAsia="宋体" w:cs="Arial"/>
          <w:b/>
          <w:bCs/>
          <w:color w:val="auto"/>
          <w:szCs w:val="21"/>
          <w:highlight w:val="none"/>
        </w:rPr>
        <w:t>：</w:t>
      </w:r>
      <w:r>
        <w:rPr>
          <w:rFonts w:ascii="Arial" w:hAnsi="Arial" w:eastAsia="宋体" w:cs="Arial"/>
          <w:bCs/>
          <w:color w:val="auto"/>
          <w:szCs w:val="21"/>
          <w:highlight w:val="none"/>
        </w:rPr>
        <w:t>1.</w:t>
      </w:r>
      <w:r>
        <w:rPr>
          <w:rFonts w:ascii="Arial" w:hAnsi="Arial" w:eastAsia="宋体" w:cs="Arial"/>
          <w:color w:val="auto"/>
          <w:szCs w:val="21"/>
          <w:highlight w:val="none"/>
        </w:rPr>
        <w:t>供应商必须就“项目采购需求”中的所有内容作完整唯一报价，否则，其响应将被拒绝。</w:t>
      </w:r>
    </w:p>
    <w:p w14:paraId="43EF1DB3">
      <w:pPr>
        <w:pStyle w:val="14"/>
        <w:spacing w:line="288" w:lineRule="auto"/>
        <w:ind w:firstLine="630" w:firstLineChars="300"/>
        <w:rPr>
          <w:rFonts w:ascii="Arial" w:hAnsi="Arial" w:eastAsia="宋体" w:cs="Arial"/>
          <w:color w:val="auto"/>
          <w:highlight w:val="none"/>
        </w:rPr>
      </w:pPr>
      <w:r>
        <w:rPr>
          <w:rFonts w:ascii="Arial" w:hAnsi="Arial" w:eastAsia="宋体" w:cs="Arial"/>
          <w:color w:val="auto"/>
          <w:highlight w:val="none"/>
        </w:rPr>
        <w:t>2.</w:t>
      </w:r>
      <w:r>
        <w:rPr>
          <w:rFonts w:ascii="Arial" w:hAnsi="Arial" w:eastAsia="宋体" w:cs="Arial"/>
          <w:color w:val="auto"/>
          <w:szCs w:val="21"/>
          <w:highlight w:val="none"/>
        </w:rPr>
        <w:t>供应商</w:t>
      </w:r>
      <w:r>
        <w:rPr>
          <w:rFonts w:ascii="Arial" w:hAnsi="Arial" w:eastAsia="宋体" w:cs="Arial"/>
          <w:color w:val="auto"/>
          <w:highlight w:val="none"/>
        </w:rPr>
        <w:t>应根据所提供的货物如实填写</w:t>
      </w:r>
      <w:r>
        <w:rPr>
          <w:rFonts w:ascii="Arial" w:hAnsi="Arial" w:eastAsia="宋体" w:cs="Arial"/>
          <w:color w:val="auto"/>
          <w:szCs w:val="21"/>
          <w:highlight w:val="none"/>
        </w:rPr>
        <w:t>谈判</w:t>
      </w:r>
      <w:r>
        <w:rPr>
          <w:rFonts w:ascii="Arial" w:hAnsi="Arial" w:eastAsia="宋体" w:cs="Arial"/>
          <w:color w:val="auto"/>
          <w:highlight w:val="none"/>
        </w:rPr>
        <w:t>报价表</w:t>
      </w:r>
      <w:r>
        <w:rPr>
          <w:rFonts w:ascii="Arial" w:hAnsi="Arial" w:eastAsia="宋体" w:cs="Arial"/>
          <w:bCs/>
          <w:color w:val="auto"/>
          <w:szCs w:val="21"/>
          <w:highlight w:val="none"/>
        </w:rPr>
        <w:t>的各项内容，否则，响应文件无效。</w:t>
      </w:r>
    </w:p>
    <w:p w14:paraId="48289E44">
      <w:pPr>
        <w:spacing w:line="288" w:lineRule="auto"/>
        <w:ind w:left="630" w:leftChars="300"/>
        <w:rPr>
          <w:rFonts w:ascii="Arial" w:hAnsi="Arial" w:eastAsia="宋体" w:cs="Arial"/>
          <w:bCs/>
          <w:color w:val="auto"/>
          <w:szCs w:val="21"/>
          <w:highlight w:val="none"/>
        </w:rPr>
      </w:pPr>
      <w:r>
        <w:rPr>
          <w:rFonts w:ascii="Arial" w:hAnsi="Arial" w:eastAsia="宋体" w:cs="Arial"/>
          <w:bCs/>
          <w:color w:val="auto"/>
          <w:szCs w:val="21"/>
          <w:highlight w:val="none"/>
        </w:rPr>
        <w:t>3.</w:t>
      </w:r>
      <w:r>
        <w:rPr>
          <w:rFonts w:ascii="Arial" w:hAnsi="Arial" w:eastAsia="宋体" w:cs="Arial"/>
          <w:color w:val="auto"/>
          <w:szCs w:val="21"/>
          <w:highlight w:val="none"/>
        </w:rPr>
        <w:t>谈判</w:t>
      </w:r>
      <w:r>
        <w:rPr>
          <w:rFonts w:ascii="Arial" w:hAnsi="Arial" w:eastAsia="宋体" w:cs="Arial"/>
          <w:bCs/>
          <w:color w:val="auto"/>
          <w:szCs w:val="21"/>
          <w:highlight w:val="none"/>
        </w:rPr>
        <w:t>报价表须由法定代表人（负责人)</w:t>
      </w:r>
      <w:r>
        <w:rPr>
          <w:rFonts w:ascii="Arial" w:hAnsi="Arial" w:eastAsia="宋体" w:cs="Arial"/>
          <w:color w:val="auto"/>
          <w:highlight w:val="none"/>
        </w:rPr>
        <w:t>或相应的委托代理人签字并加盖供应商公章。当本表由多页构成时，需逐页加盖供应商公章。</w:t>
      </w:r>
    </w:p>
    <w:p w14:paraId="1D6182D2">
      <w:pPr>
        <w:spacing w:line="288" w:lineRule="auto"/>
        <w:rPr>
          <w:rFonts w:ascii="Arial" w:hAnsi="Arial" w:eastAsia="宋体" w:cs="Arial"/>
          <w:color w:val="auto"/>
          <w:highlight w:val="none"/>
        </w:rPr>
        <w:sectPr>
          <w:pgSz w:w="11906" w:h="16838"/>
          <w:pgMar w:top="1440" w:right="935" w:bottom="1440" w:left="779" w:header="851" w:footer="992" w:gutter="0"/>
          <w:cols w:space="720" w:num="1"/>
          <w:docGrid w:type="linesAndChars" w:linePitch="312" w:charSpace="0"/>
        </w:sectPr>
      </w:pPr>
    </w:p>
    <w:p w14:paraId="56BFC087">
      <w:pPr>
        <w:pStyle w:val="14"/>
        <w:spacing w:line="288" w:lineRule="auto"/>
        <w:rPr>
          <w:rFonts w:ascii="Arial" w:hAnsi="Arial" w:eastAsia="宋体" w:cs="Arial"/>
          <w:b/>
          <w:color w:val="auto"/>
          <w:sz w:val="28"/>
          <w:szCs w:val="28"/>
          <w:highlight w:val="none"/>
        </w:rPr>
      </w:pPr>
      <w:bookmarkStart w:id="36" w:name="_Toc4669"/>
      <w:bookmarkStart w:id="37" w:name="_Toc31146"/>
      <w:bookmarkStart w:id="38" w:name="_Toc20974"/>
      <w:r>
        <w:rPr>
          <w:rFonts w:ascii="Arial" w:hAnsi="Arial" w:eastAsia="宋体" w:cs="Arial"/>
          <w:b/>
          <w:color w:val="auto"/>
          <w:sz w:val="28"/>
          <w:szCs w:val="28"/>
          <w:highlight w:val="none"/>
        </w:rPr>
        <w:t>2.技术响应表（必须提供）</w:t>
      </w:r>
      <w:bookmarkEnd w:id="36"/>
      <w:bookmarkEnd w:id="37"/>
      <w:bookmarkEnd w:id="38"/>
    </w:p>
    <w:p w14:paraId="6F6F7135">
      <w:pPr>
        <w:pStyle w:val="14"/>
        <w:spacing w:line="288" w:lineRule="auto"/>
        <w:ind w:firstLine="472" w:firstLineChars="147"/>
        <w:rPr>
          <w:rFonts w:ascii="Arial" w:hAnsi="Arial" w:eastAsia="宋体" w:cs="Arial"/>
          <w:b/>
          <w:color w:val="auto"/>
          <w:sz w:val="24"/>
          <w:szCs w:val="24"/>
          <w:highlight w:val="none"/>
        </w:rPr>
      </w:pPr>
      <w:bookmarkStart w:id="39" w:name="_Toc23422"/>
      <w:bookmarkStart w:id="40" w:name="_Toc7329"/>
      <w:bookmarkStart w:id="41" w:name="_Toc19638"/>
      <w:r>
        <w:rPr>
          <w:rFonts w:ascii="Arial" w:hAnsi="Arial" w:eastAsia="宋体" w:cs="Arial"/>
          <w:b/>
          <w:bCs/>
          <w:color w:val="auto"/>
          <w:sz w:val="32"/>
          <w:szCs w:val="32"/>
          <w:highlight w:val="none"/>
        </w:rPr>
        <w:t>附件：</w:t>
      </w:r>
      <w:bookmarkEnd w:id="39"/>
      <w:bookmarkEnd w:id="40"/>
      <w:bookmarkEnd w:id="41"/>
      <w:r>
        <w:rPr>
          <w:rFonts w:ascii="Arial" w:hAnsi="Arial" w:eastAsia="宋体" w:cs="Arial"/>
          <w:b/>
          <w:bCs/>
          <w:color w:val="auto"/>
          <w:sz w:val="32"/>
          <w:szCs w:val="32"/>
          <w:highlight w:val="none"/>
        </w:rPr>
        <w:t xml:space="preserve"> </w:t>
      </w:r>
      <w:r>
        <w:rPr>
          <w:rFonts w:ascii="Arial" w:hAnsi="Arial" w:eastAsia="宋体" w:cs="Arial"/>
          <w:b/>
          <w:color w:val="auto"/>
          <w:sz w:val="24"/>
          <w:szCs w:val="24"/>
          <w:highlight w:val="none"/>
        </w:rPr>
        <w:t xml:space="preserve">           </w:t>
      </w:r>
    </w:p>
    <w:p w14:paraId="00568EF8">
      <w:pPr>
        <w:pStyle w:val="14"/>
        <w:spacing w:line="288" w:lineRule="auto"/>
        <w:ind w:firstLine="472" w:firstLineChars="147"/>
        <w:jc w:val="center"/>
        <w:rPr>
          <w:rFonts w:ascii="Arial" w:hAnsi="Arial" w:eastAsia="宋体" w:cs="Arial"/>
          <w:b/>
          <w:bCs/>
          <w:color w:val="auto"/>
          <w:sz w:val="32"/>
          <w:highlight w:val="none"/>
        </w:rPr>
      </w:pPr>
      <w:r>
        <w:rPr>
          <w:rFonts w:ascii="Arial" w:hAnsi="Arial" w:eastAsia="宋体" w:cs="Arial"/>
          <w:b/>
          <w:bCs/>
          <w:color w:val="auto"/>
          <w:sz w:val="32"/>
          <w:highlight w:val="none"/>
        </w:rPr>
        <w:t>技术响应表（格式）</w:t>
      </w: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14:paraId="3025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vAlign w:val="center"/>
          </w:tcPr>
          <w:p w14:paraId="18C8B753">
            <w:pPr>
              <w:pStyle w:val="14"/>
              <w:spacing w:line="288" w:lineRule="auto"/>
              <w:jc w:val="center"/>
              <w:rPr>
                <w:rFonts w:ascii="Arial" w:hAnsi="Arial" w:eastAsia="宋体" w:cs="Arial"/>
                <w:color w:val="auto"/>
                <w:highlight w:val="none"/>
              </w:rPr>
            </w:pPr>
            <w:r>
              <w:rPr>
                <w:rFonts w:ascii="Arial" w:hAnsi="Arial" w:eastAsia="宋体" w:cs="Arial"/>
                <w:color w:val="auto"/>
                <w:highlight w:val="none"/>
              </w:rPr>
              <w:t>项号</w:t>
            </w:r>
          </w:p>
        </w:tc>
        <w:tc>
          <w:tcPr>
            <w:tcW w:w="2079" w:type="dxa"/>
            <w:vAlign w:val="center"/>
          </w:tcPr>
          <w:p w14:paraId="527BCBC2">
            <w:pPr>
              <w:pStyle w:val="14"/>
              <w:spacing w:line="288" w:lineRule="auto"/>
              <w:jc w:val="center"/>
              <w:rPr>
                <w:rFonts w:ascii="Arial" w:hAnsi="Arial" w:eastAsia="宋体" w:cs="Arial"/>
                <w:color w:val="auto"/>
                <w:highlight w:val="none"/>
              </w:rPr>
            </w:pPr>
            <w:r>
              <w:rPr>
                <w:rFonts w:ascii="Arial" w:hAnsi="Arial" w:eastAsia="宋体" w:cs="Arial"/>
                <w:color w:val="auto"/>
                <w:highlight w:val="none"/>
              </w:rPr>
              <w:t>货物服务名称</w:t>
            </w:r>
          </w:p>
        </w:tc>
        <w:tc>
          <w:tcPr>
            <w:tcW w:w="2326" w:type="dxa"/>
            <w:vAlign w:val="center"/>
          </w:tcPr>
          <w:p w14:paraId="390D01D4">
            <w:pPr>
              <w:pStyle w:val="14"/>
              <w:spacing w:line="288" w:lineRule="auto"/>
              <w:jc w:val="center"/>
              <w:rPr>
                <w:rFonts w:ascii="Arial" w:hAnsi="Arial" w:eastAsia="宋体" w:cs="Arial"/>
                <w:color w:val="auto"/>
                <w:highlight w:val="none"/>
              </w:rPr>
            </w:pPr>
            <w:r>
              <w:rPr>
                <w:rFonts w:ascii="Arial" w:hAnsi="Arial" w:eastAsia="宋体" w:cs="Arial"/>
                <w:color w:val="auto"/>
                <w:highlight w:val="none"/>
              </w:rPr>
              <w:t>项目要求及技术需求</w:t>
            </w:r>
          </w:p>
        </w:tc>
        <w:tc>
          <w:tcPr>
            <w:tcW w:w="1771" w:type="dxa"/>
            <w:vAlign w:val="center"/>
          </w:tcPr>
          <w:p w14:paraId="47C67FA1">
            <w:pPr>
              <w:pStyle w:val="14"/>
              <w:spacing w:line="288" w:lineRule="auto"/>
              <w:jc w:val="center"/>
              <w:rPr>
                <w:rFonts w:ascii="Arial" w:hAnsi="Arial" w:eastAsia="宋体" w:cs="Arial"/>
                <w:color w:val="auto"/>
                <w:highlight w:val="none"/>
              </w:rPr>
            </w:pPr>
            <w:r>
              <w:rPr>
                <w:rFonts w:ascii="Arial" w:hAnsi="Arial" w:eastAsia="宋体" w:cs="Arial"/>
                <w:color w:val="auto"/>
                <w:szCs w:val="21"/>
                <w:highlight w:val="none"/>
              </w:rPr>
              <w:t>响应文件的响应情况</w:t>
            </w:r>
          </w:p>
        </w:tc>
        <w:tc>
          <w:tcPr>
            <w:tcW w:w="2014" w:type="dxa"/>
            <w:vAlign w:val="center"/>
          </w:tcPr>
          <w:p w14:paraId="1D34A6A5">
            <w:pPr>
              <w:pStyle w:val="14"/>
              <w:spacing w:line="288" w:lineRule="auto"/>
              <w:jc w:val="center"/>
              <w:rPr>
                <w:rFonts w:ascii="Arial" w:hAnsi="Arial" w:eastAsia="宋体" w:cs="Arial"/>
                <w:color w:val="auto"/>
                <w:highlight w:val="none"/>
              </w:rPr>
            </w:pPr>
            <w:bookmarkStart w:id="42" w:name="_Toc254970560"/>
            <w:bookmarkStart w:id="43" w:name="_Toc254970701"/>
            <w:r>
              <w:rPr>
                <w:rFonts w:ascii="Arial" w:hAnsi="Arial" w:eastAsia="宋体" w:cs="Arial"/>
                <w:color w:val="auto"/>
                <w:highlight w:val="none"/>
              </w:rPr>
              <w:t>偏离情况</w:t>
            </w:r>
            <w:bookmarkEnd w:id="42"/>
            <w:bookmarkEnd w:id="43"/>
            <w:r>
              <w:rPr>
                <w:rFonts w:ascii="Arial" w:hAnsi="Arial" w:eastAsia="宋体" w:cs="Arial"/>
                <w:color w:val="auto"/>
                <w:highlight w:val="none"/>
              </w:rPr>
              <w:t>说明</w:t>
            </w:r>
          </w:p>
        </w:tc>
      </w:tr>
      <w:tr w14:paraId="200D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22CD1C3B">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079" w:type="dxa"/>
            <w:vAlign w:val="center"/>
          </w:tcPr>
          <w:p w14:paraId="0B2B0713">
            <w:pPr>
              <w:spacing w:line="288" w:lineRule="auto"/>
              <w:jc w:val="center"/>
              <w:rPr>
                <w:rFonts w:ascii="Arial" w:hAnsi="Arial" w:eastAsia="宋体" w:cs="Arial"/>
                <w:color w:val="auto"/>
                <w:szCs w:val="21"/>
                <w:highlight w:val="none"/>
              </w:rPr>
            </w:pPr>
          </w:p>
        </w:tc>
        <w:tc>
          <w:tcPr>
            <w:tcW w:w="2326" w:type="dxa"/>
            <w:vAlign w:val="center"/>
          </w:tcPr>
          <w:p w14:paraId="5F52DD82">
            <w:pPr>
              <w:spacing w:line="288" w:lineRule="auto"/>
              <w:rPr>
                <w:rFonts w:ascii="Arial" w:hAnsi="Arial" w:eastAsia="宋体" w:cs="Arial"/>
                <w:color w:val="auto"/>
                <w:highlight w:val="none"/>
              </w:rPr>
            </w:pPr>
          </w:p>
        </w:tc>
        <w:tc>
          <w:tcPr>
            <w:tcW w:w="1771" w:type="dxa"/>
          </w:tcPr>
          <w:p w14:paraId="28DD4777">
            <w:pPr>
              <w:pStyle w:val="14"/>
              <w:spacing w:line="288" w:lineRule="auto"/>
              <w:jc w:val="center"/>
              <w:rPr>
                <w:rFonts w:ascii="Arial" w:hAnsi="Arial" w:eastAsia="宋体" w:cs="Arial"/>
                <w:color w:val="auto"/>
                <w:highlight w:val="none"/>
              </w:rPr>
            </w:pPr>
          </w:p>
        </w:tc>
        <w:tc>
          <w:tcPr>
            <w:tcW w:w="2014" w:type="dxa"/>
            <w:vAlign w:val="center"/>
          </w:tcPr>
          <w:p w14:paraId="10D6A6A2">
            <w:pPr>
              <w:pStyle w:val="14"/>
              <w:spacing w:line="288" w:lineRule="auto"/>
              <w:jc w:val="center"/>
              <w:rPr>
                <w:rFonts w:ascii="Arial" w:hAnsi="Arial" w:eastAsia="宋体" w:cs="Arial"/>
                <w:color w:val="auto"/>
                <w:highlight w:val="none"/>
              </w:rPr>
            </w:pPr>
          </w:p>
        </w:tc>
      </w:tr>
      <w:tr w14:paraId="5180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1448DC55">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079" w:type="dxa"/>
            <w:vAlign w:val="center"/>
          </w:tcPr>
          <w:p w14:paraId="1E5CF130">
            <w:pPr>
              <w:spacing w:line="288" w:lineRule="auto"/>
              <w:jc w:val="center"/>
              <w:rPr>
                <w:rFonts w:ascii="Arial" w:hAnsi="Arial" w:eastAsia="宋体" w:cs="Arial"/>
                <w:color w:val="auto"/>
                <w:szCs w:val="21"/>
                <w:highlight w:val="none"/>
              </w:rPr>
            </w:pPr>
          </w:p>
        </w:tc>
        <w:tc>
          <w:tcPr>
            <w:tcW w:w="2326" w:type="dxa"/>
            <w:vAlign w:val="center"/>
          </w:tcPr>
          <w:p w14:paraId="229C9C27">
            <w:pPr>
              <w:spacing w:line="288" w:lineRule="auto"/>
              <w:rPr>
                <w:rFonts w:ascii="Arial" w:hAnsi="Arial" w:eastAsia="宋体" w:cs="Arial"/>
                <w:color w:val="auto"/>
                <w:highlight w:val="none"/>
              </w:rPr>
            </w:pPr>
          </w:p>
        </w:tc>
        <w:tc>
          <w:tcPr>
            <w:tcW w:w="1771" w:type="dxa"/>
          </w:tcPr>
          <w:p w14:paraId="407486FC">
            <w:pPr>
              <w:pStyle w:val="14"/>
              <w:spacing w:line="288" w:lineRule="auto"/>
              <w:jc w:val="center"/>
              <w:rPr>
                <w:rFonts w:ascii="Arial" w:hAnsi="Arial" w:eastAsia="宋体" w:cs="Arial"/>
                <w:color w:val="auto"/>
                <w:highlight w:val="none"/>
              </w:rPr>
            </w:pPr>
          </w:p>
        </w:tc>
        <w:tc>
          <w:tcPr>
            <w:tcW w:w="2014" w:type="dxa"/>
            <w:vAlign w:val="center"/>
          </w:tcPr>
          <w:p w14:paraId="6D85CFF8">
            <w:pPr>
              <w:pStyle w:val="14"/>
              <w:spacing w:line="288" w:lineRule="auto"/>
              <w:jc w:val="center"/>
              <w:rPr>
                <w:rFonts w:ascii="Arial" w:hAnsi="Arial" w:eastAsia="宋体" w:cs="Arial"/>
                <w:color w:val="auto"/>
                <w:highlight w:val="none"/>
              </w:rPr>
            </w:pPr>
          </w:p>
        </w:tc>
      </w:tr>
      <w:tr w14:paraId="7F1F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71A10260">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2079" w:type="dxa"/>
            <w:vAlign w:val="center"/>
          </w:tcPr>
          <w:p w14:paraId="3251A425">
            <w:pPr>
              <w:spacing w:line="288" w:lineRule="auto"/>
              <w:jc w:val="center"/>
              <w:rPr>
                <w:rFonts w:ascii="Arial" w:hAnsi="Arial" w:eastAsia="宋体" w:cs="Arial"/>
                <w:bCs/>
                <w:color w:val="auto"/>
                <w:szCs w:val="21"/>
                <w:highlight w:val="none"/>
              </w:rPr>
            </w:pPr>
          </w:p>
        </w:tc>
        <w:tc>
          <w:tcPr>
            <w:tcW w:w="2326" w:type="dxa"/>
            <w:vAlign w:val="center"/>
          </w:tcPr>
          <w:p w14:paraId="532A39E3">
            <w:pPr>
              <w:spacing w:line="288" w:lineRule="auto"/>
              <w:rPr>
                <w:rFonts w:ascii="Arial" w:hAnsi="Arial" w:eastAsia="宋体" w:cs="Arial"/>
                <w:color w:val="auto"/>
                <w:highlight w:val="none"/>
              </w:rPr>
            </w:pPr>
          </w:p>
        </w:tc>
        <w:tc>
          <w:tcPr>
            <w:tcW w:w="1771" w:type="dxa"/>
          </w:tcPr>
          <w:p w14:paraId="35B9F517">
            <w:pPr>
              <w:pStyle w:val="14"/>
              <w:spacing w:line="288" w:lineRule="auto"/>
              <w:jc w:val="center"/>
              <w:rPr>
                <w:rFonts w:ascii="Arial" w:hAnsi="Arial" w:eastAsia="宋体" w:cs="Arial"/>
                <w:color w:val="auto"/>
                <w:highlight w:val="none"/>
              </w:rPr>
            </w:pPr>
          </w:p>
        </w:tc>
        <w:tc>
          <w:tcPr>
            <w:tcW w:w="2014" w:type="dxa"/>
            <w:vAlign w:val="center"/>
          </w:tcPr>
          <w:p w14:paraId="38123B59">
            <w:pPr>
              <w:pStyle w:val="14"/>
              <w:spacing w:line="288" w:lineRule="auto"/>
              <w:jc w:val="center"/>
              <w:rPr>
                <w:rFonts w:ascii="Arial" w:hAnsi="Arial" w:eastAsia="宋体" w:cs="Arial"/>
                <w:color w:val="auto"/>
                <w:highlight w:val="none"/>
              </w:rPr>
            </w:pPr>
          </w:p>
        </w:tc>
      </w:tr>
      <w:tr w14:paraId="78B7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797DE342">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14:paraId="6D1A6EE9">
            <w:pPr>
              <w:spacing w:line="288" w:lineRule="auto"/>
              <w:jc w:val="center"/>
              <w:rPr>
                <w:rFonts w:ascii="Arial" w:hAnsi="Arial" w:eastAsia="宋体" w:cs="Arial"/>
                <w:bCs/>
                <w:color w:val="auto"/>
                <w:szCs w:val="21"/>
                <w:highlight w:val="none"/>
              </w:rPr>
            </w:pPr>
          </w:p>
        </w:tc>
        <w:tc>
          <w:tcPr>
            <w:tcW w:w="2326" w:type="dxa"/>
            <w:vAlign w:val="center"/>
          </w:tcPr>
          <w:p w14:paraId="2DF05B9D">
            <w:pPr>
              <w:spacing w:line="288" w:lineRule="auto"/>
              <w:rPr>
                <w:rFonts w:ascii="Arial" w:hAnsi="Arial" w:eastAsia="宋体" w:cs="Arial"/>
                <w:color w:val="auto"/>
                <w:highlight w:val="none"/>
              </w:rPr>
            </w:pPr>
          </w:p>
        </w:tc>
        <w:tc>
          <w:tcPr>
            <w:tcW w:w="1771" w:type="dxa"/>
          </w:tcPr>
          <w:p w14:paraId="4FCEC21A">
            <w:pPr>
              <w:pStyle w:val="14"/>
              <w:spacing w:line="288" w:lineRule="auto"/>
              <w:jc w:val="center"/>
              <w:rPr>
                <w:rFonts w:ascii="Arial" w:hAnsi="Arial" w:eastAsia="宋体" w:cs="Arial"/>
                <w:color w:val="auto"/>
                <w:highlight w:val="none"/>
              </w:rPr>
            </w:pPr>
          </w:p>
        </w:tc>
        <w:tc>
          <w:tcPr>
            <w:tcW w:w="2014" w:type="dxa"/>
            <w:vAlign w:val="center"/>
          </w:tcPr>
          <w:p w14:paraId="1696D1D5">
            <w:pPr>
              <w:pStyle w:val="14"/>
              <w:spacing w:line="288" w:lineRule="auto"/>
              <w:jc w:val="center"/>
              <w:rPr>
                <w:rFonts w:ascii="Arial" w:hAnsi="Arial" w:eastAsia="宋体" w:cs="Arial"/>
                <w:color w:val="auto"/>
                <w:highlight w:val="none"/>
              </w:rPr>
            </w:pPr>
          </w:p>
        </w:tc>
      </w:tr>
      <w:tr w14:paraId="5E2B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0ABE04B9">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14:paraId="2D275756">
            <w:pPr>
              <w:spacing w:line="288" w:lineRule="auto"/>
              <w:jc w:val="center"/>
              <w:rPr>
                <w:rFonts w:ascii="Arial" w:hAnsi="Arial" w:eastAsia="宋体" w:cs="Arial"/>
                <w:bCs/>
                <w:color w:val="auto"/>
                <w:szCs w:val="21"/>
                <w:highlight w:val="none"/>
              </w:rPr>
            </w:pPr>
          </w:p>
        </w:tc>
        <w:tc>
          <w:tcPr>
            <w:tcW w:w="2326" w:type="dxa"/>
            <w:vAlign w:val="center"/>
          </w:tcPr>
          <w:p w14:paraId="3C477617">
            <w:pPr>
              <w:spacing w:line="288" w:lineRule="auto"/>
              <w:rPr>
                <w:rFonts w:ascii="Arial" w:hAnsi="Arial" w:eastAsia="宋体" w:cs="Arial"/>
                <w:color w:val="auto"/>
                <w:highlight w:val="none"/>
              </w:rPr>
            </w:pPr>
          </w:p>
        </w:tc>
        <w:tc>
          <w:tcPr>
            <w:tcW w:w="1771" w:type="dxa"/>
          </w:tcPr>
          <w:p w14:paraId="238F2D50">
            <w:pPr>
              <w:pStyle w:val="14"/>
              <w:spacing w:line="288" w:lineRule="auto"/>
              <w:jc w:val="center"/>
              <w:rPr>
                <w:rFonts w:ascii="Arial" w:hAnsi="Arial" w:eastAsia="宋体" w:cs="Arial"/>
                <w:color w:val="auto"/>
                <w:highlight w:val="none"/>
              </w:rPr>
            </w:pPr>
          </w:p>
        </w:tc>
        <w:tc>
          <w:tcPr>
            <w:tcW w:w="2014" w:type="dxa"/>
            <w:vAlign w:val="center"/>
          </w:tcPr>
          <w:p w14:paraId="21D39D5D">
            <w:pPr>
              <w:pStyle w:val="14"/>
              <w:spacing w:line="288" w:lineRule="auto"/>
              <w:jc w:val="center"/>
              <w:rPr>
                <w:rFonts w:ascii="Arial" w:hAnsi="Arial" w:eastAsia="宋体" w:cs="Arial"/>
                <w:color w:val="auto"/>
                <w:highlight w:val="none"/>
              </w:rPr>
            </w:pPr>
          </w:p>
        </w:tc>
      </w:tr>
    </w:tbl>
    <w:p w14:paraId="2BC0F91F">
      <w:pPr>
        <w:pStyle w:val="14"/>
        <w:spacing w:line="288" w:lineRule="auto"/>
        <w:rPr>
          <w:rFonts w:ascii="Arial" w:hAnsi="Arial" w:eastAsia="宋体" w:cs="Arial"/>
          <w:color w:val="auto"/>
          <w:highlight w:val="none"/>
          <w:u w:val="single"/>
        </w:rPr>
      </w:pPr>
    </w:p>
    <w:p w14:paraId="38ED93C8">
      <w:pPr>
        <w:snapToGrid w:val="0"/>
        <w:spacing w:line="288" w:lineRule="auto"/>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6C2971BC">
      <w:pPr>
        <w:pStyle w:val="14"/>
        <w:spacing w:line="288" w:lineRule="auto"/>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31E596D8">
      <w:pPr>
        <w:pStyle w:val="14"/>
        <w:spacing w:line="288" w:lineRule="auto"/>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74CA7038">
      <w:pPr>
        <w:pStyle w:val="14"/>
        <w:spacing w:line="288" w:lineRule="auto"/>
        <w:ind w:left="420" w:hanging="420" w:hangingChars="200"/>
        <w:rPr>
          <w:rFonts w:ascii="Arial" w:hAnsi="Arial" w:eastAsia="宋体" w:cs="Arial"/>
          <w:bCs/>
          <w:color w:val="auto"/>
          <w:szCs w:val="21"/>
          <w:highlight w:val="none"/>
        </w:rPr>
      </w:pPr>
    </w:p>
    <w:p w14:paraId="084BD205">
      <w:pPr>
        <w:pStyle w:val="14"/>
        <w:spacing w:line="288" w:lineRule="auto"/>
        <w:ind w:left="420" w:hanging="420" w:hangingChars="200"/>
        <w:rPr>
          <w:rFonts w:ascii="Arial" w:hAnsi="Arial" w:eastAsia="宋体" w:cs="Arial"/>
          <w:bCs/>
          <w:color w:val="auto"/>
          <w:szCs w:val="21"/>
          <w:highlight w:val="none"/>
        </w:rPr>
      </w:pPr>
    </w:p>
    <w:p w14:paraId="7682129A">
      <w:pPr>
        <w:pStyle w:val="14"/>
        <w:spacing w:line="288" w:lineRule="auto"/>
        <w:ind w:left="420"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注：1.</w:t>
      </w:r>
      <w:r>
        <w:rPr>
          <w:rFonts w:ascii="Arial" w:hAnsi="Arial" w:eastAsia="宋体" w:cs="Arial"/>
          <w:color w:val="auto"/>
          <w:highlight w:val="none"/>
        </w:rPr>
        <w:t xml:space="preserve"> 供应商应根据提供货物的性能指标承诺（即：谈判报价表）、对照“项目采购需求”详细注明响应情况，并按格式填写此表，当所提供货物的技术参数性能指标等承诺出现“正偏离”情况时，应详</w:t>
      </w:r>
      <w:r>
        <w:rPr>
          <w:rFonts w:ascii="Arial" w:hAnsi="Arial" w:eastAsia="宋体" w:cs="Arial"/>
          <w:bCs/>
          <w:color w:val="auto"/>
          <w:szCs w:val="21"/>
          <w:highlight w:val="none"/>
        </w:rPr>
        <w:t>细填写偏离情况说明及提供相应有效的证明材料；经谈判小组审核确定“正偏离”情况。</w:t>
      </w:r>
    </w:p>
    <w:p w14:paraId="35970EFC">
      <w:pPr>
        <w:pStyle w:val="14"/>
        <w:spacing w:line="288" w:lineRule="auto"/>
        <w:ind w:left="420" w:leftChars="200"/>
        <w:rPr>
          <w:rFonts w:ascii="Arial" w:hAnsi="Arial" w:eastAsia="宋体" w:cs="Arial"/>
          <w:bCs/>
          <w:color w:val="auto"/>
          <w:szCs w:val="21"/>
          <w:highlight w:val="none"/>
        </w:rPr>
      </w:pPr>
    </w:p>
    <w:p w14:paraId="6820C281">
      <w:pPr>
        <w:adjustRightInd w:val="0"/>
        <w:spacing w:line="288" w:lineRule="auto"/>
        <w:rPr>
          <w:rFonts w:ascii="Arial" w:hAnsi="Arial" w:eastAsia="宋体" w:cs="Arial"/>
          <w:b/>
          <w:color w:val="auto"/>
          <w:sz w:val="28"/>
          <w:szCs w:val="28"/>
          <w:highlight w:val="none"/>
        </w:rPr>
      </w:pPr>
      <w:r>
        <w:rPr>
          <w:rFonts w:ascii="Arial" w:hAnsi="Arial" w:eastAsia="宋体" w:cs="Arial"/>
          <w:color w:val="auto"/>
          <w:highlight w:val="none"/>
        </w:rPr>
        <w:br w:type="page"/>
      </w:r>
      <w:r>
        <w:rPr>
          <w:rFonts w:ascii="Arial" w:hAnsi="Arial" w:eastAsia="宋体" w:cs="Arial"/>
          <w:b/>
          <w:color w:val="auto"/>
          <w:sz w:val="28"/>
          <w:szCs w:val="28"/>
          <w:highlight w:val="none"/>
        </w:rPr>
        <w:t>3.</w:t>
      </w:r>
      <w:r>
        <w:rPr>
          <w:rFonts w:ascii="Arial" w:hAnsi="Arial" w:eastAsia="宋体" w:cs="Arial"/>
          <w:color w:val="auto"/>
          <w:highlight w:val="none"/>
        </w:rPr>
        <w:t xml:space="preserve"> </w:t>
      </w:r>
      <w:r>
        <w:rPr>
          <w:rFonts w:ascii="Arial" w:hAnsi="Arial" w:eastAsia="宋体" w:cs="Arial"/>
          <w:b/>
          <w:color w:val="auto"/>
          <w:sz w:val="28"/>
          <w:szCs w:val="28"/>
          <w:highlight w:val="none"/>
        </w:rPr>
        <w:t>供应商的项目实施方案（必须提供）</w:t>
      </w:r>
    </w:p>
    <w:p w14:paraId="072633DC">
      <w:pPr>
        <w:adjustRightInd w:val="0"/>
        <w:spacing w:line="288" w:lineRule="auto"/>
        <w:rPr>
          <w:rFonts w:ascii="Arial" w:hAnsi="Arial" w:eastAsia="宋体" w:cs="Arial"/>
          <w:b/>
          <w:bCs/>
          <w:color w:val="auto"/>
          <w:sz w:val="32"/>
          <w:szCs w:val="32"/>
          <w:highlight w:val="none"/>
        </w:rPr>
      </w:pPr>
      <w:bookmarkStart w:id="44" w:name="_Toc30843"/>
      <w:bookmarkStart w:id="45" w:name="_Toc24467"/>
      <w:bookmarkStart w:id="46" w:name="_Toc7206"/>
      <w:r>
        <w:rPr>
          <w:rFonts w:ascii="Arial" w:hAnsi="Arial" w:eastAsia="宋体" w:cs="Arial"/>
          <w:b/>
          <w:bCs/>
          <w:color w:val="auto"/>
          <w:sz w:val="32"/>
          <w:szCs w:val="32"/>
          <w:highlight w:val="none"/>
        </w:rPr>
        <w:t>附件：</w:t>
      </w:r>
      <w:bookmarkEnd w:id="44"/>
      <w:bookmarkEnd w:id="45"/>
      <w:bookmarkEnd w:id="46"/>
    </w:p>
    <w:p w14:paraId="5BCF7139">
      <w:pPr>
        <w:pStyle w:val="14"/>
        <w:spacing w:line="288" w:lineRule="auto"/>
        <w:ind w:firstLine="3213" w:firstLineChars="100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项目实施方案（格式）</w:t>
      </w:r>
    </w:p>
    <w:p w14:paraId="11DFBFA3">
      <w:pPr>
        <w:pStyle w:val="33"/>
        <w:spacing w:line="288" w:lineRule="auto"/>
        <w:rPr>
          <w:rFonts w:ascii="Arial" w:hAnsi="Arial" w:cs="Arial"/>
          <w:b/>
          <w:bCs w:val="0"/>
          <w:color w:val="auto"/>
          <w:sz w:val="28"/>
          <w:szCs w:val="28"/>
          <w:highlight w:val="none"/>
        </w:rPr>
      </w:pPr>
    </w:p>
    <w:p w14:paraId="7E04B021">
      <w:pPr>
        <w:pStyle w:val="33"/>
        <w:spacing w:line="288" w:lineRule="auto"/>
        <w:rPr>
          <w:rFonts w:ascii="Arial" w:hAnsi="Arial" w:cs="Arial"/>
          <w:b/>
          <w:bCs w:val="0"/>
          <w:color w:val="auto"/>
          <w:sz w:val="28"/>
          <w:szCs w:val="28"/>
          <w:highlight w:val="none"/>
        </w:rPr>
      </w:pPr>
    </w:p>
    <w:p w14:paraId="5196B552">
      <w:pPr>
        <w:snapToGrid w:val="0"/>
        <w:spacing w:line="288" w:lineRule="auto"/>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37E88E45">
      <w:pPr>
        <w:pStyle w:val="14"/>
        <w:spacing w:line="288" w:lineRule="auto"/>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63EA37A4">
      <w:pPr>
        <w:pStyle w:val="14"/>
        <w:spacing w:line="288" w:lineRule="auto"/>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4846782D">
      <w:pPr>
        <w:pStyle w:val="14"/>
        <w:spacing w:line="288" w:lineRule="auto"/>
        <w:rPr>
          <w:rFonts w:ascii="Arial" w:hAnsi="Arial" w:eastAsia="宋体" w:cs="Arial"/>
          <w:b/>
          <w:color w:val="auto"/>
          <w:sz w:val="28"/>
          <w:szCs w:val="28"/>
          <w:highlight w:val="none"/>
        </w:rPr>
      </w:pPr>
    </w:p>
    <w:p w14:paraId="1C01AE24">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4.供应商的售后服务承诺书（必须提供）</w:t>
      </w:r>
    </w:p>
    <w:p w14:paraId="718835A0">
      <w:pPr>
        <w:pStyle w:val="14"/>
        <w:spacing w:line="288" w:lineRule="auto"/>
        <w:rPr>
          <w:rFonts w:ascii="Arial" w:hAnsi="Arial" w:eastAsia="宋体" w:cs="Arial"/>
          <w:b/>
          <w:bCs/>
          <w:color w:val="auto"/>
          <w:sz w:val="32"/>
          <w:szCs w:val="32"/>
          <w:highlight w:val="none"/>
        </w:rPr>
      </w:pPr>
      <w:bookmarkStart w:id="47" w:name="_Toc9802"/>
      <w:bookmarkStart w:id="48" w:name="_Toc16312"/>
      <w:bookmarkStart w:id="49" w:name="_Toc3847"/>
      <w:r>
        <w:rPr>
          <w:rFonts w:ascii="Arial" w:hAnsi="Arial" w:eastAsia="宋体" w:cs="Arial"/>
          <w:b/>
          <w:bCs/>
          <w:color w:val="auto"/>
          <w:sz w:val="32"/>
          <w:szCs w:val="32"/>
          <w:highlight w:val="none"/>
        </w:rPr>
        <w:t>附件：</w:t>
      </w:r>
      <w:bookmarkEnd w:id="47"/>
      <w:bookmarkEnd w:id="48"/>
      <w:bookmarkEnd w:id="49"/>
    </w:p>
    <w:p w14:paraId="39F77909">
      <w:pPr>
        <w:pStyle w:val="14"/>
        <w:spacing w:line="288" w:lineRule="auto"/>
        <w:ind w:firstLine="2731" w:firstLineChars="85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售后服务承诺书（格式）</w:t>
      </w:r>
    </w:p>
    <w:p w14:paraId="2144BD69">
      <w:pPr>
        <w:snapToGrid w:val="0"/>
        <w:spacing w:line="288" w:lineRule="auto"/>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 1.三包及质保期要求：按国家有关产品“三包”规定执行“三包”，质保期</w:t>
      </w:r>
      <w:r>
        <w:rPr>
          <w:rFonts w:ascii="Arial" w:hAnsi="Arial" w:eastAsia="宋体" w:cs="Arial"/>
          <w:color w:val="auto"/>
          <w:kern w:val="0"/>
          <w:szCs w:val="21"/>
          <w:highlight w:val="none"/>
          <w:u w:val="single"/>
        </w:rPr>
        <w:t xml:space="preserve">        </w:t>
      </w:r>
      <w:r>
        <w:rPr>
          <w:rFonts w:ascii="Arial" w:hAnsi="Arial" w:eastAsia="宋体" w:cs="Arial"/>
          <w:color w:val="auto"/>
          <w:kern w:val="0"/>
          <w:szCs w:val="21"/>
          <w:highlight w:val="none"/>
        </w:rPr>
        <w:t>年（质保期从设备验收合格之日起计算，项目要求及技术需求中规定的，按规定执行）。</w:t>
      </w:r>
      <w:r>
        <w:rPr>
          <w:rFonts w:ascii="Arial" w:hAnsi="Arial" w:eastAsia="宋体" w:cs="Arial"/>
          <w:color w:val="auto"/>
          <w:highlight w:val="none"/>
        </w:rPr>
        <w:t>质保期内提供上门维修（免收维修费和元器件费）、更换零部件，并提供终身维修服务。</w:t>
      </w:r>
    </w:p>
    <w:p w14:paraId="46D88976">
      <w:pPr>
        <w:snapToGrid w:val="0"/>
        <w:spacing w:line="288" w:lineRule="auto"/>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2.送货上门，按采购人要求安装调试，提供技术培训直至操作人员熟练操作产品的各项功能。</w:t>
      </w:r>
    </w:p>
    <w:p w14:paraId="2603FFED">
      <w:pPr>
        <w:snapToGrid w:val="0"/>
        <w:spacing w:line="288" w:lineRule="auto"/>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3.售后服务要求：①质保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质保期内不收取费用升级服务。③其余按厂家承诺执行。</w:t>
      </w:r>
    </w:p>
    <w:p w14:paraId="6098B230">
      <w:pPr>
        <w:snapToGrid w:val="0"/>
        <w:spacing w:line="288" w:lineRule="auto"/>
        <w:ind w:firstLine="3570" w:firstLineChars="1700"/>
        <w:rPr>
          <w:rFonts w:ascii="Arial" w:hAnsi="Arial" w:eastAsia="宋体" w:cs="Arial"/>
          <w:color w:val="auto"/>
          <w:kern w:val="0"/>
          <w:szCs w:val="21"/>
          <w:highlight w:val="none"/>
        </w:rPr>
      </w:pPr>
    </w:p>
    <w:p w14:paraId="284C3500">
      <w:pPr>
        <w:snapToGrid w:val="0"/>
        <w:spacing w:line="288" w:lineRule="auto"/>
        <w:ind w:firstLine="3570" w:firstLineChars="1700"/>
        <w:rPr>
          <w:rFonts w:ascii="Arial" w:hAnsi="Arial" w:eastAsia="宋体" w:cs="Arial"/>
          <w:color w:val="auto"/>
          <w:kern w:val="0"/>
          <w:szCs w:val="21"/>
          <w:highlight w:val="none"/>
        </w:rPr>
      </w:pPr>
    </w:p>
    <w:p w14:paraId="18BD5EE1">
      <w:pPr>
        <w:snapToGrid w:val="0"/>
        <w:spacing w:line="288" w:lineRule="auto"/>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10574D43">
      <w:pPr>
        <w:pStyle w:val="14"/>
        <w:spacing w:line="288" w:lineRule="auto"/>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027FB281">
      <w:pPr>
        <w:pStyle w:val="14"/>
        <w:spacing w:line="288" w:lineRule="auto"/>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5F013F93">
      <w:pPr>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075F3011">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5.商务响应表（必须提供）</w:t>
      </w:r>
    </w:p>
    <w:p w14:paraId="06F7ADA6">
      <w:pPr>
        <w:pStyle w:val="14"/>
        <w:spacing w:line="288" w:lineRule="auto"/>
        <w:rPr>
          <w:rFonts w:ascii="Arial" w:hAnsi="Arial" w:eastAsia="宋体" w:cs="Arial"/>
          <w:b/>
          <w:color w:val="auto"/>
          <w:sz w:val="28"/>
          <w:szCs w:val="28"/>
          <w:highlight w:val="none"/>
        </w:rPr>
      </w:pPr>
    </w:p>
    <w:p w14:paraId="0BDB1AA2">
      <w:pPr>
        <w:pStyle w:val="14"/>
        <w:spacing w:line="288" w:lineRule="auto"/>
        <w:rPr>
          <w:rFonts w:ascii="Arial" w:hAnsi="Arial" w:eastAsia="宋体" w:cs="Arial"/>
          <w:b/>
          <w:bCs/>
          <w:color w:val="auto"/>
          <w:sz w:val="32"/>
          <w:szCs w:val="32"/>
          <w:highlight w:val="none"/>
        </w:rPr>
      </w:pPr>
      <w:bookmarkStart w:id="50" w:name="_Toc11787"/>
      <w:bookmarkStart w:id="51" w:name="_Toc374"/>
      <w:bookmarkStart w:id="52" w:name="_Toc8710"/>
      <w:r>
        <w:rPr>
          <w:rFonts w:ascii="Arial" w:hAnsi="Arial" w:eastAsia="宋体" w:cs="Arial"/>
          <w:b/>
          <w:bCs/>
          <w:color w:val="auto"/>
          <w:sz w:val="32"/>
          <w:szCs w:val="32"/>
          <w:highlight w:val="none"/>
        </w:rPr>
        <w:t>附件：</w:t>
      </w:r>
      <w:bookmarkEnd w:id="50"/>
      <w:bookmarkEnd w:id="51"/>
      <w:bookmarkEnd w:id="52"/>
    </w:p>
    <w:p w14:paraId="7ABFED9A">
      <w:pPr>
        <w:pStyle w:val="14"/>
        <w:spacing w:line="288" w:lineRule="auto"/>
        <w:ind w:firstLine="2731" w:firstLineChars="85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商务响应表（格式）</w:t>
      </w:r>
    </w:p>
    <w:p w14:paraId="224AFD2E">
      <w:pPr>
        <w:pStyle w:val="7"/>
        <w:spacing w:line="288" w:lineRule="auto"/>
        <w:ind w:left="2940"/>
        <w:jc w:val="center"/>
        <w:rPr>
          <w:rFonts w:ascii="Arial" w:hAnsi="Arial" w:eastAsia="宋体" w:cs="Arial"/>
          <w:color w:val="auto"/>
          <w:highlight w:val="none"/>
        </w:rPr>
      </w:pPr>
      <w:r>
        <w:rPr>
          <w:rFonts w:ascii="Arial" w:hAnsi="Arial" w:eastAsia="宋体" w:cs="Arial"/>
          <w:b/>
          <w:color w:val="auto"/>
          <w:sz w:val="24"/>
          <w:highlight w:val="none"/>
        </w:rPr>
        <w:t xml:space="preserve">                     </w:t>
      </w:r>
    </w:p>
    <w:tbl>
      <w:tblPr>
        <w:tblStyle w:val="24"/>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8"/>
        <w:gridCol w:w="2962"/>
        <w:gridCol w:w="1420"/>
        <w:gridCol w:w="2938"/>
      </w:tblGrid>
      <w:tr w14:paraId="7C1D0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23349474">
            <w:pPr>
              <w:snapToGrid w:val="0"/>
              <w:spacing w:line="288" w:lineRule="auto"/>
              <w:jc w:val="center"/>
              <w:rPr>
                <w:rFonts w:ascii="Arial" w:hAnsi="Arial" w:eastAsia="宋体" w:cs="Arial"/>
                <w:color w:val="auto"/>
                <w:highlight w:val="none"/>
              </w:rPr>
            </w:pPr>
            <w:r>
              <w:rPr>
                <w:rFonts w:ascii="Arial" w:hAnsi="Arial" w:eastAsia="宋体" w:cs="Arial"/>
                <w:color w:val="auto"/>
                <w:highlight w:val="none"/>
              </w:rPr>
              <w:t>项目</w:t>
            </w:r>
          </w:p>
        </w:tc>
        <w:tc>
          <w:tcPr>
            <w:tcW w:w="2962" w:type="dxa"/>
            <w:tcBorders>
              <w:top w:val="single" w:color="auto" w:sz="4" w:space="0"/>
              <w:left w:val="single" w:color="auto" w:sz="4" w:space="0"/>
              <w:bottom w:val="single" w:color="auto" w:sz="4" w:space="0"/>
              <w:right w:val="single" w:color="auto" w:sz="4" w:space="0"/>
            </w:tcBorders>
            <w:vAlign w:val="center"/>
          </w:tcPr>
          <w:p w14:paraId="5668C215">
            <w:pPr>
              <w:snapToGrid w:val="0"/>
              <w:spacing w:line="288" w:lineRule="auto"/>
              <w:jc w:val="center"/>
              <w:rPr>
                <w:rFonts w:ascii="Arial" w:hAnsi="Arial" w:eastAsia="宋体" w:cs="Arial"/>
                <w:color w:val="auto"/>
                <w:highlight w:val="none"/>
              </w:rPr>
            </w:pPr>
            <w:r>
              <w:rPr>
                <w:rFonts w:ascii="Arial" w:hAnsi="Arial" w:eastAsia="宋体" w:cs="Arial"/>
                <w:color w:val="auto"/>
                <w:highlight w:val="none"/>
              </w:rPr>
              <w:t>竞争性谈判文件要求</w:t>
            </w:r>
          </w:p>
        </w:tc>
        <w:tc>
          <w:tcPr>
            <w:tcW w:w="1420" w:type="dxa"/>
            <w:tcBorders>
              <w:top w:val="single" w:color="auto" w:sz="4" w:space="0"/>
              <w:left w:val="single" w:color="auto" w:sz="4" w:space="0"/>
              <w:bottom w:val="single" w:color="auto" w:sz="4" w:space="0"/>
              <w:right w:val="single" w:color="auto" w:sz="4" w:space="0"/>
            </w:tcBorders>
            <w:vAlign w:val="center"/>
          </w:tcPr>
          <w:p w14:paraId="261D8016">
            <w:pPr>
              <w:snapToGrid w:val="0"/>
              <w:spacing w:line="288" w:lineRule="auto"/>
              <w:jc w:val="center"/>
              <w:rPr>
                <w:rFonts w:ascii="Arial" w:hAnsi="Arial" w:eastAsia="宋体" w:cs="Arial"/>
                <w:color w:val="auto"/>
                <w:highlight w:val="none"/>
              </w:rPr>
            </w:pPr>
            <w:r>
              <w:rPr>
                <w:rFonts w:ascii="Arial" w:hAnsi="Arial" w:eastAsia="宋体" w:cs="Arial"/>
                <w:color w:val="auto"/>
                <w:highlight w:val="none"/>
              </w:rPr>
              <w:t>供应商的承诺或说明</w:t>
            </w:r>
          </w:p>
        </w:tc>
        <w:tc>
          <w:tcPr>
            <w:tcW w:w="2938" w:type="dxa"/>
            <w:tcBorders>
              <w:top w:val="single" w:color="auto" w:sz="4" w:space="0"/>
              <w:left w:val="single" w:color="auto" w:sz="4" w:space="0"/>
              <w:bottom w:val="single" w:color="auto" w:sz="4" w:space="0"/>
              <w:right w:val="single" w:color="auto" w:sz="4" w:space="0"/>
            </w:tcBorders>
            <w:vAlign w:val="center"/>
          </w:tcPr>
          <w:p w14:paraId="4A890F1A">
            <w:pPr>
              <w:snapToGrid w:val="0"/>
              <w:spacing w:line="288" w:lineRule="auto"/>
              <w:jc w:val="center"/>
              <w:rPr>
                <w:rFonts w:ascii="Arial" w:hAnsi="Arial" w:eastAsia="宋体" w:cs="Arial"/>
                <w:color w:val="auto"/>
                <w:highlight w:val="none"/>
              </w:rPr>
            </w:pPr>
            <w:r>
              <w:rPr>
                <w:rFonts w:ascii="Arial" w:hAnsi="Arial" w:eastAsia="宋体" w:cs="Arial"/>
                <w:color w:val="auto"/>
                <w:highlight w:val="none"/>
              </w:rPr>
              <w:t>是否响应</w:t>
            </w:r>
          </w:p>
        </w:tc>
      </w:tr>
      <w:tr w14:paraId="6C2C4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42D8652D">
            <w:pPr>
              <w:snapToGrid w:val="0"/>
              <w:spacing w:line="288" w:lineRule="auto"/>
              <w:jc w:val="center"/>
              <w:rPr>
                <w:rFonts w:ascii="Arial" w:hAnsi="Arial" w:eastAsia="宋体" w:cs="Arial"/>
                <w:color w:val="auto"/>
                <w:highlight w:val="none"/>
              </w:rPr>
            </w:pPr>
            <w:r>
              <w:rPr>
                <w:rFonts w:ascii="Arial" w:hAnsi="Arial" w:eastAsia="宋体" w:cs="Arial"/>
                <w:bCs/>
                <w:color w:val="auto"/>
                <w:szCs w:val="21"/>
                <w:highlight w:val="none"/>
              </w:rPr>
              <w:t>（一）免费保修期</w:t>
            </w:r>
          </w:p>
        </w:tc>
        <w:tc>
          <w:tcPr>
            <w:tcW w:w="2962" w:type="dxa"/>
            <w:tcBorders>
              <w:top w:val="single" w:color="auto" w:sz="4" w:space="0"/>
              <w:left w:val="single" w:color="auto" w:sz="4" w:space="0"/>
              <w:bottom w:val="single" w:color="auto" w:sz="4" w:space="0"/>
              <w:right w:val="single" w:color="auto" w:sz="4" w:space="0"/>
            </w:tcBorders>
            <w:vAlign w:val="center"/>
          </w:tcPr>
          <w:p w14:paraId="779A2C50">
            <w:pPr>
              <w:snapToGrid w:val="0"/>
              <w:spacing w:line="288" w:lineRule="auto"/>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1F0B186">
            <w:pPr>
              <w:pStyle w:val="14"/>
              <w:snapToGrid w:val="0"/>
              <w:spacing w:before="295" w:after="295" w:line="288" w:lineRule="auto"/>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356545CD">
            <w:pPr>
              <w:snapToGrid w:val="0"/>
              <w:spacing w:line="288" w:lineRule="auto"/>
              <w:rPr>
                <w:rFonts w:ascii="Arial" w:hAnsi="Arial" w:eastAsia="宋体" w:cs="Arial"/>
                <w:color w:val="auto"/>
                <w:highlight w:val="none"/>
              </w:rPr>
            </w:pPr>
          </w:p>
        </w:tc>
      </w:tr>
      <w:tr w14:paraId="5F71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411B5E74">
            <w:pPr>
              <w:snapToGrid w:val="0"/>
              <w:spacing w:line="288" w:lineRule="auto"/>
              <w:jc w:val="center"/>
              <w:rPr>
                <w:rFonts w:ascii="Arial" w:hAnsi="Arial" w:eastAsia="宋体" w:cs="Arial"/>
                <w:color w:val="auto"/>
                <w:highlight w:val="none"/>
              </w:rPr>
            </w:pPr>
            <w:r>
              <w:rPr>
                <w:rFonts w:ascii="Arial" w:hAnsi="Arial" w:eastAsia="宋体" w:cs="Arial"/>
                <w:color w:val="auto"/>
                <w:szCs w:val="21"/>
                <w:highlight w:val="none"/>
              </w:rPr>
              <w:t>（二）售后服务要求</w:t>
            </w:r>
          </w:p>
        </w:tc>
        <w:tc>
          <w:tcPr>
            <w:tcW w:w="2962" w:type="dxa"/>
            <w:tcBorders>
              <w:top w:val="single" w:color="auto" w:sz="4" w:space="0"/>
              <w:left w:val="single" w:color="auto" w:sz="4" w:space="0"/>
              <w:bottom w:val="single" w:color="auto" w:sz="4" w:space="0"/>
              <w:right w:val="single" w:color="auto" w:sz="4" w:space="0"/>
            </w:tcBorders>
            <w:vAlign w:val="center"/>
          </w:tcPr>
          <w:p w14:paraId="06E31851">
            <w:pPr>
              <w:snapToGrid w:val="0"/>
              <w:spacing w:line="288" w:lineRule="auto"/>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22B38C3F">
            <w:pPr>
              <w:pStyle w:val="14"/>
              <w:snapToGrid w:val="0"/>
              <w:spacing w:before="295" w:after="295" w:line="288" w:lineRule="auto"/>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54139B8E">
            <w:pPr>
              <w:snapToGrid w:val="0"/>
              <w:spacing w:line="288" w:lineRule="auto"/>
              <w:rPr>
                <w:rFonts w:ascii="Arial" w:hAnsi="Arial" w:eastAsia="宋体" w:cs="Arial"/>
                <w:color w:val="auto"/>
                <w:highlight w:val="none"/>
              </w:rPr>
            </w:pPr>
          </w:p>
        </w:tc>
      </w:tr>
      <w:tr w14:paraId="5F83E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6D709147">
            <w:pPr>
              <w:snapToGrid w:val="0"/>
              <w:spacing w:line="288" w:lineRule="auto"/>
              <w:jc w:val="center"/>
              <w:rPr>
                <w:rFonts w:ascii="Arial" w:hAnsi="Arial" w:eastAsia="宋体" w:cs="Arial"/>
                <w:color w:val="auto"/>
                <w:highlight w:val="none"/>
              </w:rPr>
            </w:pPr>
            <w:r>
              <w:rPr>
                <w:rFonts w:ascii="Arial" w:hAnsi="Arial" w:eastAsia="宋体" w:cs="Arial"/>
                <w:color w:val="auto"/>
                <w:szCs w:val="21"/>
                <w:highlight w:val="none"/>
              </w:rPr>
              <w:t>（三）合同签订时间</w:t>
            </w:r>
          </w:p>
        </w:tc>
        <w:tc>
          <w:tcPr>
            <w:tcW w:w="2962" w:type="dxa"/>
            <w:tcBorders>
              <w:top w:val="single" w:color="auto" w:sz="4" w:space="0"/>
              <w:left w:val="single" w:color="auto" w:sz="4" w:space="0"/>
              <w:bottom w:val="single" w:color="auto" w:sz="4" w:space="0"/>
              <w:right w:val="single" w:color="auto" w:sz="4" w:space="0"/>
            </w:tcBorders>
            <w:vAlign w:val="center"/>
          </w:tcPr>
          <w:p w14:paraId="298A032C">
            <w:pPr>
              <w:snapToGrid w:val="0"/>
              <w:spacing w:line="288" w:lineRule="auto"/>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3CD8EC5">
            <w:pPr>
              <w:pStyle w:val="14"/>
              <w:snapToGrid w:val="0"/>
              <w:spacing w:before="295" w:after="295" w:line="288" w:lineRule="auto"/>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09BADC41">
            <w:pPr>
              <w:snapToGrid w:val="0"/>
              <w:spacing w:line="288" w:lineRule="auto"/>
              <w:rPr>
                <w:rFonts w:ascii="Arial" w:hAnsi="Arial" w:eastAsia="宋体" w:cs="Arial"/>
                <w:color w:val="auto"/>
                <w:highlight w:val="none"/>
              </w:rPr>
            </w:pPr>
          </w:p>
        </w:tc>
      </w:tr>
      <w:tr w14:paraId="7D1FD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292947FF">
            <w:pPr>
              <w:spacing w:line="288" w:lineRule="auto"/>
              <w:jc w:val="center"/>
              <w:rPr>
                <w:rFonts w:ascii="Arial" w:hAnsi="Arial" w:eastAsia="宋体" w:cs="Arial"/>
                <w:color w:val="auto"/>
                <w:highlight w:val="none"/>
              </w:rPr>
            </w:pPr>
            <w:r>
              <w:rPr>
                <w:rFonts w:ascii="Arial" w:hAnsi="Arial" w:eastAsia="宋体" w:cs="Arial"/>
                <w:color w:val="auto"/>
                <w:szCs w:val="21"/>
                <w:highlight w:val="none"/>
              </w:rPr>
              <w:t>（四）交货期及地点</w:t>
            </w:r>
          </w:p>
        </w:tc>
        <w:tc>
          <w:tcPr>
            <w:tcW w:w="2962" w:type="dxa"/>
            <w:tcBorders>
              <w:top w:val="single" w:color="auto" w:sz="4" w:space="0"/>
              <w:left w:val="single" w:color="auto" w:sz="4" w:space="0"/>
              <w:bottom w:val="single" w:color="auto" w:sz="4" w:space="0"/>
              <w:right w:val="single" w:color="auto" w:sz="4" w:space="0"/>
            </w:tcBorders>
            <w:vAlign w:val="center"/>
          </w:tcPr>
          <w:p w14:paraId="41197D9E">
            <w:pPr>
              <w:snapToGrid w:val="0"/>
              <w:spacing w:line="288" w:lineRule="auto"/>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4537AFF4">
            <w:pPr>
              <w:pStyle w:val="14"/>
              <w:snapToGrid w:val="0"/>
              <w:spacing w:before="295" w:after="295" w:line="288" w:lineRule="auto"/>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7094FCC8">
            <w:pPr>
              <w:snapToGrid w:val="0"/>
              <w:spacing w:line="288" w:lineRule="auto"/>
              <w:rPr>
                <w:rFonts w:ascii="Arial" w:hAnsi="Arial" w:eastAsia="宋体" w:cs="Arial"/>
                <w:color w:val="auto"/>
                <w:highlight w:val="none"/>
              </w:rPr>
            </w:pPr>
          </w:p>
        </w:tc>
      </w:tr>
      <w:tr w14:paraId="7B045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0447CDA6">
            <w:pPr>
              <w:spacing w:line="288" w:lineRule="auto"/>
              <w:jc w:val="center"/>
              <w:rPr>
                <w:rFonts w:ascii="Arial" w:hAnsi="Arial" w:eastAsia="宋体" w:cs="Arial"/>
                <w:color w:val="auto"/>
                <w:highlight w:val="none"/>
              </w:rPr>
            </w:pPr>
            <w:r>
              <w:rPr>
                <w:rFonts w:ascii="Arial" w:hAnsi="Arial" w:eastAsia="宋体" w:cs="Arial"/>
                <w:color w:val="auto"/>
                <w:szCs w:val="21"/>
                <w:highlight w:val="none"/>
              </w:rPr>
              <w:t>（五）付款方式</w:t>
            </w:r>
          </w:p>
        </w:tc>
        <w:tc>
          <w:tcPr>
            <w:tcW w:w="2962" w:type="dxa"/>
            <w:tcBorders>
              <w:top w:val="single" w:color="auto" w:sz="4" w:space="0"/>
              <w:left w:val="single" w:color="auto" w:sz="4" w:space="0"/>
              <w:bottom w:val="single" w:color="auto" w:sz="4" w:space="0"/>
              <w:right w:val="single" w:color="auto" w:sz="4" w:space="0"/>
            </w:tcBorders>
            <w:vAlign w:val="center"/>
          </w:tcPr>
          <w:p w14:paraId="6812FD74">
            <w:pPr>
              <w:snapToGrid w:val="0"/>
              <w:spacing w:line="288" w:lineRule="auto"/>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7F1140BA">
            <w:pPr>
              <w:pStyle w:val="14"/>
              <w:snapToGrid w:val="0"/>
              <w:spacing w:before="295" w:after="295" w:line="288" w:lineRule="auto"/>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1DBF43C4">
            <w:pPr>
              <w:snapToGrid w:val="0"/>
              <w:spacing w:line="288" w:lineRule="auto"/>
              <w:rPr>
                <w:rFonts w:ascii="Arial" w:hAnsi="Arial" w:eastAsia="宋体" w:cs="Arial"/>
                <w:color w:val="auto"/>
                <w:highlight w:val="none"/>
              </w:rPr>
            </w:pPr>
          </w:p>
        </w:tc>
      </w:tr>
      <w:tr w14:paraId="245EE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17E7B66F">
            <w:pPr>
              <w:snapToGrid w:val="0"/>
              <w:spacing w:line="288" w:lineRule="auto"/>
              <w:jc w:val="center"/>
              <w:rPr>
                <w:rFonts w:ascii="Arial" w:hAnsi="Arial" w:eastAsia="宋体" w:cs="Arial"/>
                <w:color w:val="auto"/>
                <w:highlight w:val="none"/>
              </w:rPr>
            </w:pPr>
            <w:r>
              <w:rPr>
                <w:rFonts w:ascii="Arial" w:hAnsi="Arial" w:eastAsia="宋体" w:cs="Arial"/>
                <w:color w:val="auto"/>
                <w:highlight w:val="none"/>
              </w:rPr>
              <w:t>......</w:t>
            </w:r>
          </w:p>
        </w:tc>
        <w:tc>
          <w:tcPr>
            <w:tcW w:w="2962" w:type="dxa"/>
            <w:tcBorders>
              <w:top w:val="single" w:color="auto" w:sz="4" w:space="0"/>
              <w:left w:val="single" w:color="auto" w:sz="4" w:space="0"/>
              <w:bottom w:val="single" w:color="auto" w:sz="4" w:space="0"/>
              <w:right w:val="single" w:color="auto" w:sz="4" w:space="0"/>
            </w:tcBorders>
            <w:vAlign w:val="center"/>
          </w:tcPr>
          <w:p w14:paraId="1B66E9E6">
            <w:pPr>
              <w:snapToGrid w:val="0"/>
              <w:spacing w:line="288" w:lineRule="auto"/>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2A7CEF8D">
            <w:pPr>
              <w:pStyle w:val="14"/>
              <w:snapToGrid w:val="0"/>
              <w:spacing w:before="295" w:after="295" w:line="288" w:lineRule="auto"/>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0234F4B1">
            <w:pPr>
              <w:snapToGrid w:val="0"/>
              <w:spacing w:line="288" w:lineRule="auto"/>
              <w:rPr>
                <w:rFonts w:ascii="Arial" w:hAnsi="Arial" w:eastAsia="宋体" w:cs="Arial"/>
                <w:color w:val="auto"/>
                <w:highlight w:val="none"/>
              </w:rPr>
            </w:pPr>
          </w:p>
        </w:tc>
      </w:tr>
    </w:tbl>
    <w:p w14:paraId="50C1529A">
      <w:pPr>
        <w:snapToGrid w:val="0"/>
        <w:spacing w:line="288" w:lineRule="auto"/>
        <w:ind w:firstLine="3570" w:firstLineChars="1700"/>
        <w:rPr>
          <w:rFonts w:ascii="Arial" w:hAnsi="Arial" w:eastAsia="宋体" w:cs="Arial"/>
          <w:color w:val="auto"/>
          <w:highlight w:val="none"/>
        </w:rPr>
      </w:pPr>
    </w:p>
    <w:p w14:paraId="4F437E18">
      <w:pPr>
        <w:snapToGrid w:val="0"/>
        <w:spacing w:line="288" w:lineRule="auto"/>
        <w:ind w:firstLine="3570" w:firstLineChars="1700"/>
        <w:rPr>
          <w:rFonts w:ascii="Arial" w:hAnsi="Arial" w:eastAsia="宋体" w:cs="Arial"/>
          <w:color w:val="auto"/>
          <w:highlight w:val="none"/>
        </w:rPr>
      </w:pPr>
    </w:p>
    <w:p w14:paraId="5B8FCA42">
      <w:pPr>
        <w:snapToGrid w:val="0"/>
        <w:spacing w:line="288" w:lineRule="auto"/>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46C38416">
      <w:pPr>
        <w:pStyle w:val="14"/>
        <w:spacing w:line="288" w:lineRule="auto"/>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476C774F">
      <w:pPr>
        <w:pStyle w:val="14"/>
        <w:spacing w:line="288" w:lineRule="auto"/>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01EC1E1B">
      <w:pPr>
        <w:spacing w:line="288" w:lineRule="auto"/>
        <w:rPr>
          <w:rFonts w:ascii="Arial" w:hAnsi="Arial" w:eastAsia="宋体" w:cs="Arial"/>
          <w:b/>
          <w:color w:val="auto"/>
          <w:sz w:val="28"/>
          <w:szCs w:val="28"/>
          <w:highlight w:val="none"/>
        </w:rPr>
      </w:pPr>
    </w:p>
    <w:p w14:paraId="5E7FA1E3">
      <w:pPr>
        <w:pStyle w:val="32"/>
        <w:spacing w:line="288" w:lineRule="auto"/>
        <w:rPr>
          <w:rFonts w:ascii="Arial" w:hAnsi="Arial" w:cs="Arial"/>
          <w:color w:val="auto"/>
          <w:highlight w:val="none"/>
        </w:rPr>
      </w:pPr>
    </w:p>
    <w:p w14:paraId="583D4C35">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0DD9B3F9">
      <w:pPr>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（三）其它有效证明材料目录</w:t>
      </w:r>
    </w:p>
    <w:p w14:paraId="1E70BAC6">
      <w:pPr>
        <w:tabs>
          <w:tab w:val="left" w:pos="1305"/>
        </w:tabs>
        <w:spacing w:line="288" w:lineRule="auto"/>
        <w:ind w:firstLine="420" w:firstLineChars="200"/>
        <w:rPr>
          <w:rFonts w:ascii="Arial" w:hAnsi="Arial" w:eastAsia="宋体" w:cs="Arial"/>
          <w:color w:val="auto"/>
          <w:szCs w:val="21"/>
          <w:highlight w:val="none"/>
        </w:rPr>
      </w:pPr>
    </w:p>
    <w:p w14:paraId="180805E3">
      <w:pPr>
        <w:tabs>
          <w:tab w:val="left" w:pos="1305"/>
        </w:tabs>
        <w:spacing w:line="288" w:lineRule="auto"/>
        <w:ind w:firstLine="720" w:firstLineChars="300"/>
        <w:rPr>
          <w:rFonts w:ascii="Arial" w:hAnsi="Arial" w:eastAsia="宋体" w:cs="Arial"/>
          <w:color w:val="auto"/>
          <w:sz w:val="24"/>
          <w:highlight w:val="none"/>
        </w:rPr>
      </w:pPr>
      <w:r>
        <w:rPr>
          <w:rFonts w:ascii="Arial" w:hAnsi="Arial" w:eastAsia="宋体" w:cs="Arial"/>
          <w:color w:val="auto"/>
          <w:sz w:val="24"/>
          <w:highlight w:val="none"/>
        </w:rPr>
        <w:t>1.项目实施人员一览表【如有，请提供，并一起提供由县级以上（含县级）社会养老保险经办机构出具的供应商为项目实施人员交纳社保证明复印件】；</w:t>
      </w:r>
    </w:p>
    <w:p w14:paraId="2DF59B89">
      <w:pPr>
        <w:tabs>
          <w:tab w:val="left" w:pos="1305"/>
        </w:tabs>
        <w:spacing w:line="288" w:lineRule="auto"/>
        <w:ind w:firstLine="720" w:firstLineChars="300"/>
        <w:rPr>
          <w:rFonts w:ascii="Arial" w:hAnsi="Arial" w:eastAsia="宋体" w:cs="Arial"/>
          <w:color w:val="auto"/>
          <w:sz w:val="24"/>
          <w:highlight w:val="none"/>
        </w:rPr>
      </w:pPr>
      <w:r>
        <w:rPr>
          <w:rFonts w:ascii="Arial" w:hAnsi="Arial" w:eastAsia="宋体" w:cs="Arial"/>
          <w:color w:val="auto"/>
          <w:sz w:val="24"/>
          <w:highlight w:val="none"/>
        </w:rPr>
        <w:t>2.供应商具有同类产品的销售业绩的相关证明材料（无不良记录，以中标、成交通知书或签订的销售合同为准，并能清晰反映所销售的货物名称、种类、金额）（如有，请提供）；</w:t>
      </w:r>
    </w:p>
    <w:p w14:paraId="454DF8CB">
      <w:pPr>
        <w:tabs>
          <w:tab w:val="left" w:pos="1305"/>
        </w:tabs>
        <w:spacing w:line="288" w:lineRule="auto"/>
        <w:ind w:firstLine="720" w:firstLineChars="300"/>
        <w:rPr>
          <w:rFonts w:ascii="Arial" w:hAnsi="Arial" w:eastAsia="宋体" w:cs="Arial"/>
          <w:color w:val="auto"/>
          <w:sz w:val="24"/>
          <w:highlight w:val="none"/>
        </w:rPr>
      </w:pPr>
      <w:r>
        <w:rPr>
          <w:rFonts w:ascii="Arial" w:hAnsi="Arial" w:eastAsia="宋体" w:cs="Arial"/>
          <w:color w:val="auto"/>
          <w:sz w:val="24"/>
          <w:highlight w:val="none"/>
        </w:rPr>
        <w:t>3.供应商相关获奖证书、认证证书等复印件（如有，请提供）；</w:t>
      </w:r>
    </w:p>
    <w:p w14:paraId="49CDCE85">
      <w:pPr>
        <w:tabs>
          <w:tab w:val="left" w:pos="1305"/>
        </w:tabs>
        <w:spacing w:line="288" w:lineRule="auto"/>
        <w:ind w:firstLine="720" w:firstLineChars="300"/>
        <w:rPr>
          <w:rFonts w:ascii="Arial" w:hAnsi="Arial" w:eastAsia="宋体" w:cs="Arial"/>
          <w:color w:val="auto"/>
          <w:sz w:val="24"/>
          <w:highlight w:val="none"/>
        </w:rPr>
      </w:pPr>
      <w:r>
        <w:rPr>
          <w:rFonts w:ascii="Arial" w:hAnsi="Arial" w:eastAsia="宋体" w:cs="Arial"/>
          <w:color w:val="auto"/>
          <w:sz w:val="24"/>
          <w:highlight w:val="none"/>
        </w:rPr>
        <w:t>4.供应商可结合本项目自身情况自行提交其它相关证明材料（如有，请提供）。</w:t>
      </w:r>
    </w:p>
    <w:p w14:paraId="09136014">
      <w:pPr>
        <w:pStyle w:val="32"/>
        <w:spacing w:line="288" w:lineRule="auto"/>
        <w:rPr>
          <w:rFonts w:ascii="Arial" w:hAnsi="Arial" w:cs="Arial"/>
          <w:color w:val="auto"/>
          <w:highlight w:val="none"/>
        </w:rPr>
      </w:pPr>
    </w:p>
    <w:p w14:paraId="7A883ADF">
      <w:pPr>
        <w:snapToGrid w:val="0"/>
        <w:spacing w:line="288" w:lineRule="auto"/>
        <w:rPr>
          <w:rFonts w:ascii="Arial" w:hAnsi="Arial" w:eastAsia="宋体" w:cs="Arial"/>
          <w:color w:val="auto"/>
          <w:sz w:val="24"/>
          <w:highlight w:val="none"/>
        </w:rPr>
      </w:pPr>
      <w:r>
        <w:rPr>
          <w:rFonts w:ascii="Arial" w:hAnsi="Arial" w:eastAsia="宋体" w:cs="Arial"/>
          <w:b/>
          <w:color w:val="auto"/>
          <w:sz w:val="28"/>
          <w:szCs w:val="28"/>
          <w:highlight w:val="none"/>
        </w:rPr>
        <w:br w:type="page"/>
      </w:r>
    </w:p>
    <w:p w14:paraId="4D3569A4">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1.项目实施人员一览表 【如有，请提供，并一起提供由县级以上（含县级）社会养老保险经办机构出具的供应商为项目实施人员交纳社保证明复印件】</w:t>
      </w:r>
    </w:p>
    <w:p w14:paraId="061C6227">
      <w:pPr>
        <w:pStyle w:val="14"/>
        <w:spacing w:line="288" w:lineRule="auto"/>
        <w:rPr>
          <w:rFonts w:ascii="Arial" w:hAnsi="Arial" w:eastAsia="宋体" w:cs="Arial"/>
          <w:b/>
          <w:bCs/>
          <w:color w:val="auto"/>
          <w:sz w:val="32"/>
          <w:szCs w:val="32"/>
          <w:highlight w:val="none"/>
        </w:rPr>
      </w:pPr>
    </w:p>
    <w:p w14:paraId="5DDA91B3">
      <w:pPr>
        <w:pStyle w:val="14"/>
        <w:spacing w:line="288" w:lineRule="auto"/>
        <w:ind w:firstLine="472" w:firstLineChars="147"/>
        <w:rPr>
          <w:rFonts w:ascii="Arial" w:hAnsi="Arial" w:eastAsia="宋体" w:cs="Arial"/>
          <w:b/>
          <w:color w:val="auto"/>
          <w:szCs w:val="21"/>
          <w:highlight w:val="none"/>
        </w:rPr>
      </w:pPr>
      <w:bookmarkStart w:id="53" w:name="_Toc9810"/>
      <w:bookmarkStart w:id="54" w:name="_Toc31480"/>
      <w:r>
        <w:rPr>
          <w:rFonts w:ascii="Arial" w:hAnsi="Arial" w:eastAsia="宋体" w:cs="Arial"/>
          <w:b/>
          <w:color w:val="auto"/>
          <w:sz w:val="32"/>
          <w:szCs w:val="32"/>
          <w:highlight w:val="none"/>
        </w:rPr>
        <w:t>附件：</w:t>
      </w:r>
      <w:bookmarkEnd w:id="53"/>
      <w:bookmarkEnd w:id="54"/>
      <w:r>
        <w:rPr>
          <w:rFonts w:ascii="Arial" w:hAnsi="Arial" w:eastAsia="宋体" w:cs="Arial"/>
          <w:b/>
          <w:color w:val="auto"/>
          <w:sz w:val="32"/>
          <w:szCs w:val="32"/>
          <w:highlight w:val="none"/>
        </w:rPr>
        <w:t xml:space="preserve">       </w:t>
      </w:r>
      <w:r>
        <w:rPr>
          <w:rFonts w:ascii="Arial" w:hAnsi="Arial" w:eastAsia="宋体" w:cs="Arial"/>
          <w:b/>
          <w:color w:val="auto"/>
          <w:szCs w:val="21"/>
          <w:highlight w:val="none"/>
        </w:rPr>
        <w:t xml:space="preserve">                     </w:t>
      </w:r>
    </w:p>
    <w:p w14:paraId="2EE3227B">
      <w:pPr>
        <w:pStyle w:val="14"/>
        <w:spacing w:line="288" w:lineRule="auto"/>
        <w:ind w:firstLine="472" w:firstLineChars="147"/>
        <w:jc w:val="center"/>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项目实施人员一览表（格式）</w:t>
      </w:r>
    </w:p>
    <w:p w14:paraId="18CCB593">
      <w:pPr>
        <w:spacing w:line="288" w:lineRule="auto"/>
        <w:ind w:firstLine="435"/>
        <w:rPr>
          <w:rFonts w:ascii="Arial" w:hAnsi="Arial" w:eastAsia="宋体" w:cs="Arial"/>
          <w:color w:val="auto"/>
          <w:szCs w:val="21"/>
          <w:highlight w:val="none"/>
        </w:rPr>
      </w:pP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14:paraId="33F8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38A6C707">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姓 名</w:t>
            </w:r>
          </w:p>
        </w:tc>
        <w:tc>
          <w:tcPr>
            <w:tcW w:w="806" w:type="dxa"/>
            <w:vAlign w:val="center"/>
          </w:tcPr>
          <w:p w14:paraId="42E93167">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职务</w:t>
            </w:r>
          </w:p>
        </w:tc>
        <w:tc>
          <w:tcPr>
            <w:tcW w:w="1537" w:type="dxa"/>
            <w:vAlign w:val="center"/>
          </w:tcPr>
          <w:p w14:paraId="710429EB">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专业技术资格</w:t>
            </w:r>
          </w:p>
        </w:tc>
        <w:tc>
          <w:tcPr>
            <w:tcW w:w="1371" w:type="dxa"/>
            <w:vAlign w:val="center"/>
          </w:tcPr>
          <w:p w14:paraId="626DE358">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证书编号</w:t>
            </w:r>
          </w:p>
        </w:tc>
        <w:tc>
          <w:tcPr>
            <w:tcW w:w="2163" w:type="dxa"/>
            <w:vAlign w:val="center"/>
          </w:tcPr>
          <w:p w14:paraId="060774F4">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参加本单位</w:t>
            </w:r>
          </w:p>
          <w:p w14:paraId="6764C786">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工作时间</w:t>
            </w:r>
          </w:p>
        </w:tc>
        <w:tc>
          <w:tcPr>
            <w:tcW w:w="2000" w:type="dxa"/>
            <w:vAlign w:val="center"/>
          </w:tcPr>
          <w:p w14:paraId="7DEAD13F">
            <w:pPr>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劳动合同编号</w:t>
            </w:r>
          </w:p>
        </w:tc>
      </w:tr>
      <w:tr w14:paraId="6A69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C800B73">
            <w:pPr>
              <w:spacing w:line="288" w:lineRule="auto"/>
              <w:rPr>
                <w:rFonts w:ascii="Arial" w:hAnsi="Arial" w:eastAsia="宋体" w:cs="Arial"/>
                <w:color w:val="auto"/>
                <w:szCs w:val="21"/>
                <w:highlight w:val="none"/>
              </w:rPr>
            </w:pPr>
          </w:p>
        </w:tc>
        <w:tc>
          <w:tcPr>
            <w:tcW w:w="806" w:type="dxa"/>
          </w:tcPr>
          <w:p w14:paraId="756747C1">
            <w:pPr>
              <w:spacing w:line="288" w:lineRule="auto"/>
              <w:rPr>
                <w:rFonts w:ascii="Arial" w:hAnsi="Arial" w:eastAsia="宋体" w:cs="Arial"/>
                <w:color w:val="auto"/>
                <w:szCs w:val="21"/>
                <w:highlight w:val="none"/>
              </w:rPr>
            </w:pPr>
          </w:p>
        </w:tc>
        <w:tc>
          <w:tcPr>
            <w:tcW w:w="1537" w:type="dxa"/>
          </w:tcPr>
          <w:p w14:paraId="22BA4F0C">
            <w:pPr>
              <w:spacing w:line="288" w:lineRule="auto"/>
              <w:rPr>
                <w:rFonts w:ascii="Arial" w:hAnsi="Arial" w:eastAsia="宋体" w:cs="Arial"/>
                <w:color w:val="auto"/>
                <w:szCs w:val="21"/>
                <w:highlight w:val="none"/>
              </w:rPr>
            </w:pPr>
          </w:p>
        </w:tc>
        <w:tc>
          <w:tcPr>
            <w:tcW w:w="1371" w:type="dxa"/>
          </w:tcPr>
          <w:p w14:paraId="393C0615">
            <w:pPr>
              <w:spacing w:line="288" w:lineRule="auto"/>
              <w:rPr>
                <w:rFonts w:ascii="Arial" w:hAnsi="Arial" w:eastAsia="宋体" w:cs="Arial"/>
                <w:color w:val="auto"/>
                <w:szCs w:val="21"/>
                <w:highlight w:val="none"/>
              </w:rPr>
            </w:pPr>
          </w:p>
        </w:tc>
        <w:tc>
          <w:tcPr>
            <w:tcW w:w="2163" w:type="dxa"/>
          </w:tcPr>
          <w:p w14:paraId="7FE3861D">
            <w:pPr>
              <w:spacing w:line="288" w:lineRule="auto"/>
              <w:rPr>
                <w:rFonts w:ascii="Arial" w:hAnsi="Arial" w:eastAsia="宋体" w:cs="Arial"/>
                <w:color w:val="auto"/>
                <w:szCs w:val="21"/>
                <w:highlight w:val="none"/>
              </w:rPr>
            </w:pPr>
          </w:p>
        </w:tc>
        <w:tc>
          <w:tcPr>
            <w:tcW w:w="2000" w:type="dxa"/>
          </w:tcPr>
          <w:p w14:paraId="7A60ACB8">
            <w:pPr>
              <w:spacing w:line="288" w:lineRule="auto"/>
              <w:rPr>
                <w:rFonts w:ascii="Arial" w:hAnsi="Arial" w:eastAsia="宋体" w:cs="Arial"/>
                <w:color w:val="auto"/>
                <w:szCs w:val="21"/>
                <w:highlight w:val="none"/>
              </w:rPr>
            </w:pPr>
          </w:p>
        </w:tc>
      </w:tr>
      <w:tr w14:paraId="5C16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CCC7FDE">
            <w:pPr>
              <w:spacing w:line="288" w:lineRule="auto"/>
              <w:rPr>
                <w:rFonts w:ascii="Arial" w:hAnsi="Arial" w:eastAsia="宋体" w:cs="Arial"/>
                <w:color w:val="auto"/>
                <w:szCs w:val="21"/>
                <w:highlight w:val="none"/>
              </w:rPr>
            </w:pPr>
          </w:p>
        </w:tc>
        <w:tc>
          <w:tcPr>
            <w:tcW w:w="806" w:type="dxa"/>
          </w:tcPr>
          <w:p w14:paraId="3A171B63">
            <w:pPr>
              <w:spacing w:line="288" w:lineRule="auto"/>
              <w:rPr>
                <w:rFonts w:ascii="Arial" w:hAnsi="Arial" w:eastAsia="宋体" w:cs="Arial"/>
                <w:color w:val="auto"/>
                <w:szCs w:val="21"/>
                <w:highlight w:val="none"/>
              </w:rPr>
            </w:pPr>
          </w:p>
        </w:tc>
        <w:tc>
          <w:tcPr>
            <w:tcW w:w="1537" w:type="dxa"/>
          </w:tcPr>
          <w:p w14:paraId="72B320B7">
            <w:pPr>
              <w:spacing w:line="288" w:lineRule="auto"/>
              <w:rPr>
                <w:rFonts w:ascii="Arial" w:hAnsi="Arial" w:eastAsia="宋体" w:cs="Arial"/>
                <w:color w:val="auto"/>
                <w:szCs w:val="21"/>
                <w:highlight w:val="none"/>
              </w:rPr>
            </w:pPr>
          </w:p>
        </w:tc>
        <w:tc>
          <w:tcPr>
            <w:tcW w:w="1371" w:type="dxa"/>
          </w:tcPr>
          <w:p w14:paraId="283353D9">
            <w:pPr>
              <w:spacing w:line="288" w:lineRule="auto"/>
              <w:rPr>
                <w:rFonts w:ascii="Arial" w:hAnsi="Arial" w:eastAsia="宋体" w:cs="Arial"/>
                <w:color w:val="auto"/>
                <w:szCs w:val="21"/>
                <w:highlight w:val="none"/>
              </w:rPr>
            </w:pPr>
          </w:p>
        </w:tc>
        <w:tc>
          <w:tcPr>
            <w:tcW w:w="2163" w:type="dxa"/>
          </w:tcPr>
          <w:p w14:paraId="39C27761">
            <w:pPr>
              <w:spacing w:line="288" w:lineRule="auto"/>
              <w:rPr>
                <w:rFonts w:ascii="Arial" w:hAnsi="Arial" w:eastAsia="宋体" w:cs="Arial"/>
                <w:color w:val="auto"/>
                <w:szCs w:val="21"/>
                <w:highlight w:val="none"/>
              </w:rPr>
            </w:pPr>
          </w:p>
        </w:tc>
        <w:tc>
          <w:tcPr>
            <w:tcW w:w="2000" w:type="dxa"/>
          </w:tcPr>
          <w:p w14:paraId="1A60979A">
            <w:pPr>
              <w:spacing w:line="288" w:lineRule="auto"/>
              <w:rPr>
                <w:rFonts w:ascii="Arial" w:hAnsi="Arial" w:eastAsia="宋体" w:cs="Arial"/>
                <w:color w:val="auto"/>
                <w:szCs w:val="21"/>
                <w:highlight w:val="none"/>
              </w:rPr>
            </w:pPr>
          </w:p>
        </w:tc>
      </w:tr>
    </w:tbl>
    <w:p w14:paraId="64D5E1AB">
      <w:pPr>
        <w:spacing w:line="288" w:lineRule="auto"/>
        <w:rPr>
          <w:rFonts w:ascii="Arial" w:hAnsi="Arial" w:eastAsia="宋体" w:cs="Arial"/>
          <w:color w:val="auto"/>
          <w:szCs w:val="21"/>
          <w:highlight w:val="none"/>
        </w:rPr>
      </w:pPr>
    </w:p>
    <w:p w14:paraId="0A95CF20">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注：1.在填写时，如本表格不适合供应商的实际情况，可根据本表格式自行制表填写。</w:t>
      </w:r>
    </w:p>
    <w:p w14:paraId="23B3498C">
      <w:pPr>
        <w:spacing w:line="288" w:lineRule="auto"/>
        <w:ind w:left="420" w:leftChars="200"/>
        <w:rPr>
          <w:rFonts w:ascii="Arial" w:hAnsi="Arial" w:eastAsia="宋体" w:cs="Arial"/>
          <w:color w:val="auto"/>
          <w:szCs w:val="21"/>
          <w:highlight w:val="none"/>
        </w:rPr>
      </w:pPr>
      <w:r>
        <w:rPr>
          <w:rFonts w:ascii="Arial" w:hAnsi="Arial" w:eastAsia="宋体" w:cs="Arial"/>
          <w:color w:val="auto"/>
          <w:szCs w:val="21"/>
          <w:highlight w:val="none"/>
        </w:rPr>
        <w:t>2.项目实施人员一览表须由法定代表人或相应的委托代理人签字并加盖供应商公章。</w:t>
      </w:r>
    </w:p>
    <w:p w14:paraId="30E6441E">
      <w:pPr>
        <w:spacing w:line="288" w:lineRule="auto"/>
        <w:rPr>
          <w:rFonts w:ascii="Arial" w:hAnsi="Arial" w:eastAsia="宋体" w:cs="Arial"/>
          <w:color w:val="auto"/>
          <w:szCs w:val="21"/>
          <w:highlight w:val="none"/>
        </w:rPr>
      </w:pPr>
    </w:p>
    <w:p w14:paraId="066E8463">
      <w:pPr>
        <w:snapToGrid w:val="0"/>
        <w:spacing w:line="288" w:lineRule="auto"/>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7C0B01A2">
      <w:pPr>
        <w:pStyle w:val="14"/>
        <w:spacing w:line="288" w:lineRule="auto"/>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35F9ED8B">
      <w:pPr>
        <w:pStyle w:val="14"/>
        <w:spacing w:line="288" w:lineRule="auto"/>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32850D14">
      <w:pPr>
        <w:pStyle w:val="14"/>
        <w:spacing w:line="288" w:lineRule="auto"/>
        <w:rPr>
          <w:rFonts w:ascii="Arial" w:hAnsi="Arial" w:eastAsia="宋体" w:cs="Arial"/>
          <w:b/>
          <w:color w:val="auto"/>
          <w:sz w:val="28"/>
          <w:szCs w:val="28"/>
          <w:highlight w:val="none"/>
        </w:rPr>
      </w:pPr>
    </w:p>
    <w:p w14:paraId="47FB266D">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2.供应商具有同类产品的销售业绩的相关证明材料（无不良记录，以中标、成交通知书或签订的销售合同为准，并能清晰反映所销售的货物名称、种类、金额）（如有，请提供）；</w:t>
      </w:r>
    </w:p>
    <w:p w14:paraId="78C53D53">
      <w:pPr>
        <w:pStyle w:val="14"/>
        <w:spacing w:line="288" w:lineRule="auto"/>
        <w:rPr>
          <w:rFonts w:ascii="Arial" w:hAnsi="Arial" w:eastAsia="宋体" w:cs="Arial"/>
          <w:b/>
          <w:color w:val="auto"/>
          <w:sz w:val="28"/>
          <w:szCs w:val="28"/>
          <w:highlight w:val="none"/>
        </w:rPr>
      </w:pPr>
    </w:p>
    <w:p w14:paraId="0193E31B">
      <w:pPr>
        <w:tabs>
          <w:tab w:val="left" w:pos="1305"/>
        </w:tabs>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3.供应商相关获奖证书、认证证书等复印件（如有，请提供）；</w:t>
      </w:r>
    </w:p>
    <w:p w14:paraId="0A1D567E">
      <w:pPr>
        <w:pStyle w:val="14"/>
        <w:spacing w:line="288" w:lineRule="auto"/>
        <w:rPr>
          <w:rFonts w:ascii="Arial" w:hAnsi="Arial" w:eastAsia="宋体" w:cs="Arial"/>
          <w:b/>
          <w:color w:val="auto"/>
          <w:sz w:val="28"/>
          <w:szCs w:val="28"/>
          <w:highlight w:val="none"/>
        </w:rPr>
      </w:pPr>
    </w:p>
    <w:p w14:paraId="56815C26">
      <w:pPr>
        <w:pStyle w:val="7"/>
        <w:spacing w:line="288" w:lineRule="auto"/>
        <w:ind w:left="2940"/>
        <w:rPr>
          <w:color w:val="auto"/>
          <w:highlight w:val="none"/>
        </w:rPr>
      </w:pPr>
    </w:p>
    <w:p w14:paraId="5B25CAAE">
      <w:pPr>
        <w:pStyle w:val="14"/>
        <w:spacing w:line="288" w:lineRule="auto"/>
        <w:rPr>
          <w:rFonts w:ascii="Arial" w:hAnsi="Arial" w:eastAsia="宋体" w:cs="Arial"/>
          <w:b/>
          <w:color w:val="auto"/>
          <w:sz w:val="28"/>
          <w:szCs w:val="28"/>
          <w:highlight w:val="none"/>
        </w:rPr>
      </w:pPr>
    </w:p>
    <w:p w14:paraId="70F37C08">
      <w:pPr>
        <w:pStyle w:val="14"/>
        <w:spacing w:line="288" w:lineRule="auto"/>
        <w:rPr>
          <w:rFonts w:ascii="Arial" w:hAnsi="Arial" w:eastAsia="宋体" w:cs="Arial"/>
          <w:b/>
          <w:color w:val="auto"/>
          <w:sz w:val="28"/>
          <w:szCs w:val="28"/>
          <w:highlight w:val="none"/>
        </w:rPr>
      </w:pPr>
      <w:r>
        <w:rPr>
          <w:rFonts w:ascii="Arial" w:hAnsi="Arial" w:eastAsia="宋体" w:cs="Arial"/>
          <w:b/>
          <w:color w:val="auto"/>
          <w:sz w:val="28"/>
          <w:szCs w:val="28"/>
          <w:highlight w:val="none"/>
        </w:rPr>
        <w:t>4.供应商可结合本项目自身情况自行提交其它相关证明材料（如有，请提供）</w:t>
      </w:r>
    </w:p>
    <w:p w14:paraId="0BE3288C">
      <w:pPr>
        <w:spacing w:line="288" w:lineRule="auto"/>
        <w:rPr>
          <w:rFonts w:ascii="Arial" w:hAnsi="Arial" w:eastAsia="宋体" w:cs="Arial"/>
          <w:color w:val="auto"/>
          <w:highlight w:val="none"/>
        </w:rPr>
      </w:pPr>
      <w:r>
        <w:rPr>
          <w:rFonts w:ascii="Arial" w:hAnsi="Arial" w:eastAsia="宋体" w:cs="Arial"/>
          <w:color w:val="auto"/>
          <w:highlight w:val="none"/>
        </w:rPr>
        <w:br w:type="page"/>
      </w:r>
    </w:p>
    <w:p w14:paraId="3D35E6B7">
      <w:pPr>
        <w:spacing w:line="288" w:lineRule="auto"/>
        <w:rPr>
          <w:rFonts w:ascii="Arial" w:hAnsi="Arial" w:eastAsia="宋体" w:cs="Arial"/>
          <w:color w:val="auto"/>
          <w:sz w:val="28"/>
          <w:szCs w:val="28"/>
          <w:highlight w:val="none"/>
        </w:rPr>
      </w:pPr>
      <w:r>
        <w:rPr>
          <w:rFonts w:ascii="Arial" w:hAnsi="Arial" w:eastAsia="宋体" w:cs="Arial"/>
          <w:b/>
          <w:color w:val="auto"/>
          <w:sz w:val="28"/>
          <w:szCs w:val="28"/>
          <w:highlight w:val="none"/>
        </w:rPr>
        <w:t>附件（如有，请提供）：</w:t>
      </w:r>
    </w:p>
    <w:p w14:paraId="7F8FDA61">
      <w:pPr>
        <w:spacing w:line="288" w:lineRule="auto"/>
        <w:rPr>
          <w:rFonts w:ascii="Arial" w:hAnsi="Arial" w:eastAsia="宋体" w:cs="Arial"/>
          <w:b/>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w:t>
      </w:r>
      <w:r>
        <w:rPr>
          <w:rFonts w:ascii="Arial" w:hAnsi="Arial" w:eastAsia="宋体" w:cs="Arial"/>
          <w:bCs/>
          <w:color w:val="auto"/>
          <w:szCs w:val="21"/>
          <w:highlight w:val="none"/>
        </w:rPr>
        <w:t>中小企业声明函</w:t>
      </w:r>
      <w:r>
        <w:rPr>
          <w:rFonts w:ascii="Arial" w:hAnsi="Arial" w:eastAsia="宋体" w:cs="Arial"/>
          <w:color w:val="auto"/>
          <w:szCs w:val="21"/>
          <w:highlight w:val="none"/>
        </w:rPr>
        <w:t>。</w:t>
      </w:r>
      <w:bookmarkStart w:id="55" w:name="_Hlk60651253"/>
    </w:p>
    <w:bookmarkEnd w:id="55"/>
    <w:p w14:paraId="565B313A">
      <w:pPr>
        <w:spacing w:line="288" w:lineRule="auto"/>
        <w:ind w:firstLine="3584" w:firstLineChars="1700"/>
        <w:rPr>
          <w:rFonts w:ascii="Arial" w:hAnsi="Arial" w:eastAsia="宋体" w:cs="Arial"/>
          <w:b/>
          <w:color w:val="auto"/>
          <w:szCs w:val="21"/>
          <w:highlight w:val="none"/>
        </w:rPr>
      </w:pPr>
      <w:bookmarkStart w:id="56" w:name="_Hlk60649458"/>
      <w:bookmarkStart w:id="57" w:name="_Hlk60653683"/>
      <w:bookmarkStart w:id="58" w:name="_Hlk19115884"/>
      <w:bookmarkStart w:id="59" w:name="_Hlk65852042"/>
      <w:r>
        <w:rPr>
          <w:rFonts w:ascii="Arial" w:hAnsi="Arial" w:eastAsia="宋体" w:cs="Arial"/>
          <w:b/>
          <w:color w:val="auto"/>
          <w:szCs w:val="21"/>
          <w:highlight w:val="none"/>
        </w:rPr>
        <w:t>中小企业声明函（货物）</w:t>
      </w:r>
    </w:p>
    <w:p w14:paraId="2D02ACB4">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本公司（联合体）郑重声明，根据《政府采购促进中小企业发展管理办法》（财库﹝2020﹞46 号）的规定，本公司（联合体）参加</w:t>
      </w:r>
      <w:r>
        <w:rPr>
          <w:rFonts w:ascii="Arial" w:hAnsi="Arial" w:eastAsia="宋体" w:cs="Arial"/>
          <w:bCs/>
          <w:color w:val="auto"/>
          <w:szCs w:val="21"/>
          <w:highlight w:val="none"/>
          <w:u w:val="single"/>
        </w:rPr>
        <w:t>（单位名称）</w:t>
      </w:r>
      <w:r>
        <w:rPr>
          <w:rFonts w:ascii="Arial" w:hAnsi="Arial" w:eastAsia="宋体" w:cs="Arial"/>
          <w:bCs/>
          <w:color w:val="auto"/>
          <w:szCs w:val="21"/>
          <w:highlight w:val="none"/>
        </w:rPr>
        <w:t>的</w:t>
      </w:r>
      <w:r>
        <w:rPr>
          <w:rFonts w:ascii="Arial" w:hAnsi="Arial" w:eastAsia="宋体" w:cs="Arial"/>
          <w:bCs/>
          <w:color w:val="auto"/>
          <w:szCs w:val="21"/>
          <w:highlight w:val="none"/>
          <w:u w:val="single"/>
        </w:rPr>
        <w:t>（项目名称）</w:t>
      </w:r>
      <w:r>
        <w:rPr>
          <w:rFonts w:ascii="Arial" w:hAnsi="Arial" w:eastAsia="宋体" w:cs="Arial"/>
          <w:bCs/>
          <w:color w:val="auto"/>
          <w:szCs w:val="21"/>
          <w:highlight w:val="none"/>
        </w:rPr>
        <w:t>采购活动，提供的货物全部由符合政策要求的中小企业制造。相关企业（含联合体中的中小企业、签订分包意向协议的中小企业）的具体情况如下：</w:t>
      </w:r>
    </w:p>
    <w:p w14:paraId="551E98BE">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1.</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w:t>
      </w:r>
      <w:r>
        <w:rPr>
          <w:rFonts w:ascii="Arial" w:hAnsi="Arial" w:eastAsia="宋体" w:cs="Arial"/>
          <w:bCs/>
          <w:color w:val="auto"/>
          <w:szCs w:val="21"/>
          <w:highlight w:val="none"/>
          <w:u w:val="single"/>
        </w:rPr>
        <w:t>件中明确的所属行业）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p>
    <w:p w14:paraId="6A982E0A">
      <w:pPr>
        <w:spacing w:line="288" w:lineRule="auto"/>
        <w:rPr>
          <w:rFonts w:ascii="Arial" w:hAnsi="Arial" w:eastAsia="宋体" w:cs="Arial"/>
          <w:bCs/>
          <w:color w:val="auto"/>
          <w:szCs w:val="21"/>
          <w:highlight w:val="none"/>
        </w:rPr>
      </w:pP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14:paraId="32167D8C">
      <w:pPr>
        <w:spacing w:line="288" w:lineRule="auto"/>
        <w:ind w:firstLine="210" w:firstLineChars="100"/>
        <w:rPr>
          <w:rFonts w:ascii="Arial" w:hAnsi="Arial" w:eastAsia="宋体" w:cs="Arial"/>
          <w:bCs/>
          <w:color w:val="auto"/>
          <w:szCs w:val="21"/>
          <w:highlight w:val="none"/>
        </w:rPr>
      </w:pPr>
      <w:r>
        <w:rPr>
          <w:rFonts w:hint="eastAsia" w:ascii="Arial" w:hAnsi="Arial" w:eastAsia="宋体" w:cs="Arial"/>
          <w:bCs/>
          <w:color w:val="auto"/>
          <w:szCs w:val="21"/>
          <w:highlight w:val="none"/>
        </w:rPr>
        <w:t>2.</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w:t>
      </w:r>
      <w:r>
        <w:rPr>
          <w:rFonts w:ascii="Arial" w:hAnsi="Arial" w:eastAsia="宋体" w:cs="Arial"/>
          <w:bCs/>
          <w:color w:val="auto"/>
          <w:szCs w:val="21"/>
          <w:highlight w:val="none"/>
          <w:u w:val="single"/>
        </w:rPr>
        <w:t>件中明确的所属行业）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14:paraId="75B6FE53">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w:t>
      </w:r>
    </w:p>
    <w:p w14:paraId="3F9E4D42">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以上企业，不属于大企业的分支机构，不存在控股股东为大企业的情形，也不存在与大企业的负责人为同一人的情形。</w:t>
      </w:r>
    </w:p>
    <w:p w14:paraId="4BF8E14A">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本企业对上述声明内容的真实性负责。如有虚假，将依法承担相应责任。</w:t>
      </w:r>
    </w:p>
    <w:p w14:paraId="5952A8E9">
      <w:pPr>
        <w:spacing w:line="288" w:lineRule="auto"/>
        <w:ind w:firstLine="4830" w:firstLineChars="2300"/>
        <w:rPr>
          <w:rFonts w:ascii="Arial" w:hAnsi="Arial" w:eastAsia="宋体" w:cs="Arial"/>
          <w:bCs/>
          <w:color w:val="auto"/>
          <w:szCs w:val="21"/>
          <w:highlight w:val="none"/>
        </w:rPr>
      </w:pPr>
      <w:r>
        <w:rPr>
          <w:rFonts w:ascii="Arial" w:hAnsi="Arial" w:eastAsia="宋体" w:cs="Arial"/>
          <w:color w:val="auto"/>
          <w:highlight w:val="none"/>
        </w:rPr>
        <w:t>供应商（公章）</w:t>
      </w:r>
      <w:r>
        <w:rPr>
          <w:rFonts w:ascii="Arial" w:hAnsi="Arial" w:eastAsia="宋体" w:cs="Arial"/>
          <w:bCs/>
          <w:color w:val="auto"/>
          <w:szCs w:val="21"/>
          <w:highlight w:val="none"/>
        </w:rPr>
        <w:t>：    日期：</w:t>
      </w:r>
    </w:p>
    <w:p w14:paraId="72E935CB">
      <w:pPr>
        <w:spacing w:line="288" w:lineRule="auto"/>
        <w:jc w:val="left"/>
        <w:rPr>
          <w:rFonts w:ascii="Arial" w:hAnsi="Arial" w:eastAsia="宋体" w:cs="Arial"/>
          <w:bCs/>
          <w:color w:val="auto"/>
          <w:szCs w:val="21"/>
          <w:highlight w:val="none"/>
        </w:rPr>
      </w:pPr>
      <w:bookmarkStart w:id="60" w:name="_Hlk65852026"/>
      <w:r>
        <w:rPr>
          <w:rFonts w:ascii="Arial" w:hAnsi="Arial" w:eastAsia="宋体" w:cs="Arial"/>
          <w:bCs/>
          <w:color w:val="auto"/>
          <w:szCs w:val="21"/>
          <w:highlight w:val="none"/>
        </w:rPr>
        <w:t>注：</w:t>
      </w:r>
    </w:p>
    <w:bookmarkEnd w:id="56"/>
    <w:bookmarkEnd w:id="57"/>
    <w:bookmarkEnd w:id="60"/>
    <w:p w14:paraId="0088BC42">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（1）标的名称按照第三章项目采购需求中的货物名称填写，</w:t>
      </w:r>
      <w:r>
        <w:rPr>
          <w:rFonts w:hint="eastAsia" w:ascii="Arial" w:hAnsi="Arial" w:eastAsia="宋体" w:cs="Arial"/>
          <w:b/>
          <w:color w:val="auto"/>
          <w:szCs w:val="21"/>
          <w:highlight w:val="none"/>
        </w:rPr>
        <w:t>本项目A分标所属行业：软件和信息技术服务业，B分标所属行业为：工业</w:t>
      </w:r>
      <w:r>
        <w:rPr>
          <w:rFonts w:ascii="Arial" w:hAnsi="Arial" w:eastAsia="宋体" w:cs="Arial"/>
          <w:b/>
          <w:color w:val="auto"/>
          <w:szCs w:val="21"/>
          <w:highlight w:val="none"/>
        </w:rPr>
        <w:t>。</w:t>
      </w:r>
    </w:p>
    <w:p w14:paraId="40EE66EE">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（2）如供应商为联合体或分包的，声明函中“项目名称”应填写联合体中小微企业承担的具体内容或者小微企业具体分包内容。</w:t>
      </w:r>
    </w:p>
    <w:p w14:paraId="42DBDB38">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（3）从业人员、营业收入、资产总额填报上一年度数据，无上一年度数据的新成立企业参照国务院批准的中小企业划分标准，根据企业自身情况如实判断。</w:t>
      </w:r>
    </w:p>
    <w:p w14:paraId="39DD0F12">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3EC83505">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1F14F0F2">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（6）本声明函由供应商填写，供应商应按中小企业划分标准《关于印发中小企业划型标准规定的通知》（工信部联企业〔2011〕300号</w:t>
      </w:r>
      <w:r>
        <w:rPr>
          <w:rFonts w:ascii="Arial" w:hAnsi="Arial" w:eastAsia="宋体" w:cs="Arial"/>
          <w:color w:val="auto"/>
          <w:szCs w:val="21"/>
          <w:highlight w:val="none"/>
        </w:rPr>
        <w:t>以及《金融业企业划型标准规定》（银发〔2015〕309号）</w:t>
      </w:r>
      <w:r>
        <w:rPr>
          <w:rFonts w:ascii="Arial" w:hAnsi="Arial" w:eastAsia="宋体" w:cs="Arial"/>
          <w:bCs/>
          <w:color w:val="auto"/>
          <w:szCs w:val="21"/>
          <w:highlight w:val="none"/>
        </w:rPr>
        <w:t>）判断是否为中小企业。</w:t>
      </w:r>
    </w:p>
    <w:p w14:paraId="49FAF822">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（7）供应商对《中小企业声明函》的真实性负责，如有虚假则需承担不利后果。依法享受中小企业优惠政策的，采购人或采购代理机构在公告中标结果时，同时公告其《中小企业声明函》，接受社会监督。</w:t>
      </w:r>
    </w:p>
    <w:p w14:paraId="7160D3A5">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3ED830D">
      <w:pPr>
        <w:spacing w:line="288" w:lineRule="auto"/>
        <w:jc w:val="left"/>
        <w:rPr>
          <w:rFonts w:ascii="Arial" w:hAnsi="Arial" w:eastAsia="宋体" w:cs="Arial"/>
          <w:bCs/>
          <w:color w:val="auto"/>
          <w:szCs w:val="21"/>
          <w:highlight w:val="none"/>
        </w:rPr>
      </w:pPr>
    </w:p>
    <w:p w14:paraId="0A0EC707">
      <w:pPr>
        <w:snapToGrid w:val="0"/>
        <w:spacing w:before="50" w:after="156" w:afterLines="50" w:line="288" w:lineRule="auto"/>
        <w:jc w:val="lef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w:t>
      </w:r>
      <w:r>
        <w:rPr>
          <w:rFonts w:ascii="Arial" w:hAnsi="Arial" w:eastAsia="宋体" w:cs="Arial"/>
          <w:color w:val="auto"/>
          <w:szCs w:val="21"/>
          <w:highlight w:val="none"/>
        </w:rPr>
        <w:t>监狱企业须提供最新一期《XX省监狱企业产品目录》或其他监狱企业证明材料。（非监狱企业无需提供）</w:t>
      </w:r>
    </w:p>
    <w:p w14:paraId="523C9704">
      <w:pPr>
        <w:snapToGrid w:val="0"/>
        <w:spacing w:before="50" w:after="156" w:afterLines="50" w:line="288" w:lineRule="auto"/>
        <w:jc w:val="left"/>
        <w:rPr>
          <w:rFonts w:ascii="Arial" w:hAnsi="Arial" w:eastAsia="宋体" w:cs="Arial"/>
          <w:color w:val="auto"/>
          <w:szCs w:val="21"/>
          <w:highlight w:val="none"/>
        </w:rPr>
      </w:pPr>
    </w:p>
    <w:p w14:paraId="49D1BA99">
      <w:pPr>
        <w:widowControl/>
        <w:spacing w:line="288" w:lineRule="auto"/>
        <w:jc w:val="left"/>
        <w:rPr>
          <w:rFonts w:ascii="Arial" w:hAnsi="Arial" w:eastAsia="宋体" w:cs="Arial"/>
          <w:color w:val="auto"/>
          <w:szCs w:val="21"/>
          <w:highlight w:val="none"/>
        </w:rPr>
      </w:pPr>
      <w:r>
        <w:rPr>
          <w:rFonts w:ascii="Arial" w:hAnsi="Arial" w:eastAsia="宋体" w:cs="Arial"/>
          <w:color w:val="auto"/>
          <w:szCs w:val="21"/>
          <w:highlight w:val="none"/>
        </w:rPr>
        <w:t>3</w:t>
      </w:r>
      <w:bookmarkStart w:id="61" w:name="_Hlk19051624"/>
      <w:r>
        <w:rPr>
          <w:rFonts w:hint="eastAsia" w:ascii="Arial" w:hAnsi="Arial" w:eastAsia="宋体" w:cs="Arial"/>
          <w:color w:val="auto"/>
          <w:szCs w:val="21"/>
          <w:highlight w:val="none"/>
        </w:rPr>
        <w:t>.</w:t>
      </w:r>
      <w:r>
        <w:rPr>
          <w:rFonts w:ascii="Arial" w:hAnsi="Arial" w:eastAsia="宋体" w:cs="Arial"/>
          <w:color w:val="auto"/>
          <w:highlight w:val="none"/>
        </w:rPr>
        <w:t>残疾人福利性单位须提供《残疾人福利性单位声明函》，格式如下。</w:t>
      </w:r>
      <w:r>
        <w:rPr>
          <w:rFonts w:ascii="Arial" w:hAnsi="Arial" w:eastAsia="宋体" w:cs="Arial"/>
          <w:color w:val="auto"/>
          <w:szCs w:val="21"/>
          <w:highlight w:val="none"/>
        </w:rPr>
        <w:t>（非残疾人福利性单位无需提供）</w:t>
      </w:r>
    </w:p>
    <w:bookmarkEnd w:id="61"/>
    <w:p w14:paraId="33337916">
      <w:pPr>
        <w:spacing w:line="288" w:lineRule="auto"/>
        <w:jc w:val="center"/>
        <w:rPr>
          <w:rFonts w:ascii="Arial" w:hAnsi="Arial" w:eastAsia="宋体" w:cs="Arial"/>
          <w:b/>
          <w:color w:val="auto"/>
          <w:szCs w:val="21"/>
          <w:highlight w:val="none"/>
        </w:rPr>
      </w:pPr>
      <w:bookmarkStart w:id="62" w:name="OLE_LINK13"/>
      <w:bookmarkStart w:id="63" w:name="OLE_LINK14"/>
      <w:r>
        <w:rPr>
          <w:rFonts w:ascii="Arial" w:hAnsi="Arial" w:eastAsia="宋体" w:cs="Arial"/>
          <w:b/>
          <w:color w:val="auto"/>
          <w:szCs w:val="21"/>
          <w:highlight w:val="none"/>
        </w:rPr>
        <w:t>残疾人福利性单位声明函</w:t>
      </w:r>
      <w:bookmarkEnd w:id="62"/>
      <w:bookmarkEnd w:id="63"/>
    </w:p>
    <w:p w14:paraId="6B2F52C1">
      <w:pPr>
        <w:spacing w:line="288" w:lineRule="auto"/>
        <w:ind w:firstLine="420"/>
        <w:jc w:val="left"/>
        <w:rPr>
          <w:rFonts w:ascii="Arial" w:hAnsi="Arial" w:eastAsia="宋体" w:cs="Arial"/>
          <w:color w:val="auto"/>
          <w:szCs w:val="21"/>
          <w:highlight w:val="none"/>
        </w:rPr>
      </w:pPr>
      <w:r>
        <w:rPr>
          <w:rFonts w:ascii="Arial" w:hAnsi="Arial" w:eastAsia="宋体"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单位的</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7305826">
      <w:pPr>
        <w:spacing w:line="288" w:lineRule="auto"/>
        <w:ind w:firstLine="420"/>
        <w:rPr>
          <w:rFonts w:ascii="Arial" w:hAnsi="Arial" w:eastAsia="宋体" w:cs="Arial"/>
          <w:color w:val="auto"/>
          <w:szCs w:val="21"/>
          <w:highlight w:val="none"/>
        </w:rPr>
      </w:pPr>
      <w:r>
        <w:rPr>
          <w:rFonts w:ascii="Arial" w:hAnsi="Arial" w:eastAsia="宋体" w:cs="Arial"/>
          <w:color w:val="auto"/>
          <w:szCs w:val="21"/>
          <w:highlight w:val="none"/>
        </w:rPr>
        <w:t>本单位对上述声明的真实性负责。如有虚假，将依法承担相应责任。</w:t>
      </w:r>
    </w:p>
    <w:p w14:paraId="3B0492EC">
      <w:pPr>
        <w:spacing w:line="288" w:lineRule="auto"/>
        <w:ind w:firstLine="420"/>
        <w:jc w:val="center"/>
        <w:rPr>
          <w:rFonts w:ascii="Arial" w:hAnsi="Arial" w:eastAsia="宋体" w:cs="Arial"/>
          <w:color w:val="auto"/>
          <w:spacing w:val="6"/>
          <w:szCs w:val="21"/>
          <w:highlight w:val="none"/>
        </w:rPr>
      </w:pPr>
      <w:r>
        <w:rPr>
          <w:rFonts w:ascii="Arial" w:hAnsi="Arial" w:eastAsia="宋体" w:cs="Arial"/>
          <w:color w:val="auto"/>
          <w:highlight w:val="none"/>
        </w:rPr>
        <w:t>供应商（公章）</w:t>
      </w:r>
      <w:r>
        <w:rPr>
          <w:rFonts w:ascii="Arial" w:hAnsi="Arial" w:eastAsia="宋体" w:cs="Arial"/>
          <w:color w:val="auto"/>
          <w:spacing w:val="6"/>
          <w:szCs w:val="21"/>
          <w:highlight w:val="none"/>
        </w:rPr>
        <w:t>：</w:t>
      </w:r>
    </w:p>
    <w:p w14:paraId="1B0BBA86">
      <w:pPr>
        <w:spacing w:line="288" w:lineRule="auto"/>
        <w:ind w:firstLine="420"/>
        <w:jc w:val="center"/>
        <w:rPr>
          <w:rFonts w:ascii="Arial" w:hAnsi="Arial" w:cs="Arial"/>
          <w:color w:val="auto"/>
          <w:spacing w:val="6"/>
          <w:szCs w:val="21"/>
          <w:highlight w:val="none"/>
        </w:rPr>
      </w:pPr>
      <w:r>
        <w:rPr>
          <w:rFonts w:ascii="Arial" w:hAnsi="Arial" w:eastAsia="宋体" w:cs="Arial"/>
          <w:color w:val="auto"/>
          <w:spacing w:val="6"/>
          <w:szCs w:val="21"/>
          <w:highlight w:val="none"/>
        </w:rPr>
        <w:t>日  期：</w:t>
      </w:r>
    </w:p>
    <w:p w14:paraId="6CE24C06">
      <w:pPr>
        <w:spacing w:line="288" w:lineRule="auto"/>
        <w:rPr>
          <w:rFonts w:ascii="Arial" w:hAnsi="Arial" w:cs="Arial"/>
          <w:color w:val="auto"/>
          <w:szCs w:val="21"/>
          <w:highlight w:val="none"/>
        </w:rPr>
      </w:pPr>
    </w:p>
    <w:bookmarkEnd w:id="58"/>
    <w:bookmarkEnd w:id="59"/>
    <w:p w14:paraId="11754A23">
      <w:pPr>
        <w:spacing w:line="288" w:lineRule="auto"/>
        <w:rPr>
          <w:color w:val="auto"/>
          <w:highlight w:val="none"/>
        </w:rPr>
      </w:pPr>
    </w:p>
    <w:p w14:paraId="6AF24D16">
      <w:pPr>
        <w:spacing w:line="288" w:lineRule="auto"/>
        <w:rPr>
          <w:color w:val="auto"/>
          <w:highlight w:val="none"/>
        </w:rPr>
      </w:pPr>
    </w:p>
    <w:sectPr>
      <w:footerReference r:id="rId13" w:type="default"/>
      <w:pgSz w:w="11906" w:h="16838"/>
      <w:pgMar w:top="1304" w:right="924" w:bottom="851"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4512">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075D">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439631499"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513C162A">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66+tTRAAAAAgEAAA8AAAAAAAAAAQAgAAAAIgAAAGRycy9kb3ducmV2&#10;LnhtbFBLAQIUABQAAAAIAIdO4kCahd6ePAIAAGkEAAAOAAAAAAAAAAEAIAAAACABAABkcnMvZTJv&#10;RG9jLnhtbFBLBQYAAAAABgAGAFkBAADOBQAAAAA=&#10;">
              <v:fill on="f" focussize="0,0"/>
              <v:stroke on="f" weight="0.5pt"/>
              <v:imagedata o:title=""/>
              <o:lock v:ext="edit" aspectratio="f"/>
              <v:textbox inset="0mm,0mm,0mm,0mm" style="mso-fit-shape-to-text:t;">
                <w:txbxContent>
                  <w:p w14:paraId="513C162A">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C25D8">
    <w:pPr>
      <w:tabs>
        <w:tab w:val="left" w:pos="1785"/>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1618749692"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62EF4724">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uvrU0QAAAAIBAAAPAAAAAAAAAAEAIAAAACIAAABkcnMvZG93bnJl&#10;di54bWxQSwECFAAUAAAACACHTuJAW9rcSj0CAABpBAAADgAAAAAAAAABACAAAAAgAQAAZHJzL2Uy&#10;b0RvYy54bWxQSwUGAAAAAAYABgBZAQAAzwUAAAAA&#10;">
              <v:fill on="f" focussize="0,0"/>
              <v:stroke on="f" weight="0.5pt"/>
              <v:imagedata o:title=""/>
              <o:lock v:ext="edit" aspectratio="f"/>
              <v:textbox inset="0mm,0mm,0mm,0mm" style="mso-fit-shape-to-text:t;">
                <w:txbxContent>
                  <w:p w14:paraId="62EF4724">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1CBC">
    <w:pPr>
      <w:pStyle w:val="17"/>
      <w:rPr>
        <w:rStyle w:val="2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2575" cy="154940"/>
              <wp:effectExtent l="0" t="0" r="4445" b="0"/>
              <wp:wrapNone/>
              <wp:docPr id="1219197287"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282575" cy="154940"/>
                      </a:xfrm>
                      <a:prstGeom prst="rect">
                        <a:avLst/>
                      </a:prstGeom>
                      <a:noFill/>
                      <a:ln>
                        <a:noFill/>
                      </a:ln>
                    </wps:spPr>
                    <wps:txbx>
                      <w:txbxContent>
                        <w:p w14:paraId="06001818">
                          <w:pPr>
                            <w:pStyle w:val="17"/>
                          </w:pPr>
                          <w:r>
                            <w:fldChar w:fldCharType="begin"/>
                          </w:r>
                          <w:r>
                            <w:instrText xml:space="preserve"> PAGE  \* MERGEFORMAT </w:instrText>
                          </w:r>
                          <w:r>
                            <w:fldChar w:fldCharType="separate"/>
                          </w:r>
                          <w:r>
                            <w:t>57</w:t>
                          </w:r>
                          <w:r>
                            <w:fldChar w:fldCharType="end"/>
                          </w:r>
                        </w:p>
                      </w:txbxContent>
                    </wps:txbx>
                    <wps:bodyPr rot="0" vert="horz" wrap="square" lIns="0" tIns="0" rIns="0" bIns="0" anchor="t" anchorCtr="0" upright="1">
                      <a:spAutoFit/>
                    </wps:bodyPr>
                  </wps:wsp>
                </a:graphicData>
              </a:graphic>
            </wp:anchor>
          </w:drawing>
        </mc:Choice>
        <mc:Fallback>
          <w:pict>
            <v:shape id="Text Box 1027" o:spid="_x0000_s1026" o:spt="202" type="#_x0000_t202" style="position:absolute;left:0pt;margin-top:0pt;height:12.2pt;width:22.25pt;mso-position-horizontal:center;mso-position-horizontal-relative:margin;z-index:251661312;mso-width-relative:page;mso-height-relative:page;" filled="f" stroked="f" coordsize="21600,21600" o:gfxdata="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g+O20gAAAAMBAAAPAAAAAAAAAAEAIAAAACIAAABkcnMvZG93&#10;bnJldi54bWxQSwECFAAUAAAACACHTuJAEzKdpQYCAAAPBAAADgAAAAAAAAABACAAAAAhAQAAZHJz&#10;L2Uyb0RvYy54bWxQSwUGAAAAAAYABgBZAQAAmQUAAAAA&#10;">
              <v:fill on="f" focussize="0,0"/>
              <v:stroke on="f"/>
              <v:imagedata o:title=""/>
              <o:lock v:ext="edit" aspectratio="f"/>
              <v:textbox inset="0mm,0mm,0mm,0mm" style="mso-fit-shape-to-text:t;">
                <w:txbxContent>
                  <w:p w14:paraId="06001818">
                    <w:pPr>
                      <w:pStyle w:val="17"/>
                    </w:pPr>
                    <w:r>
                      <w:fldChar w:fldCharType="begin"/>
                    </w:r>
                    <w:r>
                      <w:instrText xml:space="preserve"> PAGE  \* MERGEFORMAT </w:instrText>
                    </w:r>
                    <w:r>
                      <w:fldChar w:fldCharType="separate"/>
                    </w:r>
                    <w:r>
                      <w:t>57</w:t>
                    </w:r>
                    <w:r>
                      <w:fldChar w:fldCharType="end"/>
                    </w:r>
                  </w:p>
                </w:txbxContent>
              </v:textbox>
            </v:shape>
          </w:pict>
        </mc:Fallback>
      </mc:AlternateContent>
    </w:r>
  </w:p>
  <w:p w14:paraId="342D722C">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A96B">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0325" cy="154940"/>
              <wp:effectExtent l="0" t="0" r="0" b="0"/>
              <wp:wrapNone/>
              <wp:docPr id="6" name="文本框 3"/>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4842FEE1">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2.2pt;width:4.75pt;mso-position-horizontal:center;mso-position-horizontal-relative:margin;mso-wrap-style:none;z-index:251662336;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6+tTRAAAAAgEAAA8AAAAAAAAAAQAgAAAAIgAAAGRycy9kb3ducmV2LnhtbFBL&#10;AQIUABQAAAAIAIdO4kAu4kv6NgIAAGAEAAAOAAAAAAAAAAEAIAAAACABAABkcnMvZTJvRG9jLnht&#10;bFBLBQYAAAAABgAGAFkBAADIBQAAAAA=&#10;">
              <v:fill on="f" focussize="0,0"/>
              <v:stroke on="f" weight="0.5pt"/>
              <v:imagedata o:title=""/>
              <o:lock v:ext="edit" aspectratio="f"/>
              <v:textbox inset="0mm,0mm,0mm,0mm" style="mso-fit-shape-to-text:t;">
                <w:txbxContent>
                  <w:p w14:paraId="4842FEE1">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1C62">
    <w:pPr>
      <w:pStyle w:val="17"/>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68D9E301">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Vfj99EAAAADAQAADwAAAAAAAAABACAAAAAiAAAAZHJzL2Rvd25yZXYueG1sUEsB&#10;AhQAFAAAAAgAh07iQIhb+FY1AgAAYQQAAA4AAAAAAAAAAQAgAAAAIAEAAGRycy9lMm9Eb2MueG1s&#10;UEsFBgAAAAAGAAYAWQEAAMcFAAAAAA==&#10;">
              <v:fill on="f" focussize="0,0"/>
              <v:stroke on="f" weight="0.5pt"/>
              <v:imagedata o:title=""/>
              <o:lock v:ext="edit" aspectratio="f"/>
              <v:textbox inset="0mm,0mm,0mm,0mm" style="mso-fit-shape-to-text:t;">
                <w:txbxContent>
                  <w:p w14:paraId="68D9E301">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FBDC">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5704">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0650" cy="15494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447DA1AB">
                          <w:pPr>
                            <w:pStyle w:val="1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9.5pt;mso-position-horizontal:center;mso-position-horizontal-relative:margin;mso-wrap-style:none;z-index:25166438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V+P30QAAAAMBAAAPAAAAAAAAAAEAIAAAACIAAABkcnMvZG93bnJldi54bWxQSwEC&#10;FAAUAAAACACHTuJAobSGQTQCAABhBAAADgAAAAAAAAABACAAAAAgAQAAZHJzL2Uyb0RvYy54bWxQ&#10;SwUGAAAAAAYABgBZAQAAxgUAAAAA&#10;">
              <v:fill on="f" focussize="0,0"/>
              <v:stroke on="f" weight="0.5pt"/>
              <v:imagedata o:title=""/>
              <o:lock v:ext="edit" aspectratio="f"/>
              <v:textbox inset="0mm,0mm,0mm,0mm" style="mso-fit-shape-to-text:t;">
                <w:txbxContent>
                  <w:p w14:paraId="447DA1AB">
                    <w:pPr>
                      <w:pStyle w:val="1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340E">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TM0MDYxYzNhZTBmMmQ3ODcyYTgxMzFhNWNiMjMifQ=="/>
  </w:docVars>
  <w:rsids>
    <w:rsidRoot w:val="00F92138"/>
    <w:rsid w:val="00000735"/>
    <w:rsid w:val="00000B7B"/>
    <w:rsid w:val="000011ED"/>
    <w:rsid w:val="000019D9"/>
    <w:rsid w:val="00002003"/>
    <w:rsid w:val="0000200F"/>
    <w:rsid w:val="000029FA"/>
    <w:rsid w:val="00002B62"/>
    <w:rsid w:val="000034A6"/>
    <w:rsid w:val="0000390F"/>
    <w:rsid w:val="0000393D"/>
    <w:rsid w:val="00003B4C"/>
    <w:rsid w:val="00003D30"/>
    <w:rsid w:val="00003D90"/>
    <w:rsid w:val="000040FD"/>
    <w:rsid w:val="0000477B"/>
    <w:rsid w:val="00004CC8"/>
    <w:rsid w:val="00004F9B"/>
    <w:rsid w:val="00005143"/>
    <w:rsid w:val="00005783"/>
    <w:rsid w:val="00005950"/>
    <w:rsid w:val="0000607D"/>
    <w:rsid w:val="00006352"/>
    <w:rsid w:val="00006F69"/>
    <w:rsid w:val="0000722A"/>
    <w:rsid w:val="0000775B"/>
    <w:rsid w:val="00007E83"/>
    <w:rsid w:val="00007F96"/>
    <w:rsid w:val="0001073E"/>
    <w:rsid w:val="00010FC0"/>
    <w:rsid w:val="00011006"/>
    <w:rsid w:val="00011968"/>
    <w:rsid w:val="000127AC"/>
    <w:rsid w:val="0001284A"/>
    <w:rsid w:val="00012E2A"/>
    <w:rsid w:val="0001357A"/>
    <w:rsid w:val="000139C8"/>
    <w:rsid w:val="000139E0"/>
    <w:rsid w:val="00013C2B"/>
    <w:rsid w:val="00013EBB"/>
    <w:rsid w:val="00013F2B"/>
    <w:rsid w:val="00014B3F"/>
    <w:rsid w:val="00014F96"/>
    <w:rsid w:val="00015001"/>
    <w:rsid w:val="00015ADA"/>
    <w:rsid w:val="00016778"/>
    <w:rsid w:val="000173F5"/>
    <w:rsid w:val="00017DA1"/>
    <w:rsid w:val="0002073E"/>
    <w:rsid w:val="00021F89"/>
    <w:rsid w:val="00022A04"/>
    <w:rsid w:val="00022A8E"/>
    <w:rsid w:val="00022F6B"/>
    <w:rsid w:val="00023406"/>
    <w:rsid w:val="000236CF"/>
    <w:rsid w:val="00023CCC"/>
    <w:rsid w:val="000247AB"/>
    <w:rsid w:val="000247AF"/>
    <w:rsid w:val="00024F8B"/>
    <w:rsid w:val="000250E7"/>
    <w:rsid w:val="000253B5"/>
    <w:rsid w:val="000257E8"/>
    <w:rsid w:val="0002714F"/>
    <w:rsid w:val="000300C9"/>
    <w:rsid w:val="00030708"/>
    <w:rsid w:val="00030994"/>
    <w:rsid w:val="00030C53"/>
    <w:rsid w:val="00031552"/>
    <w:rsid w:val="00031D39"/>
    <w:rsid w:val="000320EE"/>
    <w:rsid w:val="000325F4"/>
    <w:rsid w:val="00032678"/>
    <w:rsid w:val="00033313"/>
    <w:rsid w:val="00033D61"/>
    <w:rsid w:val="00033DAF"/>
    <w:rsid w:val="0003439C"/>
    <w:rsid w:val="000343BC"/>
    <w:rsid w:val="00034A7A"/>
    <w:rsid w:val="000350F3"/>
    <w:rsid w:val="000351B3"/>
    <w:rsid w:val="000352CA"/>
    <w:rsid w:val="000356DA"/>
    <w:rsid w:val="00035820"/>
    <w:rsid w:val="00035834"/>
    <w:rsid w:val="00035910"/>
    <w:rsid w:val="00035DF7"/>
    <w:rsid w:val="000377B0"/>
    <w:rsid w:val="00040940"/>
    <w:rsid w:val="00041076"/>
    <w:rsid w:val="000411E2"/>
    <w:rsid w:val="0004167F"/>
    <w:rsid w:val="000416EF"/>
    <w:rsid w:val="0004179F"/>
    <w:rsid w:val="00041BEF"/>
    <w:rsid w:val="00042132"/>
    <w:rsid w:val="000426E2"/>
    <w:rsid w:val="000427AB"/>
    <w:rsid w:val="0004314D"/>
    <w:rsid w:val="00043329"/>
    <w:rsid w:val="000435BB"/>
    <w:rsid w:val="00043BC9"/>
    <w:rsid w:val="00044975"/>
    <w:rsid w:val="00044B95"/>
    <w:rsid w:val="00044E5F"/>
    <w:rsid w:val="0004528E"/>
    <w:rsid w:val="00045A41"/>
    <w:rsid w:val="00045B84"/>
    <w:rsid w:val="00045F82"/>
    <w:rsid w:val="0004674C"/>
    <w:rsid w:val="000475AF"/>
    <w:rsid w:val="00047DE2"/>
    <w:rsid w:val="00047EB0"/>
    <w:rsid w:val="00050027"/>
    <w:rsid w:val="00050052"/>
    <w:rsid w:val="000504DA"/>
    <w:rsid w:val="000506B3"/>
    <w:rsid w:val="00050C94"/>
    <w:rsid w:val="00050EC4"/>
    <w:rsid w:val="00052011"/>
    <w:rsid w:val="00052DA6"/>
    <w:rsid w:val="00052DC5"/>
    <w:rsid w:val="00053080"/>
    <w:rsid w:val="000530AB"/>
    <w:rsid w:val="00054905"/>
    <w:rsid w:val="00054966"/>
    <w:rsid w:val="00054C38"/>
    <w:rsid w:val="00055318"/>
    <w:rsid w:val="00055BF1"/>
    <w:rsid w:val="00055E73"/>
    <w:rsid w:val="00055F83"/>
    <w:rsid w:val="00056190"/>
    <w:rsid w:val="00056AB7"/>
    <w:rsid w:val="00057B1A"/>
    <w:rsid w:val="00057CC9"/>
    <w:rsid w:val="000606D6"/>
    <w:rsid w:val="0006077A"/>
    <w:rsid w:val="00060AED"/>
    <w:rsid w:val="00060B78"/>
    <w:rsid w:val="00061151"/>
    <w:rsid w:val="0006188A"/>
    <w:rsid w:val="0006209C"/>
    <w:rsid w:val="0006269C"/>
    <w:rsid w:val="00062F9E"/>
    <w:rsid w:val="0006472E"/>
    <w:rsid w:val="00065639"/>
    <w:rsid w:val="00065A4D"/>
    <w:rsid w:val="00065C46"/>
    <w:rsid w:val="000665E4"/>
    <w:rsid w:val="000670BB"/>
    <w:rsid w:val="000675B5"/>
    <w:rsid w:val="00071885"/>
    <w:rsid w:val="00071A6A"/>
    <w:rsid w:val="00071B5D"/>
    <w:rsid w:val="000723E2"/>
    <w:rsid w:val="00072628"/>
    <w:rsid w:val="00072883"/>
    <w:rsid w:val="000738B6"/>
    <w:rsid w:val="00074224"/>
    <w:rsid w:val="00074AB7"/>
    <w:rsid w:val="00074DC6"/>
    <w:rsid w:val="00074DD4"/>
    <w:rsid w:val="0007565A"/>
    <w:rsid w:val="000760D2"/>
    <w:rsid w:val="00076294"/>
    <w:rsid w:val="000762BD"/>
    <w:rsid w:val="00076C31"/>
    <w:rsid w:val="0007704A"/>
    <w:rsid w:val="000775E8"/>
    <w:rsid w:val="0007788B"/>
    <w:rsid w:val="000779EA"/>
    <w:rsid w:val="00080059"/>
    <w:rsid w:val="0008020F"/>
    <w:rsid w:val="00080266"/>
    <w:rsid w:val="0008063A"/>
    <w:rsid w:val="00080CE3"/>
    <w:rsid w:val="00081346"/>
    <w:rsid w:val="000815D9"/>
    <w:rsid w:val="000820F8"/>
    <w:rsid w:val="00082451"/>
    <w:rsid w:val="000834F3"/>
    <w:rsid w:val="00084489"/>
    <w:rsid w:val="0008527D"/>
    <w:rsid w:val="00085C7F"/>
    <w:rsid w:val="000861D8"/>
    <w:rsid w:val="00086674"/>
    <w:rsid w:val="000875D7"/>
    <w:rsid w:val="00087A27"/>
    <w:rsid w:val="00090879"/>
    <w:rsid w:val="0009099E"/>
    <w:rsid w:val="00090D96"/>
    <w:rsid w:val="00090E17"/>
    <w:rsid w:val="00091299"/>
    <w:rsid w:val="00091791"/>
    <w:rsid w:val="00092868"/>
    <w:rsid w:val="0009290A"/>
    <w:rsid w:val="00093C28"/>
    <w:rsid w:val="00093E84"/>
    <w:rsid w:val="00094425"/>
    <w:rsid w:val="000945EF"/>
    <w:rsid w:val="000946E7"/>
    <w:rsid w:val="00095305"/>
    <w:rsid w:val="000965CD"/>
    <w:rsid w:val="00096861"/>
    <w:rsid w:val="00096AD2"/>
    <w:rsid w:val="00096CEF"/>
    <w:rsid w:val="00097655"/>
    <w:rsid w:val="000A00F5"/>
    <w:rsid w:val="000A046A"/>
    <w:rsid w:val="000A04BC"/>
    <w:rsid w:val="000A0FD6"/>
    <w:rsid w:val="000A1C45"/>
    <w:rsid w:val="000A2AA0"/>
    <w:rsid w:val="000A2FB4"/>
    <w:rsid w:val="000A3187"/>
    <w:rsid w:val="000A3E17"/>
    <w:rsid w:val="000A4F3B"/>
    <w:rsid w:val="000A5169"/>
    <w:rsid w:val="000A5C45"/>
    <w:rsid w:val="000A5E5D"/>
    <w:rsid w:val="000A60A3"/>
    <w:rsid w:val="000A6465"/>
    <w:rsid w:val="000A6CD2"/>
    <w:rsid w:val="000A7625"/>
    <w:rsid w:val="000B010C"/>
    <w:rsid w:val="000B1226"/>
    <w:rsid w:val="000B1865"/>
    <w:rsid w:val="000B2456"/>
    <w:rsid w:val="000B2579"/>
    <w:rsid w:val="000B2980"/>
    <w:rsid w:val="000B38C7"/>
    <w:rsid w:val="000B414E"/>
    <w:rsid w:val="000B4180"/>
    <w:rsid w:val="000B48B6"/>
    <w:rsid w:val="000B512F"/>
    <w:rsid w:val="000B5531"/>
    <w:rsid w:val="000B5ACF"/>
    <w:rsid w:val="000B5F21"/>
    <w:rsid w:val="000B62C2"/>
    <w:rsid w:val="000B647B"/>
    <w:rsid w:val="000B6631"/>
    <w:rsid w:val="000B7939"/>
    <w:rsid w:val="000B7A97"/>
    <w:rsid w:val="000B7B41"/>
    <w:rsid w:val="000B7D9B"/>
    <w:rsid w:val="000B7FF1"/>
    <w:rsid w:val="000C0051"/>
    <w:rsid w:val="000C018F"/>
    <w:rsid w:val="000C0364"/>
    <w:rsid w:val="000C0406"/>
    <w:rsid w:val="000C093A"/>
    <w:rsid w:val="000C1270"/>
    <w:rsid w:val="000C1576"/>
    <w:rsid w:val="000C16C7"/>
    <w:rsid w:val="000C18B9"/>
    <w:rsid w:val="000C1C13"/>
    <w:rsid w:val="000C2478"/>
    <w:rsid w:val="000C2C4E"/>
    <w:rsid w:val="000C301E"/>
    <w:rsid w:val="000C31E4"/>
    <w:rsid w:val="000C3379"/>
    <w:rsid w:val="000C3502"/>
    <w:rsid w:val="000C3585"/>
    <w:rsid w:val="000C566C"/>
    <w:rsid w:val="000C6144"/>
    <w:rsid w:val="000C6905"/>
    <w:rsid w:val="000C699F"/>
    <w:rsid w:val="000C7705"/>
    <w:rsid w:val="000C7DC0"/>
    <w:rsid w:val="000D0321"/>
    <w:rsid w:val="000D06C8"/>
    <w:rsid w:val="000D093D"/>
    <w:rsid w:val="000D0DAA"/>
    <w:rsid w:val="000D11A7"/>
    <w:rsid w:val="000D1B37"/>
    <w:rsid w:val="000D1C99"/>
    <w:rsid w:val="000D3A93"/>
    <w:rsid w:val="000D4995"/>
    <w:rsid w:val="000D519C"/>
    <w:rsid w:val="000D55BE"/>
    <w:rsid w:val="000D5BC2"/>
    <w:rsid w:val="000D6062"/>
    <w:rsid w:val="000D60A5"/>
    <w:rsid w:val="000D6BAF"/>
    <w:rsid w:val="000D6D5C"/>
    <w:rsid w:val="000D6E30"/>
    <w:rsid w:val="000D6F1A"/>
    <w:rsid w:val="000E00A8"/>
    <w:rsid w:val="000E0204"/>
    <w:rsid w:val="000E1051"/>
    <w:rsid w:val="000E12EE"/>
    <w:rsid w:val="000E157C"/>
    <w:rsid w:val="000E1EA9"/>
    <w:rsid w:val="000E1ECA"/>
    <w:rsid w:val="000E3274"/>
    <w:rsid w:val="000E3298"/>
    <w:rsid w:val="000E3594"/>
    <w:rsid w:val="000E3877"/>
    <w:rsid w:val="000E3A19"/>
    <w:rsid w:val="000E3CB7"/>
    <w:rsid w:val="000E3E4D"/>
    <w:rsid w:val="000E4F78"/>
    <w:rsid w:val="000E5069"/>
    <w:rsid w:val="000E5BD7"/>
    <w:rsid w:val="000E5CD5"/>
    <w:rsid w:val="000E5FB4"/>
    <w:rsid w:val="000E7700"/>
    <w:rsid w:val="000E7AEE"/>
    <w:rsid w:val="000E7D2D"/>
    <w:rsid w:val="000F0191"/>
    <w:rsid w:val="000F0D36"/>
    <w:rsid w:val="000F0F13"/>
    <w:rsid w:val="000F1327"/>
    <w:rsid w:val="000F2296"/>
    <w:rsid w:val="000F38F8"/>
    <w:rsid w:val="000F3C3B"/>
    <w:rsid w:val="000F3D0D"/>
    <w:rsid w:val="000F5E9E"/>
    <w:rsid w:val="000F61C1"/>
    <w:rsid w:val="000F6817"/>
    <w:rsid w:val="000F77E7"/>
    <w:rsid w:val="000F77F5"/>
    <w:rsid w:val="00100145"/>
    <w:rsid w:val="00100632"/>
    <w:rsid w:val="00100D7E"/>
    <w:rsid w:val="001012FC"/>
    <w:rsid w:val="0010195A"/>
    <w:rsid w:val="00102187"/>
    <w:rsid w:val="0010254A"/>
    <w:rsid w:val="00102A52"/>
    <w:rsid w:val="00102C70"/>
    <w:rsid w:val="0010305F"/>
    <w:rsid w:val="0010326D"/>
    <w:rsid w:val="00103CFF"/>
    <w:rsid w:val="00103E2A"/>
    <w:rsid w:val="00103F5F"/>
    <w:rsid w:val="0010558B"/>
    <w:rsid w:val="001058BC"/>
    <w:rsid w:val="00105CF9"/>
    <w:rsid w:val="00105E54"/>
    <w:rsid w:val="00106D8F"/>
    <w:rsid w:val="00107ACD"/>
    <w:rsid w:val="00107DBE"/>
    <w:rsid w:val="0011002D"/>
    <w:rsid w:val="001104D5"/>
    <w:rsid w:val="001112F3"/>
    <w:rsid w:val="0011141A"/>
    <w:rsid w:val="00111A2D"/>
    <w:rsid w:val="00112099"/>
    <w:rsid w:val="00112160"/>
    <w:rsid w:val="00112386"/>
    <w:rsid w:val="0011273F"/>
    <w:rsid w:val="00112B2A"/>
    <w:rsid w:val="00112F5B"/>
    <w:rsid w:val="00113733"/>
    <w:rsid w:val="0011375A"/>
    <w:rsid w:val="00113956"/>
    <w:rsid w:val="0011430E"/>
    <w:rsid w:val="00114B86"/>
    <w:rsid w:val="00114BAC"/>
    <w:rsid w:val="00114C29"/>
    <w:rsid w:val="00115383"/>
    <w:rsid w:val="001158E8"/>
    <w:rsid w:val="0011594D"/>
    <w:rsid w:val="00116607"/>
    <w:rsid w:val="00116744"/>
    <w:rsid w:val="00117097"/>
    <w:rsid w:val="00117824"/>
    <w:rsid w:val="0012019E"/>
    <w:rsid w:val="00120802"/>
    <w:rsid w:val="0012135D"/>
    <w:rsid w:val="0012211E"/>
    <w:rsid w:val="001227F7"/>
    <w:rsid w:val="001234A8"/>
    <w:rsid w:val="00123502"/>
    <w:rsid w:val="00124398"/>
    <w:rsid w:val="00125B41"/>
    <w:rsid w:val="00125CB3"/>
    <w:rsid w:val="00126A9D"/>
    <w:rsid w:val="00127500"/>
    <w:rsid w:val="00127CFA"/>
    <w:rsid w:val="001302F3"/>
    <w:rsid w:val="00130436"/>
    <w:rsid w:val="00130918"/>
    <w:rsid w:val="00130EFA"/>
    <w:rsid w:val="00131596"/>
    <w:rsid w:val="001315FD"/>
    <w:rsid w:val="00131B68"/>
    <w:rsid w:val="00131C76"/>
    <w:rsid w:val="0013205C"/>
    <w:rsid w:val="00132A4F"/>
    <w:rsid w:val="00132ABE"/>
    <w:rsid w:val="00133A8A"/>
    <w:rsid w:val="001340B7"/>
    <w:rsid w:val="00134B6E"/>
    <w:rsid w:val="00134C8D"/>
    <w:rsid w:val="00135DD0"/>
    <w:rsid w:val="00135FC6"/>
    <w:rsid w:val="0013633F"/>
    <w:rsid w:val="00136862"/>
    <w:rsid w:val="00136C57"/>
    <w:rsid w:val="00137163"/>
    <w:rsid w:val="0013721A"/>
    <w:rsid w:val="00137254"/>
    <w:rsid w:val="001373DE"/>
    <w:rsid w:val="0013793C"/>
    <w:rsid w:val="00137BD4"/>
    <w:rsid w:val="001404BC"/>
    <w:rsid w:val="00140802"/>
    <w:rsid w:val="00140E6D"/>
    <w:rsid w:val="00140FCC"/>
    <w:rsid w:val="001418DC"/>
    <w:rsid w:val="001419A5"/>
    <w:rsid w:val="00141B28"/>
    <w:rsid w:val="00142C55"/>
    <w:rsid w:val="001435BC"/>
    <w:rsid w:val="00143961"/>
    <w:rsid w:val="00145252"/>
    <w:rsid w:val="00145C6E"/>
    <w:rsid w:val="00146959"/>
    <w:rsid w:val="00146B51"/>
    <w:rsid w:val="00146BC1"/>
    <w:rsid w:val="00147434"/>
    <w:rsid w:val="001500A3"/>
    <w:rsid w:val="00150283"/>
    <w:rsid w:val="0015052B"/>
    <w:rsid w:val="00150583"/>
    <w:rsid w:val="00150737"/>
    <w:rsid w:val="00150D45"/>
    <w:rsid w:val="00150E00"/>
    <w:rsid w:val="00150E78"/>
    <w:rsid w:val="00151760"/>
    <w:rsid w:val="001518A6"/>
    <w:rsid w:val="00151C92"/>
    <w:rsid w:val="00151D76"/>
    <w:rsid w:val="00151E1C"/>
    <w:rsid w:val="00152325"/>
    <w:rsid w:val="00152580"/>
    <w:rsid w:val="00152F32"/>
    <w:rsid w:val="001546EE"/>
    <w:rsid w:val="001552FB"/>
    <w:rsid w:val="00155E4D"/>
    <w:rsid w:val="001563CA"/>
    <w:rsid w:val="00156A8D"/>
    <w:rsid w:val="00157CF4"/>
    <w:rsid w:val="00157D40"/>
    <w:rsid w:val="00160B58"/>
    <w:rsid w:val="001614DE"/>
    <w:rsid w:val="001615FE"/>
    <w:rsid w:val="001620C7"/>
    <w:rsid w:val="00162359"/>
    <w:rsid w:val="00163267"/>
    <w:rsid w:val="001632FA"/>
    <w:rsid w:val="001634AE"/>
    <w:rsid w:val="001635EC"/>
    <w:rsid w:val="001639BC"/>
    <w:rsid w:val="00163AF5"/>
    <w:rsid w:val="001648E8"/>
    <w:rsid w:val="00164A32"/>
    <w:rsid w:val="00164AEE"/>
    <w:rsid w:val="0016522F"/>
    <w:rsid w:val="00165908"/>
    <w:rsid w:val="001659D3"/>
    <w:rsid w:val="00165FF2"/>
    <w:rsid w:val="00166155"/>
    <w:rsid w:val="0016644F"/>
    <w:rsid w:val="00166459"/>
    <w:rsid w:val="001666A4"/>
    <w:rsid w:val="00166DF1"/>
    <w:rsid w:val="001670FE"/>
    <w:rsid w:val="001671D1"/>
    <w:rsid w:val="001707ED"/>
    <w:rsid w:val="00170B3B"/>
    <w:rsid w:val="00170C93"/>
    <w:rsid w:val="00170E6F"/>
    <w:rsid w:val="00171E9E"/>
    <w:rsid w:val="0017230F"/>
    <w:rsid w:val="00172886"/>
    <w:rsid w:val="00172DD5"/>
    <w:rsid w:val="00172FB9"/>
    <w:rsid w:val="001730B1"/>
    <w:rsid w:val="0017330B"/>
    <w:rsid w:val="00173523"/>
    <w:rsid w:val="00173EF6"/>
    <w:rsid w:val="0017420B"/>
    <w:rsid w:val="0017446B"/>
    <w:rsid w:val="00174579"/>
    <w:rsid w:val="00174DC5"/>
    <w:rsid w:val="001757E9"/>
    <w:rsid w:val="00175FAB"/>
    <w:rsid w:val="001767EA"/>
    <w:rsid w:val="00176A0F"/>
    <w:rsid w:val="00176EAE"/>
    <w:rsid w:val="00177137"/>
    <w:rsid w:val="0017717B"/>
    <w:rsid w:val="00177C81"/>
    <w:rsid w:val="00177EC5"/>
    <w:rsid w:val="00177FE6"/>
    <w:rsid w:val="00180BEC"/>
    <w:rsid w:val="00180F65"/>
    <w:rsid w:val="00181258"/>
    <w:rsid w:val="00181CCB"/>
    <w:rsid w:val="00182805"/>
    <w:rsid w:val="00182C8C"/>
    <w:rsid w:val="00183BC4"/>
    <w:rsid w:val="00183BCC"/>
    <w:rsid w:val="00184BEB"/>
    <w:rsid w:val="00184D91"/>
    <w:rsid w:val="00185033"/>
    <w:rsid w:val="00185173"/>
    <w:rsid w:val="00186411"/>
    <w:rsid w:val="00186C3F"/>
    <w:rsid w:val="001875C3"/>
    <w:rsid w:val="00187DCA"/>
    <w:rsid w:val="001902E5"/>
    <w:rsid w:val="0019071A"/>
    <w:rsid w:val="001907E1"/>
    <w:rsid w:val="001910FC"/>
    <w:rsid w:val="0019110D"/>
    <w:rsid w:val="001917AC"/>
    <w:rsid w:val="00191864"/>
    <w:rsid w:val="00192720"/>
    <w:rsid w:val="00192B99"/>
    <w:rsid w:val="00193724"/>
    <w:rsid w:val="00193C73"/>
    <w:rsid w:val="0019442F"/>
    <w:rsid w:val="00194DB9"/>
    <w:rsid w:val="001952C0"/>
    <w:rsid w:val="00195E14"/>
    <w:rsid w:val="00195EC8"/>
    <w:rsid w:val="0019621C"/>
    <w:rsid w:val="00196416"/>
    <w:rsid w:val="00196BC2"/>
    <w:rsid w:val="00196CD1"/>
    <w:rsid w:val="00197043"/>
    <w:rsid w:val="00197505"/>
    <w:rsid w:val="001978D4"/>
    <w:rsid w:val="00197B0B"/>
    <w:rsid w:val="001A0202"/>
    <w:rsid w:val="001A0C8D"/>
    <w:rsid w:val="001A162C"/>
    <w:rsid w:val="001A16C1"/>
    <w:rsid w:val="001A1766"/>
    <w:rsid w:val="001A1F39"/>
    <w:rsid w:val="001A223B"/>
    <w:rsid w:val="001A2572"/>
    <w:rsid w:val="001A3AEF"/>
    <w:rsid w:val="001A3FAA"/>
    <w:rsid w:val="001A493C"/>
    <w:rsid w:val="001A50C7"/>
    <w:rsid w:val="001A55F6"/>
    <w:rsid w:val="001A6669"/>
    <w:rsid w:val="001A69BB"/>
    <w:rsid w:val="001A7007"/>
    <w:rsid w:val="001A750D"/>
    <w:rsid w:val="001A7557"/>
    <w:rsid w:val="001A7949"/>
    <w:rsid w:val="001A7A26"/>
    <w:rsid w:val="001B02A1"/>
    <w:rsid w:val="001B0531"/>
    <w:rsid w:val="001B07BA"/>
    <w:rsid w:val="001B0E49"/>
    <w:rsid w:val="001B0E82"/>
    <w:rsid w:val="001B2000"/>
    <w:rsid w:val="001B2025"/>
    <w:rsid w:val="001B22C7"/>
    <w:rsid w:val="001B276A"/>
    <w:rsid w:val="001B29D5"/>
    <w:rsid w:val="001B321D"/>
    <w:rsid w:val="001B39B6"/>
    <w:rsid w:val="001B3A22"/>
    <w:rsid w:val="001B41B3"/>
    <w:rsid w:val="001B4326"/>
    <w:rsid w:val="001B4367"/>
    <w:rsid w:val="001B4823"/>
    <w:rsid w:val="001B49CB"/>
    <w:rsid w:val="001B536B"/>
    <w:rsid w:val="001B59AE"/>
    <w:rsid w:val="001B5F59"/>
    <w:rsid w:val="001B674A"/>
    <w:rsid w:val="001B6E60"/>
    <w:rsid w:val="001B6E90"/>
    <w:rsid w:val="001B718C"/>
    <w:rsid w:val="001B7C3C"/>
    <w:rsid w:val="001B7E82"/>
    <w:rsid w:val="001B7FBB"/>
    <w:rsid w:val="001C0C11"/>
    <w:rsid w:val="001C150B"/>
    <w:rsid w:val="001C23AC"/>
    <w:rsid w:val="001C261A"/>
    <w:rsid w:val="001C2BB8"/>
    <w:rsid w:val="001C2C88"/>
    <w:rsid w:val="001C3764"/>
    <w:rsid w:val="001C3D12"/>
    <w:rsid w:val="001C4F29"/>
    <w:rsid w:val="001C50CF"/>
    <w:rsid w:val="001C5609"/>
    <w:rsid w:val="001C5817"/>
    <w:rsid w:val="001C5851"/>
    <w:rsid w:val="001C701F"/>
    <w:rsid w:val="001C72C5"/>
    <w:rsid w:val="001C743F"/>
    <w:rsid w:val="001C745C"/>
    <w:rsid w:val="001C750F"/>
    <w:rsid w:val="001C77CF"/>
    <w:rsid w:val="001C77EE"/>
    <w:rsid w:val="001C7893"/>
    <w:rsid w:val="001C78AD"/>
    <w:rsid w:val="001C79B7"/>
    <w:rsid w:val="001D027B"/>
    <w:rsid w:val="001D0660"/>
    <w:rsid w:val="001D1074"/>
    <w:rsid w:val="001D17FB"/>
    <w:rsid w:val="001D1A40"/>
    <w:rsid w:val="001D1BD9"/>
    <w:rsid w:val="001D2AE1"/>
    <w:rsid w:val="001D3726"/>
    <w:rsid w:val="001D4107"/>
    <w:rsid w:val="001D4CDA"/>
    <w:rsid w:val="001D53BE"/>
    <w:rsid w:val="001D5C2F"/>
    <w:rsid w:val="001D5EEB"/>
    <w:rsid w:val="001D6108"/>
    <w:rsid w:val="001D6933"/>
    <w:rsid w:val="001D6F26"/>
    <w:rsid w:val="001D6FBD"/>
    <w:rsid w:val="001D7145"/>
    <w:rsid w:val="001D7916"/>
    <w:rsid w:val="001E001B"/>
    <w:rsid w:val="001E0319"/>
    <w:rsid w:val="001E07BC"/>
    <w:rsid w:val="001E0862"/>
    <w:rsid w:val="001E12B7"/>
    <w:rsid w:val="001E148F"/>
    <w:rsid w:val="001E14C3"/>
    <w:rsid w:val="001E1882"/>
    <w:rsid w:val="001E1A98"/>
    <w:rsid w:val="001E23BF"/>
    <w:rsid w:val="001E275B"/>
    <w:rsid w:val="001E2DE6"/>
    <w:rsid w:val="001E3609"/>
    <w:rsid w:val="001E3693"/>
    <w:rsid w:val="001E3A6C"/>
    <w:rsid w:val="001E53BE"/>
    <w:rsid w:val="001E5B2B"/>
    <w:rsid w:val="001E696A"/>
    <w:rsid w:val="001E6D2F"/>
    <w:rsid w:val="001E74BB"/>
    <w:rsid w:val="001E781B"/>
    <w:rsid w:val="001E7AD7"/>
    <w:rsid w:val="001E7E7A"/>
    <w:rsid w:val="001F1412"/>
    <w:rsid w:val="001F1440"/>
    <w:rsid w:val="001F1853"/>
    <w:rsid w:val="001F1B67"/>
    <w:rsid w:val="001F2716"/>
    <w:rsid w:val="001F2976"/>
    <w:rsid w:val="001F3A64"/>
    <w:rsid w:val="001F3AD9"/>
    <w:rsid w:val="001F3DAC"/>
    <w:rsid w:val="001F3E76"/>
    <w:rsid w:val="001F46E0"/>
    <w:rsid w:val="001F4931"/>
    <w:rsid w:val="001F5596"/>
    <w:rsid w:val="001F5981"/>
    <w:rsid w:val="001F5AA1"/>
    <w:rsid w:val="001F5C11"/>
    <w:rsid w:val="001F641A"/>
    <w:rsid w:val="001F65D9"/>
    <w:rsid w:val="001F662E"/>
    <w:rsid w:val="001F664B"/>
    <w:rsid w:val="001F732F"/>
    <w:rsid w:val="001F7340"/>
    <w:rsid w:val="001F7F8D"/>
    <w:rsid w:val="00200316"/>
    <w:rsid w:val="0020050E"/>
    <w:rsid w:val="00200B3A"/>
    <w:rsid w:val="0020195A"/>
    <w:rsid w:val="00201D5E"/>
    <w:rsid w:val="00202C8B"/>
    <w:rsid w:val="00202ED7"/>
    <w:rsid w:val="002032BD"/>
    <w:rsid w:val="00203753"/>
    <w:rsid w:val="002039AE"/>
    <w:rsid w:val="00203EF9"/>
    <w:rsid w:val="00204664"/>
    <w:rsid w:val="0020466C"/>
    <w:rsid w:val="00206225"/>
    <w:rsid w:val="00206396"/>
    <w:rsid w:val="002077AB"/>
    <w:rsid w:val="0020795D"/>
    <w:rsid w:val="00207C8F"/>
    <w:rsid w:val="0021056F"/>
    <w:rsid w:val="0021125C"/>
    <w:rsid w:val="002114BA"/>
    <w:rsid w:val="00211C13"/>
    <w:rsid w:val="00212626"/>
    <w:rsid w:val="00212D38"/>
    <w:rsid w:val="002138FE"/>
    <w:rsid w:val="0021399E"/>
    <w:rsid w:val="0021404A"/>
    <w:rsid w:val="00214CC2"/>
    <w:rsid w:val="00215408"/>
    <w:rsid w:val="002155F1"/>
    <w:rsid w:val="00215F2B"/>
    <w:rsid w:val="00216AEA"/>
    <w:rsid w:val="0021774E"/>
    <w:rsid w:val="00217A72"/>
    <w:rsid w:val="00217AE5"/>
    <w:rsid w:val="00217CA7"/>
    <w:rsid w:val="00220E32"/>
    <w:rsid w:val="00221495"/>
    <w:rsid w:val="00221888"/>
    <w:rsid w:val="00222708"/>
    <w:rsid w:val="0022560E"/>
    <w:rsid w:val="00225B4E"/>
    <w:rsid w:val="002261F8"/>
    <w:rsid w:val="00226478"/>
    <w:rsid w:val="00226680"/>
    <w:rsid w:val="00227777"/>
    <w:rsid w:val="0022785B"/>
    <w:rsid w:val="002278CE"/>
    <w:rsid w:val="00227CED"/>
    <w:rsid w:val="00230CF5"/>
    <w:rsid w:val="0023141E"/>
    <w:rsid w:val="00231667"/>
    <w:rsid w:val="002322AC"/>
    <w:rsid w:val="002325AE"/>
    <w:rsid w:val="002326F2"/>
    <w:rsid w:val="0023295A"/>
    <w:rsid w:val="00232CC9"/>
    <w:rsid w:val="00232EBF"/>
    <w:rsid w:val="00233BE7"/>
    <w:rsid w:val="00234641"/>
    <w:rsid w:val="002350F8"/>
    <w:rsid w:val="002359C3"/>
    <w:rsid w:val="00235F89"/>
    <w:rsid w:val="00236BD8"/>
    <w:rsid w:val="00236F91"/>
    <w:rsid w:val="0024074A"/>
    <w:rsid w:val="0024096E"/>
    <w:rsid w:val="00240AB0"/>
    <w:rsid w:val="00241033"/>
    <w:rsid w:val="00241A5C"/>
    <w:rsid w:val="00241B87"/>
    <w:rsid w:val="0024232F"/>
    <w:rsid w:val="00242A3D"/>
    <w:rsid w:val="00242C00"/>
    <w:rsid w:val="00242CD7"/>
    <w:rsid w:val="00243041"/>
    <w:rsid w:val="00243321"/>
    <w:rsid w:val="00243541"/>
    <w:rsid w:val="002438F1"/>
    <w:rsid w:val="00243931"/>
    <w:rsid w:val="002439A1"/>
    <w:rsid w:val="00243F0E"/>
    <w:rsid w:val="00243FF7"/>
    <w:rsid w:val="002441BE"/>
    <w:rsid w:val="0024532F"/>
    <w:rsid w:val="0024557C"/>
    <w:rsid w:val="002456C7"/>
    <w:rsid w:val="00245F84"/>
    <w:rsid w:val="00246B1C"/>
    <w:rsid w:val="002472AA"/>
    <w:rsid w:val="002473EC"/>
    <w:rsid w:val="002479E7"/>
    <w:rsid w:val="00247D80"/>
    <w:rsid w:val="00250102"/>
    <w:rsid w:val="00251040"/>
    <w:rsid w:val="002517A2"/>
    <w:rsid w:val="00251E7B"/>
    <w:rsid w:val="002528CC"/>
    <w:rsid w:val="00252F05"/>
    <w:rsid w:val="002540AA"/>
    <w:rsid w:val="002540FA"/>
    <w:rsid w:val="002544BE"/>
    <w:rsid w:val="0025461F"/>
    <w:rsid w:val="002549A9"/>
    <w:rsid w:val="00255A2B"/>
    <w:rsid w:val="002561FE"/>
    <w:rsid w:val="0025620E"/>
    <w:rsid w:val="002567CD"/>
    <w:rsid w:val="002567EF"/>
    <w:rsid w:val="00260359"/>
    <w:rsid w:val="00260361"/>
    <w:rsid w:val="00260586"/>
    <w:rsid w:val="0026067E"/>
    <w:rsid w:val="00260A7F"/>
    <w:rsid w:val="00261358"/>
    <w:rsid w:val="00261387"/>
    <w:rsid w:val="00261D25"/>
    <w:rsid w:val="00262C08"/>
    <w:rsid w:val="0026326B"/>
    <w:rsid w:val="002644C8"/>
    <w:rsid w:val="00264601"/>
    <w:rsid w:val="0026476F"/>
    <w:rsid w:val="002647A2"/>
    <w:rsid w:val="00264D86"/>
    <w:rsid w:val="0026510C"/>
    <w:rsid w:val="00265323"/>
    <w:rsid w:val="00265494"/>
    <w:rsid w:val="00265F65"/>
    <w:rsid w:val="00266A44"/>
    <w:rsid w:val="00266D2B"/>
    <w:rsid w:val="002675D9"/>
    <w:rsid w:val="0027022E"/>
    <w:rsid w:val="002704FB"/>
    <w:rsid w:val="00272CF4"/>
    <w:rsid w:val="00272F0B"/>
    <w:rsid w:val="00273044"/>
    <w:rsid w:val="00273278"/>
    <w:rsid w:val="002735AA"/>
    <w:rsid w:val="00273BF0"/>
    <w:rsid w:val="00273F3C"/>
    <w:rsid w:val="002748B6"/>
    <w:rsid w:val="00275551"/>
    <w:rsid w:val="00275602"/>
    <w:rsid w:val="00275CD6"/>
    <w:rsid w:val="00275DBE"/>
    <w:rsid w:val="00275EA2"/>
    <w:rsid w:val="00276424"/>
    <w:rsid w:val="0027652D"/>
    <w:rsid w:val="00276589"/>
    <w:rsid w:val="00276828"/>
    <w:rsid w:val="00276F15"/>
    <w:rsid w:val="00277E96"/>
    <w:rsid w:val="00277F33"/>
    <w:rsid w:val="00280012"/>
    <w:rsid w:val="00280A83"/>
    <w:rsid w:val="00280EB0"/>
    <w:rsid w:val="00280FD4"/>
    <w:rsid w:val="00281382"/>
    <w:rsid w:val="002814A0"/>
    <w:rsid w:val="00281DD3"/>
    <w:rsid w:val="00281F76"/>
    <w:rsid w:val="00282775"/>
    <w:rsid w:val="00282B2A"/>
    <w:rsid w:val="00283084"/>
    <w:rsid w:val="002838D5"/>
    <w:rsid w:val="0028443A"/>
    <w:rsid w:val="002846FC"/>
    <w:rsid w:val="00284870"/>
    <w:rsid w:val="00284C41"/>
    <w:rsid w:val="00284C49"/>
    <w:rsid w:val="00284D2F"/>
    <w:rsid w:val="00285210"/>
    <w:rsid w:val="00285367"/>
    <w:rsid w:val="00285440"/>
    <w:rsid w:val="0028551E"/>
    <w:rsid w:val="0028552C"/>
    <w:rsid w:val="002858A4"/>
    <w:rsid w:val="00285B1F"/>
    <w:rsid w:val="00285C28"/>
    <w:rsid w:val="00285FD5"/>
    <w:rsid w:val="00286F7B"/>
    <w:rsid w:val="002903F9"/>
    <w:rsid w:val="00291373"/>
    <w:rsid w:val="002914AC"/>
    <w:rsid w:val="002914B9"/>
    <w:rsid w:val="002918D2"/>
    <w:rsid w:val="00291B3C"/>
    <w:rsid w:val="00291DB8"/>
    <w:rsid w:val="002920EB"/>
    <w:rsid w:val="002922EE"/>
    <w:rsid w:val="0029241D"/>
    <w:rsid w:val="002937B6"/>
    <w:rsid w:val="0029395E"/>
    <w:rsid w:val="00293D04"/>
    <w:rsid w:val="00293F3A"/>
    <w:rsid w:val="00293F6E"/>
    <w:rsid w:val="002941BC"/>
    <w:rsid w:val="00294CF1"/>
    <w:rsid w:val="00294D40"/>
    <w:rsid w:val="00294D8B"/>
    <w:rsid w:val="00295953"/>
    <w:rsid w:val="00295A96"/>
    <w:rsid w:val="00295DBE"/>
    <w:rsid w:val="00296C8E"/>
    <w:rsid w:val="00296F26"/>
    <w:rsid w:val="002A0408"/>
    <w:rsid w:val="002A0425"/>
    <w:rsid w:val="002A0A25"/>
    <w:rsid w:val="002A0B6A"/>
    <w:rsid w:val="002A1103"/>
    <w:rsid w:val="002A115D"/>
    <w:rsid w:val="002A19C5"/>
    <w:rsid w:val="002A1F35"/>
    <w:rsid w:val="002A2251"/>
    <w:rsid w:val="002A25A4"/>
    <w:rsid w:val="002A2BE8"/>
    <w:rsid w:val="002A33B3"/>
    <w:rsid w:val="002A4149"/>
    <w:rsid w:val="002A432D"/>
    <w:rsid w:val="002A49D8"/>
    <w:rsid w:val="002A5A84"/>
    <w:rsid w:val="002A6046"/>
    <w:rsid w:val="002A610A"/>
    <w:rsid w:val="002A685E"/>
    <w:rsid w:val="002A6A6B"/>
    <w:rsid w:val="002A6CE9"/>
    <w:rsid w:val="002A725F"/>
    <w:rsid w:val="002B00FA"/>
    <w:rsid w:val="002B04A2"/>
    <w:rsid w:val="002B04BF"/>
    <w:rsid w:val="002B055D"/>
    <w:rsid w:val="002B08D1"/>
    <w:rsid w:val="002B0D00"/>
    <w:rsid w:val="002B0E55"/>
    <w:rsid w:val="002B10E6"/>
    <w:rsid w:val="002B14B7"/>
    <w:rsid w:val="002B1778"/>
    <w:rsid w:val="002B18C0"/>
    <w:rsid w:val="002B1ACF"/>
    <w:rsid w:val="002B1B61"/>
    <w:rsid w:val="002B2940"/>
    <w:rsid w:val="002B2C26"/>
    <w:rsid w:val="002B300C"/>
    <w:rsid w:val="002B45EE"/>
    <w:rsid w:val="002B4887"/>
    <w:rsid w:val="002B4889"/>
    <w:rsid w:val="002B4E25"/>
    <w:rsid w:val="002B4E94"/>
    <w:rsid w:val="002B52D5"/>
    <w:rsid w:val="002B583A"/>
    <w:rsid w:val="002B587F"/>
    <w:rsid w:val="002B594C"/>
    <w:rsid w:val="002B5ADA"/>
    <w:rsid w:val="002B619A"/>
    <w:rsid w:val="002B6695"/>
    <w:rsid w:val="002B6864"/>
    <w:rsid w:val="002B6C1E"/>
    <w:rsid w:val="002B75F1"/>
    <w:rsid w:val="002C050A"/>
    <w:rsid w:val="002C0666"/>
    <w:rsid w:val="002C1042"/>
    <w:rsid w:val="002C13B0"/>
    <w:rsid w:val="002C1AA2"/>
    <w:rsid w:val="002C1D85"/>
    <w:rsid w:val="002C2D35"/>
    <w:rsid w:val="002C311E"/>
    <w:rsid w:val="002C3FD0"/>
    <w:rsid w:val="002C58FC"/>
    <w:rsid w:val="002C6330"/>
    <w:rsid w:val="002C6E6B"/>
    <w:rsid w:val="002C70DC"/>
    <w:rsid w:val="002C7150"/>
    <w:rsid w:val="002C7464"/>
    <w:rsid w:val="002C7528"/>
    <w:rsid w:val="002C79DC"/>
    <w:rsid w:val="002D025E"/>
    <w:rsid w:val="002D03D5"/>
    <w:rsid w:val="002D0417"/>
    <w:rsid w:val="002D0694"/>
    <w:rsid w:val="002D06DE"/>
    <w:rsid w:val="002D0BB6"/>
    <w:rsid w:val="002D0E66"/>
    <w:rsid w:val="002D0E6F"/>
    <w:rsid w:val="002D140F"/>
    <w:rsid w:val="002D21F9"/>
    <w:rsid w:val="002D294C"/>
    <w:rsid w:val="002D2C44"/>
    <w:rsid w:val="002D2DF2"/>
    <w:rsid w:val="002D2E7E"/>
    <w:rsid w:val="002D2EC2"/>
    <w:rsid w:val="002D308D"/>
    <w:rsid w:val="002D3977"/>
    <w:rsid w:val="002D492C"/>
    <w:rsid w:val="002D4EE5"/>
    <w:rsid w:val="002D4F40"/>
    <w:rsid w:val="002D51D8"/>
    <w:rsid w:val="002D5EBE"/>
    <w:rsid w:val="002D5F8F"/>
    <w:rsid w:val="002D62EC"/>
    <w:rsid w:val="002D6CAE"/>
    <w:rsid w:val="002D6EFB"/>
    <w:rsid w:val="002D7409"/>
    <w:rsid w:val="002D752F"/>
    <w:rsid w:val="002D7D56"/>
    <w:rsid w:val="002E0047"/>
    <w:rsid w:val="002E058E"/>
    <w:rsid w:val="002E0DA4"/>
    <w:rsid w:val="002E120D"/>
    <w:rsid w:val="002E161B"/>
    <w:rsid w:val="002E1ACC"/>
    <w:rsid w:val="002E1BB9"/>
    <w:rsid w:val="002E28E7"/>
    <w:rsid w:val="002E30DE"/>
    <w:rsid w:val="002E3871"/>
    <w:rsid w:val="002E54DC"/>
    <w:rsid w:val="002E5B93"/>
    <w:rsid w:val="002E5BE6"/>
    <w:rsid w:val="002E5F60"/>
    <w:rsid w:val="002E626C"/>
    <w:rsid w:val="002E6298"/>
    <w:rsid w:val="002E6457"/>
    <w:rsid w:val="002E7BC4"/>
    <w:rsid w:val="002F0582"/>
    <w:rsid w:val="002F094F"/>
    <w:rsid w:val="002F103F"/>
    <w:rsid w:val="002F106F"/>
    <w:rsid w:val="002F13FB"/>
    <w:rsid w:val="002F148C"/>
    <w:rsid w:val="002F2007"/>
    <w:rsid w:val="002F2D4F"/>
    <w:rsid w:val="002F334E"/>
    <w:rsid w:val="002F338D"/>
    <w:rsid w:val="002F3892"/>
    <w:rsid w:val="002F4A6E"/>
    <w:rsid w:val="002F4F02"/>
    <w:rsid w:val="002F558C"/>
    <w:rsid w:val="002F579C"/>
    <w:rsid w:val="002F5A67"/>
    <w:rsid w:val="002F62AC"/>
    <w:rsid w:val="002F6949"/>
    <w:rsid w:val="002F6F79"/>
    <w:rsid w:val="002F7096"/>
    <w:rsid w:val="002F7800"/>
    <w:rsid w:val="002F7D3C"/>
    <w:rsid w:val="002F7EAD"/>
    <w:rsid w:val="003002E1"/>
    <w:rsid w:val="00300361"/>
    <w:rsid w:val="003010D5"/>
    <w:rsid w:val="003012D1"/>
    <w:rsid w:val="00301A92"/>
    <w:rsid w:val="00301EF9"/>
    <w:rsid w:val="00301F57"/>
    <w:rsid w:val="0030227A"/>
    <w:rsid w:val="00302447"/>
    <w:rsid w:val="0030260D"/>
    <w:rsid w:val="00302A8E"/>
    <w:rsid w:val="0030326B"/>
    <w:rsid w:val="00303390"/>
    <w:rsid w:val="00304E68"/>
    <w:rsid w:val="003056FA"/>
    <w:rsid w:val="0030577F"/>
    <w:rsid w:val="003061C1"/>
    <w:rsid w:val="003067E7"/>
    <w:rsid w:val="003069B8"/>
    <w:rsid w:val="00306B9D"/>
    <w:rsid w:val="003071E5"/>
    <w:rsid w:val="003071FC"/>
    <w:rsid w:val="00307877"/>
    <w:rsid w:val="00307E0A"/>
    <w:rsid w:val="00310AB1"/>
    <w:rsid w:val="00312ABC"/>
    <w:rsid w:val="00313827"/>
    <w:rsid w:val="0031417D"/>
    <w:rsid w:val="003146F7"/>
    <w:rsid w:val="00314A6A"/>
    <w:rsid w:val="00315648"/>
    <w:rsid w:val="00315F77"/>
    <w:rsid w:val="00317092"/>
    <w:rsid w:val="003173BE"/>
    <w:rsid w:val="003174FF"/>
    <w:rsid w:val="00317A07"/>
    <w:rsid w:val="00317C29"/>
    <w:rsid w:val="00317EE0"/>
    <w:rsid w:val="00317FCA"/>
    <w:rsid w:val="0032058C"/>
    <w:rsid w:val="00320669"/>
    <w:rsid w:val="00321001"/>
    <w:rsid w:val="00321313"/>
    <w:rsid w:val="003213A1"/>
    <w:rsid w:val="00321555"/>
    <w:rsid w:val="00322111"/>
    <w:rsid w:val="003223DB"/>
    <w:rsid w:val="00322E7E"/>
    <w:rsid w:val="0032395A"/>
    <w:rsid w:val="00323F4D"/>
    <w:rsid w:val="00323F97"/>
    <w:rsid w:val="003244B1"/>
    <w:rsid w:val="003245FB"/>
    <w:rsid w:val="003248ED"/>
    <w:rsid w:val="003254B9"/>
    <w:rsid w:val="00325EB2"/>
    <w:rsid w:val="003276EA"/>
    <w:rsid w:val="0033068B"/>
    <w:rsid w:val="00330E6E"/>
    <w:rsid w:val="003311BA"/>
    <w:rsid w:val="0033227C"/>
    <w:rsid w:val="003324E1"/>
    <w:rsid w:val="003328AE"/>
    <w:rsid w:val="0033291B"/>
    <w:rsid w:val="0033292A"/>
    <w:rsid w:val="00332D9F"/>
    <w:rsid w:val="003347F7"/>
    <w:rsid w:val="00334DB9"/>
    <w:rsid w:val="003355D8"/>
    <w:rsid w:val="00335C04"/>
    <w:rsid w:val="003360B0"/>
    <w:rsid w:val="003367E2"/>
    <w:rsid w:val="003377CD"/>
    <w:rsid w:val="0034001F"/>
    <w:rsid w:val="00340505"/>
    <w:rsid w:val="00340EE8"/>
    <w:rsid w:val="00341769"/>
    <w:rsid w:val="00343499"/>
    <w:rsid w:val="0034382F"/>
    <w:rsid w:val="00343A60"/>
    <w:rsid w:val="00343BE3"/>
    <w:rsid w:val="00343DE8"/>
    <w:rsid w:val="00344FAF"/>
    <w:rsid w:val="00345AB4"/>
    <w:rsid w:val="00345B3B"/>
    <w:rsid w:val="00345F85"/>
    <w:rsid w:val="00346989"/>
    <w:rsid w:val="00346C0D"/>
    <w:rsid w:val="0034705C"/>
    <w:rsid w:val="00347266"/>
    <w:rsid w:val="00347F84"/>
    <w:rsid w:val="003505ED"/>
    <w:rsid w:val="00350CB8"/>
    <w:rsid w:val="00350E34"/>
    <w:rsid w:val="00351383"/>
    <w:rsid w:val="0035184A"/>
    <w:rsid w:val="003526FB"/>
    <w:rsid w:val="003529F2"/>
    <w:rsid w:val="00352F87"/>
    <w:rsid w:val="0035352F"/>
    <w:rsid w:val="00354041"/>
    <w:rsid w:val="00354144"/>
    <w:rsid w:val="00354A81"/>
    <w:rsid w:val="00354DE4"/>
    <w:rsid w:val="00354F5A"/>
    <w:rsid w:val="0035535E"/>
    <w:rsid w:val="00355773"/>
    <w:rsid w:val="003564D1"/>
    <w:rsid w:val="0035664E"/>
    <w:rsid w:val="00356693"/>
    <w:rsid w:val="00356F60"/>
    <w:rsid w:val="0035719F"/>
    <w:rsid w:val="003575CB"/>
    <w:rsid w:val="00357667"/>
    <w:rsid w:val="00357C89"/>
    <w:rsid w:val="00357E73"/>
    <w:rsid w:val="00360227"/>
    <w:rsid w:val="00360AC2"/>
    <w:rsid w:val="00361DE7"/>
    <w:rsid w:val="003621AD"/>
    <w:rsid w:val="0036262E"/>
    <w:rsid w:val="00362C30"/>
    <w:rsid w:val="00362EDB"/>
    <w:rsid w:val="0036300A"/>
    <w:rsid w:val="00363545"/>
    <w:rsid w:val="00363C48"/>
    <w:rsid w:val="0036421E"/>
    <w:rsid w:val="003653BF"/>
    <w:rsid w:val="00365CE6"/>
    <w:rsid w:val="00365F4C"/>
    <w:rsid w:val="00366433"/>
    <w:rsid w:val="0036670C"/>
    <w:rsid w:val="00366C27"/>
    <w:rsid w:val="00366FEC"/>
    <w:rsid w:val="0036777B"/>
    <w:rsid w:val="00367CFF"/>
    <w:rsid w:val="00367DA8"/>
    <w:rsid w:val="00367EBB"/>
    <w:rsid w:val="00370510"/>
    <w:rsid w:val="00370FC8"/>
    <w:rsid w:val="00371701"/>
    <w:rsid w:val="003721E4"/>
    <w:rsid w:val="003722AD"/>
    <w:rsid w:val="00373063"/>
    <w:rsid w:val="00373290"/>
    <w:rsid w:val="003734D3"/>
    <w:rsid w:val="003736CA"/>
    <w:rsid w:val="003738CD"/>
    <w:rsid w:val="00373911"/>
    <w:rsid w:val="00373FCA"/>
    <w:rsid w:val="00374260"/>
    <w:rsid w:val="00374671"/>
    <w:rsid w:val="00374A67"/>
    <w:rsid w:val="00374ABB"/>
    <w:rsid w:val="00374F7D"/>
    <w:rsid w:val="003753EF"/>
    <w:rsid w:val="00375F18"/>
    <w:rsid w:val="003766BD"/>
    <w:rsid w:val="0037780B"/>
    <w:rsid w:val="0037785F"/>
    <w:rsid w:val="00377D54"/>
    <w:rsid w:val="00380537"/>
    <w:rsid w:val="00380B28"/>
    <w:rsid w:val="00380F35"/>
    <w:rsid w:val="00380F81"/>
    <w:rsid w:val="003817C0"/>
    <w:rsid w:val="0038253C"/>
    <w:rsid w:val="00382976"/>
    <w:rsid w:val="00383485"/>
    <w:rsid w:val="00383551"/>
    <w:rsid w:val="00383B7B"/>
    <w:rsid w:val="00383E61"/>
    <w:rsid w:val="00384272"/>
    <w:rsid w:val="00384337"/>
    <w:rsid w:val="00384D75"/>
    <w:rsid w:val="00385142"/>
    <w:rsid w:val="00385542"/>
    <w:rsid w:val="0038567A"/>
    <w:rsid w:val="00385913"/>
    <w:rsid w:val="003859FB"/>
    <w:rsid w:val="003860B0"/>
    <w:rsid w:val="0038691F"/>
    <w:rsid w:val="00387233"/>
    <w:rsid w:val="00390924"/>
    <w:rsid w:val="0039172E"/>
    <w:rsid w:val="003917DE"/>
    <w:rsid w:val="00391DB7"/>
    <w:rsid w:val="00392B00"/>
    <w:rsid w:val="00392B47"/>
    <w:rsid w:val="00393FFE"/>
    <w:rsid w:val="003941C9"/>
    <w:rsid w:val="003944C7"/>
    <w:rsid w:val="0039477B"/>
    <w:rsid w:val="003953A6"/>
    <w:rsid w:val="00395754"/>
    <w:rsid w:val="003958A7"/>
    <w:rsid w:val="003965CC"/>
    <w:rsid w:val="003969BA"/>
    <w:rsid w:val="00396D1A"/>
    <w:rsid w:val="003973EA"/>
    <w:rsid w:val="00397909"/>
    <w:rsid w:val="00397949"/>
    <w:rsid w:val="003A0A89"/>
    <w:rsid w:val="003A12FD"/>
    <w:rsid w:val="003A14D6"/>
    <w:rsid w:val="003A27B2"/>
    <w:rsid w:val="003A2EF8"/>
    <w:rsid w:val="003A30E9"/>
    <w:rsid w:val="003A326F"/>
    <w:rsid w:val="003A3EA1"/>
    <w:rsid w:val="003A42A7"/>
    <w:rsid w:val="003A45DC"/>
    <w:rsid w:val="003A4B51"/>
    <w:rsid w:val="003A5A3F"/>
    <w:rsid w:val="003A5C0B"/>
    <w:rsid w:val="003A7263"/>
    <w:rsid w:val="003B0477"/>
    <w:rsid w:val="003B1FA4"/>
    <w:rsid w:val="003B22E9"/>
    <w:rsid w:val="003B2996"/>
    <w:rsid w:val="003B29BB"/>
    <w:rsid w:val="003B3311"/>
    <w:rsid w:val="003B3482"/>
    <w:rsid w:val="003B3A2A"/>
    <w:rsid w:val="003B3DF5"/>
    <w:rsid w:val="003B4796"/>
    <w:rsid w:val="003B4932"/>
    <w:rsid w:val="003B4D71"/>
    <w:rsid w:val="003B4F2D"/>
    <w:rsid w:val="003B5022"/>
    <w:rsid w:val="003B52C9"/>
    <w:rsid w:val="003B5CE1"/>
    <w:rsid w:val="003B620F"/>
    <w:rsid w:val="003B672A"/>
    <w:rsid w:val="003B714B"/>
    <w:rsid w:val="003B73F6"/>
    <w:rsid w:val="003B7549"/>
    <w:rsid w:val="003B76CD"/>
    <w:rsid w:val="003C0899"/>
    <w:rsid w:val="003C0B2D"/>
    <w:rsid w:val="003C1D54"/>
    <w:rsid w:val="003C1FC2"/>
    <w:rsid w:val="003C2144"/>
    <w:rsid w:val="003C23EC"/>
    <w:rsid w:val="003C25EB"/>
    <w:rsid w:val="003C271D"/>
    <w:rsid w:val="003C342E"/>
    <w:rsid w:val="003C37A0"/>
    <w:rsid w:val="003C398C"/>
    <w:rsid w:val="003C3E6A"/>
    <w:rsid w:val="003C4F4F"/>
    <w:rsid w:val="003C5CB3"/>
    <w:rsid w:val="003C64B9"/>
    <w:rsid w:val="003C696D"/>
    <w:rsid w:val="003C6FDC"/>
    <w:rsid w:val="003C72D8"/>
    <w:rsid w:val="003C7902"/>
    <w:rsid w:val="003C7A95"/>
    <w:rsid w:val="003D050F"/>
    <w:rsid w:val="003D06F5"/>
    <w:rsid w:val="003D0D7D"/>
    <w:rsid w:val="003D1188"/>
    <w:rsid w:val="003D1AAE"/>
    <w:rsid w:val="003D1F87"/>
    <w:rsid w:val="003D2AE9"/>
    <w:rsid w:val="003D2BCA"/>
    <w:rsid w:val="003D3C2D"/>
    <w:rsid w:val="003D449A"/>
    <w:rsid w:val="003D48D5"/>
    <w:rsid w:val="003D4AF8"/>
    <w:rsid w:val="003D5A8E"/>
    <w:rsid w:val="003D5B0E"/>
    <w:rsid w:val="003D63A3"/>
    <w:rsid w:val="003D7129"/>
    <w:rsid w:val="003D7200"/>
    <w:rsid w:val="003D7856"/>
    <w:rsid w:val="003D7E78"/>
    <w:rsid w:val="003E0099"/>
    <w:rsid w:val="003E0168"/>
    <w:rsid w:val="003E11EA"/>
    <w:rsid w:val="003E143A"/>
    <w:rsid w:val="003E1766"/>
    <w:rsid w:val="003E2231"/>
    <w:rsid w:val="003E255E"/>
    <w:rsid w:val="003E2978"/>
    <w:rsid w:val="003E4483"/>
    <w:rsid w:val="003E4DB8"/>
    <w:rsid w:val="003E4FFB"/>
    <w:rsid w:val="003E570D"/>
    <w:rsid w:val="003E59EA"/>
    <w:rsid w:val="003E600F"/>
    <w:rsid w:val="003E6AD5"/>
    <w:rsid w:val="003E6AF8"/>
    <w:rsid w:val="003E6E0C"/>
    <w:rsid w:val="003E7FE0"/>
    <w:rsid w:val="003F0370"/>
    <w:rsid w:val="003F0606"/>
    <w:rsid w:val="003F0675"/>
    <w:rsid w:val="003F0A8B"/>
    <w:rsid w:val="003F0D7E"/>
    <w:rsid w:val="003F100F"/>
    <w:rsid w:val="003F28F0"/>
    <w:rsid w:val="003F2D75"/>
    <w:rsid w:val="003F2D85"/>
    <w:rsid w:val="003F2FD6"/>
    <w:rsid w:val="003F35FB"/>
    <w:rsid w:val="003F3900"/>
    <w:rsid w:val="003F3ADB"/>
    <w:rsid w:val="003F4DC2"/>
    <w:rsid w:val="003F50C2"/>
    <w:rsid w:val="003F5B91"/>
    <w:rsid w:val="003F669B"/>
    <w:rsid w:val="003F6ADD"/>
    <w:rsid w:val="003F747F"/>
    <w:rsid w:val="003F7D08"/>
    <w:rsid w:val="004002DC"/>
    <w:rsid w:val="00400CAC"/>
    <w:rsid w:val="00400EAC"/>
    <w:rsid w:val="004010C2"/>
    <w:rsid w:val="004016BB"/>
    <w:rsid w:val="00401857"/>
    <w:rsid w:val="004018BA"/>
    <w:rsid w:val="00401DB0"/>
    <w:rsid w:val="004026D7"/>
    <w:rsid w:val="00402AC1"/>
    <w:rsid w:val="00403081"/>
    <w:rsid w:val="00403474"/>
    <w:rsid w:val="00403F22"/>
    <w:rsid w:val="004043BA"/>
    <w:rsid w:val="0040446F"/>
    <w:rsid w:val="0040460F"/>
    <w:rsid w:val="004047D7"/>
    <w:rsid w:val="004047E5"/>
    <w:rsid w:val="004048E1"/>
    <w:rsid w:val="00404959"/>
    <w:rsid w:val="00404DE6"/>
    <w:rsid w:val="00405F9B"/>
    <w:rsid w:val="004064FA"/>
    <w:rsid w:val="004068FF"/>
    <w:rsid w:val="00406DD4"/>
    <w:rsid w:val="004070C1"/>
    <w:rsid w:val="00407407"/>
    <w:rsid w:val="00407867"/>
    <w:rsid w:val="00407F83"/>
    <w:rsid w:val="0041110A"/>
    <w:rsid w:val="004111C5"/>
    <w:rsid w:val="00411502"/>
    <w:rsid w:val="00412CCD"/>
    <w:rsid w:val="004130E1"/>
    <w:rsid w:val="00414F06"/>
    <w:rsid w:val="00415291"/>
    <w:rsid w:val="00415B54"/>
    <w:rsid w:val="004165C0"/>
    <w:rsid w:val="0041723E"/>
    <w:rsid w:val="004172AF"/>
    <w:rsid w:val="00417425"/>
    <w:rsid w:val="00420FA3"/>
    <w:rsid w:val="00420FD3"/>
    <w:rsid w:val="00421F9F"/>
    <w:rsid w:val="0042204B"/>
    <w:rsid w:val="004221B7"/>
    <w:rsid w:val="0042253A"/>
    <w:rsid w:val="004228CC"/>
    <w:rsid w:val="004230C3"/>
    <w:rsid w:val="004232C9"/>
    <w:rsid w:val="004240AD"/>
    <w:rsid w:val="0042418D"/>
    <w:rsid w:val="0042472C"/>
    <w:rsid w:val="004253DE"/>
    <w:rsid w:val="00425895"/>
    <w:rsid w:val="00425BF2"/>
    <w:rsid w:val="00425C3E"/>
    <w:rsid w:val="00426E24"/>
    <w:rsid w:val="004277D4"/>
    <w:rsid w:val="00430624"/>
    <w:rsid w:val="004309C8"/>
    <w:rsid w:val="00430A3C"/>
    <w:rsid w:val="00431139"/>
    <w:rsid w:val="004311BF"/>
    <w:rsid w:val="00431B4B"/>
    <w:rsid w:val="00431E9B"/>
    <w:rsid w:val="00431F3B"/>
    <w:rsid w:val="004323FE"/>
    <w:rsid w:val="004326D6"/>
    <w:rsid w:val="0043288A"/>
    <w:rsid w:val="00432E0C"/>
    <w:rsid w:val="00433281"/>
    <w:rsid w:val="00433529"/>
    <w:rsid w:val="0043389B"/>
    <w:rsid w:val="00433A4E"/>
    <w:rsid w:val="00433ECD"/>
    <w:rsid w:val="0043415B"/>
    <w:rsid w:val="004344C0"/>
    <w:rsid w:val="00434615"/>
    <w:rsid w:val="00434719"/>
    <w:rsid w:val="00434CD0"/>
    <w:rsid w:val="004350BA"/>
    <w:rsid w:val="0043563E"/>
    <w:rsid w:val="00435993"/>
    <w:rsid w:val="00435B52"/>
    <w:rsid w:val="00435C20"/>
    <w:rsid w:val="0043601E"/>
    <w:rsid w:val="00437DF8"/>
    <w:rsid w:val="00440022"/>
    <w:rsid w:val="00440062"/>
    <w:rsid w:val="00440B84"/>
    <w:rsid w:val="00441316"/>
    <w:rsid w:val="0044146C"/>
    <w:rsid w:val="004414EA"/>
    <w:rsid w:val="004418E3"/>
    <w:rsid w:val="00441AFA"/>
    <w:rsid w:val="00442192"/>
    <w:rsid w:val="00442AC3"/>
    <w:rsid w:val="00442EF9"/>
    <w:rsid w:val="00442FC0"/>
    <w:rsid w:val="00443102"/>
    <w:rsid w:val="00443189"/>
    <w:rsid w:val="00444396"/>
    <w:rsid w:val="0044479E"/>
    <w:rsid w:val="00444B3E"/>
    <w:rsid w:val="004450A9"/>
    <w:rsid w:val="004450F0"/>
    <w:rsid w:val="004453CB"/>
    <w:rsid w:val="004463FF"/>
    <w:rsid w:val="004466E0"/>
    <w:rsid w:val="00447099"/>
    <w:rsid w:val="0044747B"/>
    <w:rsid w:val="00447606"/>
    <w:rsid w:val="00447951"/>
    <w:rsid w:val="00447F91"/>
    <w:rsid w:val="004504FB"/>
    <w:rsid w:val="00450651"/>
    <w:rsid w:val="00450EC3"/>
    <w:rsid w:val="00451106"/>
    <w:rsid w:val="00452523"/>
    <w:rsid w:val="004528CD"/>
    <w:rsid w:val="00452ED5"/>
    <w:rsid w:val="00452F0B"/>
    <w:rsid w:val="00453700"/>
    <w:rsid w:val="0045429C"/>
    <w:rsid w:val="00454347"/>
    <w:rsid w:val="00454507"/>
    <w:rsid w:val="00454520"/>
    <w:rsid w:val="0045554E"/>
    <w:rsid w:val="004556E6"/>
    <w:rsid w:val="00455D02"/>
    <w:rsid w:val="0045611F"/>
    <w:rsid w:val="00456428"/>
    <w:rsid w:val="00457095"/>
    <w:rsid w:val="0045742A"/>
    <w:rsid w:val="004578AC"/>
    <w:rsid w:val="00460321"/>
    <w:rsid w:val="004605CA"/>
    <w:rsid w:val="004609C0"/>
    <w:rsid w:val="00460BF0"/>
    <w:rsid w:val="004613DA"/>
    <w:rsid w:val="00461FB1"/>
    <w:rsid w:val="0046298E"/>
    <w:rsid w:val="004629F9"/>
    <w:rsid w:val="00462C7F"/>
    <w:rsid w:val="0046301F"/>
    <w:rsid w:val="00463DAD"/>
    <w:rsid w:val="00463DD3"/>
    <w:rsid w:val="00463F67"/>
    <w:rsid w:val="00463FD6"/>
    <w:rsid w:val="0046402B"/>
    <w:rsid w:val="00464531"/>
    <w:rsid w:val="00464764"/>
    <w:rsid w:val="00464BC4"/>
    <w:rsid w:val="00465194"/>
    <w:rsid w:val="00465241"/>
    <w:rsid w:val="004659A0"/>
    <w:rsid w:val="004662BE"/>
    <w:rsid w:val="00466C01"/>
    <w:rsid w:val="00466F16"/>
    <w:rsid w:val="0046715D"/>
    <w:rsid w:val="00467468"/>
    <w:rsid w:val="0046768B"/>
    <w:rsid w:val="00467CCB"/>
    <w:rsid w:val="004703AA"/>
    <w:rsid w:val="004707E6"/>
    <w:rsid w:val="004707EA"/>
    <w:rsid w:val="00470AB7"/>
    <w:rsid w:val="00470BC7"/>
    <w:rsid w:val="004711AA"/>
    <w:rsid w:val="0047162A"/>
    <w:rsid w:val="0047181B"/>
    <w:rsid w:val="00471A93"/>
    <w:rsid w:val="00471D1E"/>
    <w:rsid w:val="00471DCD"/>
    <w:rsid w:val="00471F8F"/>
    <w:rsid w:val="00472DF4"/>
    <w:rsid w:val="00473C47"/>
    <w:rsid w:val="00473F40"/>
    <w:rsid w:val="0047402B"/>
    <w:rsid w:val="00474110"/>
    <w:rsid w:val="0047419D"/>
    <w:rsid w:val="00474350"/>
    <w:rsid w:val="004743F3"/>
    <w:rsid w:val="004748CF"/>
    <w:rsid w:val="004750D4"/>
    <w:rsid w:val="00475495"/>
    <w:rsid w:val="004754F6"/>
    <w:rsid w:val="004757D7"/>
    <w:rsid w:val="00475D12"/>
    <w:rsid w:val="00476469"/>
    <w:rsid w:val="00476A0C"/>
    <w:rsid w:val="00477688"/>
    <w:rsid w:val="00477A6B"/>
    <w:rsid w:val="00477CD6"/>
    <w:rsid w:val="00477F44"/>
    <w:rsid w:val="0048054C"/>
    <w:rsid w:val="00480692"/>
    <w:rsid w:val="00481660"/>
    <w:rsid w:val="00481836"/>
    <w:rsid w:val="00481B47"/>
    <w:rsid w:val="00482CC1"/>
    <w:rsid w:val="00482D78"/>
    <w:rsid w:val="00483302"/>
    <w:rsid w:val="004836CF"/>
    <w:rsid w:val="00483812"/>
    <w:rsid w:val="00483BA6"/>
    <w:rsid w:val="004847DC"/>
    <w:rsid w:val="00484AE4"/>
    <w:rsid w:val="004853B5"/>
    <w:rsid w:val="00485530"/>
    <w:rsid w:val="00485D15"/>
    <w:rsid w:val="00485DFD"/>
    <w:rsid w:val="00485E6C"/>
    <w:rsid w:val="00486031"/>
    <w:rsid w:val="004860BF"/>
    <w:rsid w:val="00486213"/>
    <w:rsid w:val="00486272"/>
    <w:rsid w:val="00486F79"/>
    <w:rsid w:val="00487425"/>
    <w:rsid w:val="004874EF"/>
    <w:rsid w:val="0048778E"/>
    <w:rsid w:val="0049044A"/>
    <w:rsid w:val="00490BC9"/>
    <w:rsid w:val="0049118C"/>
    <w:rsid w:val="00491986"/>
    <w:rsid w:val="00491AA2"/>
    <w:rsid w:val="00492CB6"/>
    <w:rsid w:val="0049317F"/>
    <w:rsid w:val="004944AF"/>
    <w:rsid w:val="0049512F"/>
    <w:rsid w:val="00495306"/>
    <w:rsid w:val="00495870"/>
    <w:rsid w:val="0049709A"/>
    <w:rsid w:val="004974BB"/>
    <w:rsid w:val="00497584"/>
    <w:rsid w:val="00497D26"/>
    <w:rsid w:val="004A0015"/>
    <w:rsid w:val="004A03A9"/>
    <w:rsid w:val="004A059F"/>
    <w:rsid w:val="004A0703"/>
    <w:rsid w:val="004A099B"/>
    <w:rsid w:val="004A0E06"/>
    <w:rsid w:val="004A0F6D"/>
    <w:rsid w:val="004A2483"/>
    <w:rsid w:val="004A28D1"/>
    <w:rsid w:val="004A2B52"/>
    <w:rsid w:val="004A33EF"/>
    <w:rsid w:val="004A38B3"/>
    <w:rsid w:val="004A3C30"/>
    <w:rsid w:val="004A3CEA"/>
    <w:rsid w:val="004A414B"/>
    <w:rsid w:val="004A42BF"/>
    <w:rsid w:val="004A4A67"/>
    <w:rsid w:val="004A4C27"/>
    <w:rsid w:val="004A4CC0"/>
    <w:rsid w:val="004A5452"/>
    <w:rsid w:val="004A601F"/>
    <w:rsid w:val="004A626F"/>
    <w:rsid w:val="004A630F"/>
    <w:rsid w:val="004A639C"/>
    <w:rsid w:val="004A6D62"/>
    <w:rsid w:val="004A7053"/>
    <w:rsid w:val="004A75FA"/>
    <w:rsid w:val="004A7AA6"/>
    <w:rsid w:val="004B0376"/>
    <w:rsid w:val="004B0609"/>
    <w:rsid w:val="004B063A"/>
    <w:rsid w:val="004B07D9"/>
    <w:rsid w:val="004B0ECE"/>
    <w:rsid w:val="004B111D"/>
    <w:rsid w:val="004B1535"/>
    <w:rsid w:val="004B20D1"/>
    <w:rsid w:val="004B2236"/>
    <w:rsid w:val="004B25E8"/>
    <w:rsid w:val="004B269C"/>
    <w:rsid w:val="004B2783"/>
    <w:rsid w:val="004B36E7"/>
    <w:rsid w:val="004B421C"/>
    <w:rsid w:val="004B42AA"/>
    <w:rsid w:val="004B438B"/>
    <w:rsid w:val="004B5623"/>
    <w:rsid w:val="004B5690"/>
    <w:rsid w:val="004B6031"/>
    <w:rsid w:val="004B67EA"/>
    <w:rsid w:val="004B6AE1"/>
    <w:rsid w:val="004B6FE8"/>
    <w:rsid w:val="004C0538"/>
    <w:rsid w:val="004C1AF2"/>
    <w:rsid w:val="004C1F78"/>
    <w:rsid w:val="004C2720"/>
    <w:rsid w:val="004C2826"/>
    <w:rsid w:val="004C287D"/>
    <w:rsid w:val="004C2B86"/>
    <w:rsid w:val="004C2E81"/>
    <w:rsid w:val="004C3147"/>
    <w:rsid w:val="004C3CAB"/>
    <w:rsid w:val="004C3DC1"/>
    <w:rsid w:val="004C40AC"/>
    <w:rsid w:val="004C412D"/>
    <w:rsid w:val="004C4576"/>
    <w:rsid w:val="004C5196"/>
    <w:rsid w:val="004C524F"/>
    <w:rsid w:val="004C657B"/>
    <w:rsid w:val="004C69B0"/>
    <w:rsid w:val="004C6DF5"/>
    <w:rsid w:val="004D00E2"/>
    <w:rsid w:val="004D0650"/>
    <w:rsid w:val="004D0D46"/>
    <w:rsid w:val="004D1B79"/>
    <w:rsid w:val="004D1DE4"/>
    <w:rsid w:val="004D1F3B"/>
    <w:rsid w:val="004D26B2"/>
    <w:rsid w:val="004D2E38"/>
    <w:rsid w:val="004D2E45"/>
    <w:rsid w:val="004D4192"/>
    <w:rsid w:val="004D42B9"/>
    <w:rsid w:val="004D511D"/>
    <w:rsid w:val="004D5F44"/>
    <w:rsid w:val="004D7B32"/>
    <w:rsid w:val="004D7F6E"/>
    <w:rsid w:val="004E0623"/>
    <w:rsid w:val="004E0BF4"/>
    <w:rsid w:val="004E0EA0"/>
    <w:rsid w:val="004E0EB0"/>
    <w:rsid w:val="004E1338"/>
    <w:rsid w:val="004E13C6"/>
    <w:rsid w:val="004E1590"/>
    <w:rsid w:val="004E166F"/>
    <w:rsid w:val="004E1865"/>
    <w:rsid w:val="004E1B66"/>
    <w:rsid w:val="004E1CE9"/>
    <w:rsid w:val="004E26E2"/>
    <w:rsid w:val="004E2CCD"/>
    <w:rsid w:val="004E2D83"/>
    <w:rsid w:val="004E3A1A"/>
    <w:rsid w:val="004E481E"/>
    <w:rsid w:val="004E4893"/>
    <w:rsid w:val="004E4CD5"/>
    <w:rsid w:val="004E4F3B"/>
    <w:rsid w:val="004E54D1"/>
    <w:rsid w:val="004E5F92"/>
    <w:rsid w:val="004E678D"/>
    <w:rsid w:val="004E6BFC"/>
    <w:rsid w:val="004E755D"/>
    <w:rsid w:val="004E7985"/>
    <w:rsid w:val="004F019E"/>
    <w:rsid w:val="004F0596"/>
    <w:rsid w:val="004F08E7"/>
    <w:rsid w:val="004F0A79"/>
    <w:rsid w:val="004F1378"/>
    <w:rsid w:val="004F141D"/>
    <w:rsid w:val="004F16D1"/>
    <w:rsid w:val="004F1F2E"/>
    <w:rsid w:val="004F280E"/>
    <w:rsid w:val="004F2BDA"/>
    <w:rsid w:val="004F38B0"/>
    <w:rsid w:val="004F3B01"/>
    <w:rsid w:val="004F4518"/>
    <w:rsid w:val="004F475A"/>
    <w:rsid w:val="004F4B56"/>
    <w:rsid w:val="004F5E43"/>
    <w:rsid w:val="004F6934"/>
    <w:rsid w:val="004F6941"/>
    <w:rsid w:val="004F6A0E"/>
    <w:rsid w:val="004F6A46"/>
    <w:rsid w:val="004F7159"/>
    <w:rsid w:val="004F7D70"/>
    <w:rsid w:val="0050003D"/>
    <w:rsid w:val="0050008D"/>
    <w:rsid w:val="005009B8"/>
    <w:rsid w:val="00500F34"/>
    <w:rsid w:val="00501300"/>
    <w:rsid w:val="00501E51"/>
    <w:rsid w:val="00502852"/>
    <w:rsid w:val="00502D9A"/>
    <w:rsid w:val="00503420"/>
    <w:rsid w:val="0050354F"/>
    <w:rsid w:val="00503B6C"/>
    <w:rsid w:val="00503D75"/>
    <w:rsid w:val="005040B1"/>
    <w:rsid w:val="00505800"/>
    <w:rsid w:val="00506A8E"/>
    <w:rsid w:val="00506B82"/>
    <w:rsid w:val="00506CC3"/>
    <w:rsid w:val="00507C30"/>
    <w:rsid w:val="005102F7"/>
    <w:rsid w:val="00510386"/>
    <w:rsid w:val="005104AC"/>
    <w:rsid w:val="00510B7C"/>
    <w:rsid w:val="005112CA"/>
    <w:rsid w:val="00511AA3"/>
    <w:rsid w:val="0051209A"/>
    <w:rsid w:val="0051250D"/>
    <w:rsid w:val="00515842"/>
    <w:rsid w:val="00515A68"/>
    <w:rsid w:val="00515F2A"/>
    <w:rsid w:val="0051653A"/>
    <w:rsid w:val="005173DA"/>
    <w:rsid w:val="00517654"/>
    <w:rsid w:val="00517718"/>
    <w:rsid w:val="005207D7"/>
    <w:rsid w:val="00521419"/>
    <w:rsid w:val="00521A27"/>
    <w:rsid w:val="0052284E"/>
    <w:rsid w:val="00522E56"/>
    <w:rsid w:val="00523469"/>
    <w:rsid w:val="00523A8D"/>
    <w:rsid w:val="00523AF4"/>
    <w:rsid w:val="00525283"/>
    <w:rsid w:val="00525980"/>
    <w:rsid w:val="00525B49"/>
    <w:rsid w:val="005267EE"/>
    <w:rsid w:val="00527E88"/>
    <w:rsid w:val="0053000B"/>
    <w:rsid w:val="005300EC"/>
    <w:rsid w:val="00530671"/>
    <w:rsid w:val="0053096F"/>
    <w:rsid w:val="00531087"/>
    <w:rsid w:val="005310C6"/>
    <w:rsid w:val="00532075"/>
    <w:rsid w:val="00532F0E"/>
    <w:rsid w:val="005331A5"/>
    <w:rsid w:val="00533572"/>
    <w:rsid w:val="00533911"/>
    <w:rsid w:val="00533C83"/>
    <w:rsid w:val="00533CE5"/>
    <w:rsid w:val="00533DA2"/>
    <w:rsid w:val="005345B6"/>
    <w:rsid w:val="0053477E"/>
    <w:rsid w:val="00534AC5"/>
    <w:rsid w:val="00534F38"/>
    <w:rsid w:val="00535170"/>
    <w:rsid w:val="0053569F"/>
    <w:rsid w:val="005369A1"/>
    <w:rsid w:val="00536BBB"/>
    <w:rsid w:val="00536F06"/>
    <w:rsid w:val="00537244"/>
    <w:rsid w:val="0053771F"/>
    <w:rsid w:val="005378B6"/>
    <w:rsid w:val="00537E40"/>
    <w:rsid w:val="00540175"/>
    <w:rsid w:val="00541000"/>
    <w:rsid w:val="00541D98"/>
    <w:rsid w:val="00542395"/>
    <w:rsid w:val="005424D0"/>
    <w:rsid w:val="00542ECA"/>
    <w:rsid w:val="00543C57"/>
    <w:rsid w:val="00544AC1"/>
    <w:rsid w:val="00544AF8"/>
    <w:rsid w:val="00544B0A"/>
    <w:rsid w:val="005452F8"/>
    <w:rsid w:val="0054538D"/>
    <w:rsid w:val="00545A48"/>
    <w:rsid w:val="00545A9D"/>
    <w:rsid w:val="00545C05"/>
    <w:rsid w:val="005461E5"/>
    <w:rsid w:val="005462E9"/>
    <w:rsid w:val="00546C1C"/>
    <w:rsid w:val="00546F9D"/>
    <w:rsid w:val="005472B9"/>
    <w:rsid w:val="005477D2"/>
    <w:rsid w:val="005478A3"/>
    <w:rsid w:val="00550C2D"/>
    <w:rsid w:val="00550CB8"/>
    <w:rsid w:val="00551A1F"/>
    <w:rsid w:val="005527DB"/>
    <w:rsid w:val="00553502"/>
    <w:rsid w:val="00553F68"/>
    <w:rsid w:val="00554091"/>
    <w:rsid w:val="0055476F"/>
    <w:rsid w:val="005547F8"/>
    <w:rsid w:val="00555043"/>
    <w:rsid w:val="0055516F"/>
    <w:rsid w:val="005557BA"/>
    <w:rsid w:val="00555C94"/>
    <w:rsid w:val="00556736"/>
    <w:rsid w:val="00556B24"/>
    <w:rsid w:val="005571DC"/>
    <w:rsid w:val="00557494"/>
    <w:rsid w:val="005574F9"/>
    <w:rsid w:val="0055793B"/>
    <w:rsid w:val="00557C70"/>
    <w:rsid w:val="00557CCA"/>
    <w:rsid w:val="00560374"/>
    <w:rsid w:val="00560AD6"/>
    <w:rsid w:val="00560B28"/>
    <w:rsid w:val="00561526"/>
    <w:rsid w:val="00561AFD"/>
    <w:rsid w:val="00561B3B"/>
    <w:rsid w:val="005630A2"/>
    <w:rsid w:val="005636D9"/>
    <w:rsid w:val="00563ADF"/>
    <w:rsid w:val="00563D56"/>
    <w:rsid w:val="0056413B"/>
    <w:rsid w:val="00564A34"/>
    <w:rsid w:val="00564A58"/>
    <w:rsid w:val="00564DAC"/>
    <w:rsid w:val="00565622"/>
    <w:rsid w:val="005661A7"/>
    <w:rsid w:val="00566704"/>
    <w:rsid w:val="0056685A"/>
    <w:rsid w:val="00566F00"/>
    <w:rsid w:val="00567539"/>
    <w:rsid w:val="00567885"/>
    <w:rsid w:val="00567C8C"/>
    <w:rsid w:val="00567E4B"/>
    <w:rsid w:val="00567E91"/>
    <w:rsid w:val="00567F9E"/>
    <w:rsid w:val="0057070E"/>
    <w:rsid w:val="00570AFB"/>
    <w:rsid w:val="00570B7E"/>
    <w:rsid w:val="005712C2"/>
    <w:rsid w:val="0057147F"/>
    <w:rsid w:val="00571815"/>
    <w:rsid w:val="005718DE"/>
    <w:rsid w:val="0057249C"/>
    <w:rsid w:val="00572672"/>
    <w:rsid w:val="005734AA"/>
    <w:rsid w:val="005743BB"/>
    <w:rsid w:val="00574A52"/>
    <w:rsid w:val="005755EF"/>
    <w:rsid w:val="00576449"/>
    <w:rsid w:val="00576B85"/>
    <w:rsid w:val="00576E08"/>
    <w:rsid w:val="00577003"/>
    <w:rsid w:val="00577323"/>
    <w:rsid w:val="0057768B"/>
    <w:rsid w:val="005778ED"/>
    <w:rsid w:val="0058037F"/>
    <w:rsid w:val="0058106A"/>
    <w:rsid w:val="005811CD"/>
    <w:rsid w:val="0058158D"/>
    <w:rsid w:val="00581BE8"/>
    <w:rsid w:val="00581D29"/>
    <w:rsid w:val="00581FC6"/>
    <w:rsid w:val="0058202B"/>
    <w:rsid w:val="005828EE"/>
    <w:rsid w:val="00582CAE"/>
    <w:rsid w:val="00583A51"/>
    <w:rsid w:val="00584487"/>
    <w:rsid w:val="00584684"/>
    <w:rsid w:val="0058626F"/>
    <w:rsid w:val="00586389"/>
    <w:rsid w:val="00586DC2"/>
    <w:rsid w:val="00586EAB"/>
    <w:rsid w:val="00590755"/>
    <w:rsid w:val="00590B18"/>
    <w:rsid w:val="00590EAA"/>
    <w:rsid w:val="0059141F"/>
    <w:rsid w:val="00591E32"/>
    <w:rsid w:val="005920AD"/>
    <w:rsid w:val="005924CD"/>
    <w:rsid w:val="0059337D"/>
    <w:rsid w:val="005935FF"/>
    <w:rsid w:val="005937EA"/>
    <w:rsid w:val="00593FED"/>
    <w:rsid w:val="0059453B"/>
    <w:rsid w:val="00594D30"/>
    <w:rsid w:val="005954A7"/>
    <w:rsid w:val="00595999"/>
    <w:rsid w:val="005963B8"/>
    <w:rsid w:val="00596B02"/>
    <w:rsid w:val="00597363"/>
    <w:rsid w:val="0059798D"/>
    <w:rsid w:val="00597EFE"/>
    <w:rsid w:val="005A0291"/>
    <w:rsid w:val="005A0479"/>
    <w:rsid w:val="005A0759"/>
    <w:rsid w:val="005A11C1"/>
    <w:rsid w:val="005A32DD"/>
    <w:rsid w:val="005A371A"/>
    <w:rsid w:val="005A3D63"/>
    <w:rsid w:val="005A3E1E"/>
    <w:rsid w:val="005A3E75"/>
    <w:rsid w:val="005A3EF8"/>
    <w:rsid w:val="005A3FF5"/>
    <w:rsid w:val="005A4DC1"/>
    <w:rsid w:val="005A611F"/>
    <w:rsid w:val="005A6607"/>
    <w:rsid w:val="005A6982"/>
    <w:rsid w:val="005A7CBF"/>
    <w:rsid w:val="005B017E"/>
    <w:rsid w:val="005B0382"/>
    <w:rsid w:val="005B04AD"/>
    <w:rsid w:val="005B0CAC"/>
    <w:rsid w:val="005B1050"/>
    <w:rsid w:val="005B1267"/>
    <w:rsid w:val="005B1333"/>
    <w:rsid w:val="005B1D61"/>
    <w:rsid w:val="005B219D"/>
    <w:rsid w:val="005B2238"/>
    <w:rsid w:val="005B2487"/>
    <w:rsid w:val="005B2700"/>
    <w:rsid w:val="005B2956"/>
    <w:rsid w:val="005B2AB9"/>
    <w:rsid w:val="005B2D23"/>
    <w:rsid w:val="005B3011"/>
    <w:rsid w:val="005B339F"/>
    <w:rsid w:val="005B37CE"/>
    <w:rsid w:val="005B3C27"/>
    <w:rsid w:val="005B444F"/>
    <w:rsid w:val="005B4B97"/>
    <w:rsid w:val="005B5063"/>
    <w:rsid w:val="005B526C"/>
    <w:rsid w:val="005B5DD1"/>
    <w:rsid w:val="005B668C"/>
    <w:rsid w:val="005B6BA3"/>
    <w:rsid w:val="005B6D32"/>
    <w:rsid w:val="005B6E8F"/>
    <w:rsid w:val="005B7B44"/>
    <w:rsid w:val="005C02A4"/>
    <w:rsid w:val="005C08AA"/>
    <w:rsid w:val="005C1C5B"/>
    <w:rsid w:val="005C1D94"/>
    <w:rsid w:val="005C1DED"/>
    <w:rsid w:val="005C22BC"/>
    <w:rsid w:val="005C22C5"/>
    <w:rsid w:val="005C2936"/>
    <w:rsid w:val="005C2FB0"/>
    <w:rsid w:val="005C3AC8"/>
    <w:rsid w:val="005C3FBD"/>
    <w:rsid w:val="005C418F"/>
    <w:rsid w:val="005C494D"/>
    <w:rsid w:val="005C4C84"/>
    <w:rsid w:val="005C5350"/>
    <w:rsid w:val="005C53CF"/>
    <w:rsid w:val="005C5DB7"/>
    <w:rsid w:val="005C64A0"/>
    <w:rsid w:val="005C69E7"/>
    <w:rsid w:val="005C6C53"/>
    <w:rsid w:val="005C6EF6"/>
    <w:rsid w:val="005C70DB"/>
    <w:rsid w:val="005C72B8"/>
    <w:rsid w:val="005C75BC"/>
    <w:rsid w:val="005C76CA"/>
    <w:rsid w:val="005C76DF"/>
    <w:rsid w:val="005C7959"/>
    <w:rsid w:val="005C7A73"/>
    <w:rsid w:val="005C7EC2"/>
    <w:rsid w:val="005D0DEC"/>
    <w:rsid w:val="005D259C"/>
    <w:rsid w:val="005D2A02"/>
    <w:rsid w:val="005D2B24"/>
    <w:rsid w:val="005D2CAB"/>
    <w:rsid w:val="005D332D"/>
    <w:rsid w:val="005D33EA"/>
    <w:rsid w:val="005D350D"/>
    <w:rsid w:val="005D3E04"/>
    <w:rsid w:val="005D3FDC"/>
    <w:rsid w:val="005D4222"/>
    <w:rsid w:val="005D4DA3"/>
    <w:rsid w:val="005D5037"/>
    <w:rsid w:val="005D5855"/>
    <w:rsid w:val="005D5D1D"/>
    <w:rsid w:val="005D6A0C"/>
    <w:rsid w:val="005D6DF3"/>
    <w:rsid w:val="005D7036"/>
    <w:rsid w:val="005D7C90"/>
    <w:rsid w:val="005E0A15"/>
    <w:rsid w:val="005E1191"/>
    <w:rsid w:val="005E16F3"/>
    <w:rsid w:val="005E1AF1"/>
    <w:rsid w:val="005E245A"/>
    <w:rsid w:val="005E2B22"/>
    <w:rsid w:val="005E3306"/>
    <w:rsid w:val="005E3C27"/>
    <w:rsid w:val="005E3C8B"/>
    <w:rsid w:val="005E3DF9"/>
    <w:rsid w:val="005E40B6"/>
    <w:rsid w:val="005E40F4"/>
    <w:rsid w:val="005E4A51"/>
    <w:rsid w:val="005E4BBC"/>
    <w:rsid w:val="005E4EED"/>
    <w:rsid w:val="005E51D4"/>
    <w:rsid w:val="005E54EA"/>
    <w:rsid w:val="005E5978"/>
    <w:rsid w:val="005E62B7"/>
    <w:rsid w:val="005E6326"/>
    <w:rsid w:val="005E69C6"/>
    <w:rsid w:val="005E71C3"/>
    <w:rsid w:val="005E722C"/>
    <w:rsid w:val="005E7D65"/>
    <w:rsid w:val="005E7F95"/>
    <w:rsid w:val="005F0BC8"/>
    <w:rsid w:val="005F183E"/>
    <w:rsid w:val="005F2164"/>
    <w:rsid w:val="005F3952"/>
    <w:rsid w:val="005F3C29"/>
    <w:rsid w:val="005F40C0"/>
    <w:rsid w:val="005F41DD"/>
    <w:rsid w:val="005F4450"/>
    <w:rsid w:val="005F4658"/>
    <w:rsid w:val="005F4783"/>
    <w:rsid w:val="005F48FC"/>
    <w:rsid w:val="005F52B5"/>
    <w:rsid w:val="005F58A2"/>
    <w:rsid w:val="005F5C54"/>
    <w:rsid w:val="005F6301"/>
    <w:rsid w:val="005F697D"/>
    <w:rsid w:val="005F7016"/>
    <w:rsid w:val="005F72C7"/>
    <w:rsid w:val="005F782D"/>
    <w:rsid w:val="005F7896"/>
    <w:rsid w:val="005F7B0C"/>
    <w:rsid w:val="0060020D"/>
    <w:rsid w:val="006006CE"/>
    <w:rsid w:val="00600D0F"/>
    <w:rsid w:val="006012A1"/>
    <w:rsid w:val="00601674"/>
    <w:rsid w:val="006020EF"/>
    <w:rsid w:val="00602DBD"/>
    <w:rsid w:val="00603115"/>
    <w:rsid w:val="00603300"/>
    <w:rsid w:val="00603D87"/>
    <w:rsid w:val="006049FC"/>
    <w:rsid w:val="00604A6F"/>
    <w:rsid w:val="006055BC"/>
    <w:rsid w:val="006069CF"/>
    <w:rsid w:val="00606BBE"/>
    <w:rsid w:val="006077B3"/>
    <w:rsid w:val="0061005E"/>
    <w:rsid w:val="00610B42"/>
    <w:rsid w:val="00611D92"/>
    <w:rsid w:val="00611DC5"/>
    <w:rsid w:val="00612001"/>
    <w:rsid w:val="006121BB"/>
    <w:rsid w:val="006122A8"/>
    <w:rsid w:val="0061277D"/>
    <w:rsid w:val="006127A3"/>
    <w:rsid w:val="00612C36"/>
    <w:rsid w:val="00612CE3"/>
    <w:rsid w:val="00612EA4"/>
    <w:rsid w:val="00612F83"/>
    <w:rsid w:val="0061300F"/>
    <w:rsid w:val="00613782"/>
    <w:rsid w:val="006143EF"/>
    <w:rsid w:val="0061452F"/>
    <w:rsid w:val="00614CF9"/>
    <w:rsid w:val="0061534C"/>
    <w:rsid w:val="0061565E"/>
    <w:rsid w:val="00615769"/>
    <w:rsid w:val="00615E87"/>
    <w:rsid w:val="00615F40"/>
    <w:rsid w:val="006160CB"/>
    <w:rsid w:val="00616175"/>
    <w:rsid w:val="00616806"/>
    <w:rsid w:val="00616B0B"/>
    <w:rsid w:val="00616F53"/>
    <w:rsid w:val="00617108"/>
    <w:rsid w:val="00617D5C"/>
    <w:rsid w:val="00617E5D"/>
    <w:rsid w:val="006203C0"/>
    <w:rsid w:val="0062072D"/>
    <w:rsid w:val="0062078F"/>
    <w:rsid w:val="00620811"/>
    <w:rsid w:val="0062086B"/>
    <w:rsid w:val="00620C07"/>
    <w:rsid w:val="00621505"/>
    <w:rsid w:val="006216EB"/>
    <w:rsid w:val="00621831"/>
    <w:rsid w:val="00621AB5"/>
    <w:rsid w:val="00621F2D"/>
    <w:rsid w:val="0062206A"/>
    <w:rsid w:val="00622692"/>
    <w:rsid w:val="00622F56"/>
    <w:rsid w:val="00623035"/>
    <w:rsid w:val="00623450"/>
    <w:rsid w:val="006235AB"/>
    <w:rsid w:val="0062398D"/>
    <w:rsid w:val="00623DAA"/>
    <w:rsid w:val="0062469F"/>
    <w:rsid w:val="00624715"/>
    <w:rsid w:val="0062512C"/>
    <w:rsid w:val="0062525D"/>
    <w:rsid w:val="00625885"/>
    <w:rsid w:val="0062728E"/>
    <w:rsid w:val="00627868"/>
    <w:rsid w:val="006278F2"/>
    <w:rsid w:val="00627BAA"/>
    <w:rsid w:val="00630AB7"/>
    <w:rsid w:val="00630EE2"/>
    <w:rsid w:val="006321BE"/>
    <w:rsid w:val="0063228B"/>
    <w:rsid w:val="00632450"/>
    <w:rsid w:val="00632639"/>
    <w:rsid w:val="00632C80"/>
    <w:rsid w:val="00632D60"/>
    <w:rsid w:val="00632E98"/>
    <w:rsid w:val="0063329F"/>
    <w:rsid w:val="00633A23"/>
    <w:rsid w:val="00634583"/>
    <w:rsid w:val="00634ABD"/>
    <w:rsid w:val="00634E7E"/>
    <w:rsid w:val="00634E9E"/>
    <w:rsid w:val="006364AE"/>
    <w:rsid w:val="0063658B"/>
    <w:rsid w:val="00636860"/>
    <w:rsid w:val="00636CDB"/>
    <w:rsid w:val="00636DBA"/>
    <w:rsid w:val="006373AC"/>
    <w:rsid w:val="00640610"/>
    <w:rsid w:val="006409B0"/>
    <w:rsid w:val="006427E0"/>
    <w:rsid w:val="00643571"/>
    <w:rsid w:val="006435A3"/>
    <w:rsid w:val="00643BEB"/>
    <w:rsid w:val="0064490B"/>
    <w:rsid w:val="00645244"/>
    <w:rsid w:val="00645579"/>
    <w:rsid w:val="00646E62"/>
    <w:rsid w:val="00647421"/>
    <w:rsid w:val="006474EC"/>
    <w:rsid w:val="00647BE5"/>
    <w:rsid w:val="006504D9"/>
    <w:rsid w:val="00650AD1"/>
    <w:rsid w:val="00651104"/>
    <w:rsid w:val="00651A7F"/>
    <w:rsid w:val="006528F8"/>
    <w:rsid w:val="006530E7"/>
    <w:rsid w:val="00653713"/>
    <w:rsid w:val="0065390C"/>
    <w:rsid w:val="00653CD8"/>
    <w:rsid w:val="006542AF"/>
    <w:rsid w:val="006542BE"/>
    <w:rsid w:val="00654520"/>
    <w:rsid w:val="00654B7B"/>
    <w:rsid w:val="00655B5F"/>
    <w:rsid w:val="00655DE1"/>
    <w:rsid w:val="00655E4B"/>
    <w:rsid w:val="006568A4"/>
    <w:rsid w:val="00656FD9"/>
    <w:rsid w:val="0065702E"/>
    <w:rsid w:val="00657124"/>
    <w:rsid w:val="00657A71"/>
    <w:rsid w:val="00657D56"/>
    <w:rsid w:val="00660077"/>
    <w:rsid w:val="00660FCE"/>
    <w:rsid w:val="0066198E"/>
    <w:rsid w:val="00661BDC"/>
    <w:rsid w:val="00661CD4"/>
    <w:rsid w:val="00662715"/>
    <w:rsid w:val="00662AF7"/>
    <w:rsid w:val="00662CD1"/>
    <w:rsid w:val="00662D25"/>
    <w:rsid w:val="006635F1"/>
    <w:rsid w:val="0066369A"/>
    <w:rsid w:val="006636DF"/>
    <w:rsid w:val="0066408D"/>
    <w:rsid w:val="0066451C"/>
    <w:rsid w:val="00664D87"/>
    <w:rsid w:val="00666031"/>
    <w:rsid w:val="00666B21"/>
    <w:rsid w:val="00667069"/>
    <w:rsid w:val="00667275"/>
    <w:rsid w:val="0066764B"/>
    <w:rsid w:val="00667704"/>
    <w:rsid w:val="006679E2"/>
    <w:rsid w:val="00667B73"/>
    <w:rsid w:val="00667BA1"/>
    <w:rsid w:val="006703FA"/>
    <w:rsid w:val="00671021"/>
    <w:rsid w:val="00671734"/>
    <w:rsid w:val="006720F0"/>
    <w:rsid w:val="00672A65"/>
    <w:rsid w:val="0067329F"/>
    <w:rsid w:val="0067394F"/>
    <w:rsid w:val="006742F1"/>
    <w:rsid w:val="0067467E"/>
    <w:rsid w:val="006749DF"/>
    <w:rsid w:val="00675239"/>
    <w:rsid w:val="00675867"/>
    <w:rsid w:val="006758EA"/>
    <w:rsid w:val="00676DC2"/>
    <w:rsid w:val="0067728D"/>
    <w:rsid w:val="0067764C"/>
    <w:rsid w:val="006800DE"/>
    <w:rsid w:val="006810DF"/>
    <w:rsid w:val="006817D9"/>
    <w:rsid w:val="006819EC"/>
    <w:rsid w:val="006820EA"/>
    <w:rsid w:val="00682250"/>
    <w:rsid w:val="00682E1E"/>
    <w:rsid w:val="0068304B"/>
    <w:rsid w:val="0068386E"/>
    <w:rsid w:val="00683B65"/>
    <w:rsid w:val="00683FFD"/>
    <w:rsid w:val="00684591"/>
    <w:rsid w:val="006845F7"/>
    <w:rsid w:val="006856E6"/>
    <w:rsid w:val="00686797"/>
    <w:rsid w:val="0068689C"/>
    <w:rsid w:val="006870C5"/>
    <w:rsid w:val="006872CE"/>
    <w:rsid w:val="0068769C"/>
    <w:rsid w:val="006876B7"/>
    <w:rsid w:val="00687FC4"/>
    <w:rsid w:val="0069078B"/>
    <w:rsid w:val="0069096E"/>
    <w:rsid w:val="00690D91"/>
    <w:rsid w:val="006911E8"/>
    <w:rsid w:val="0069147B"/>
    <w:rsid w:val="0069159E"/>
    <w:rsid w:val="00692843"/>
    <w:rsid w:val="006928FB"/>
    <w:rsid w:val="0069301B"/>
    <w:rsid w:val="006933AA"/>
    <w:rsid w:val="006933EE"/>
    <w:rsid w:val="00694090"/>
    <w:rsid w:val="00694778"/>
    <w:rsid w:val="006949A7"/>
    <w:rsid w:val="00694F6D"/>
    <w:rsid w:val="006965AF"/>
    <w:rsid w:val="00696831"/>
    <w:rsid w:val="00696A25"/>
    <w:rsid w:val="00696F4A"/>
    <w:rsid w:val="00696F70"/>
    <w:rsid w:val="006972B4"/>
    <w:rsid w:val="00697516"/>
    <w:rsid w:val="006978B7"/>
    <w:rsid w:val="00697B87"/>
    <w:rsid w:val="006A0B48"/>
    <w:rsid w:val="006A20A8"/>
    <w:rsid w:val="006A260F"/>
    <w:rsid w:val="006A27C0"/>
    <w:rsid w:val="006A2C8E"/>
    <w:rsid w:val="006A307D"/>
    <w:rsid w:val="006A4276"/>
    <w:rsid w:val="006A4393"/>
    <w:rsid w:val="006A4FAF"/>
    <w:rsid w:val="006A5571"/>
    <w:rsid w:val="006A5F96"/>
    <w:rsid w:val="006A64D1"/>
    <w:rsid w:val="006A774B"/>
    <w:rsid w:val="006A7DE1"/>
    <w:rsid w:val="006B0172"/>
    <w:rsid w:val="006B03F3"/>
    <w:rsid w:val="006B0475"/>
    <w:rsid w:val="006B07D8"/>
    <w:rsid w:val="006B0976"/>
    <w:rsid w:val="006B0E4F"/>
    <w:rsid w:val="006B0EED"/>
    <w:rsid w:val="006B1255"/>
    <w:rsid w:val="006B1371"/>
    <w:rsid w:val="006B1563"/>
    <w:rsid w:val="006B18BD"/>
    <w:rsid w:val="006B28B7"/>
    <w:rsid w:val="006B2D69"/>
    <w:rsid w:val="006B38AA"/>
    <w:rsid w:val="006B3AD6"/>
    <w:rsid w:val="006B41A6"/>
    <w:rsid w:val="006B4898"/>
    <w:rsid w:val="006B4B55"/>
    <w:rsid w:val="006B4BCF"/>
    <w:rsid w:val="006B5BDD"/>
    <w:rsid w:val="006B6027"/>
    <w:rsid w:val="006B6724"/>
    <w:rsid w:val="006B6836"/>
    <w:rsid w:val="006B6DDF"/>
    <w:rsid w:val="006B71C8"/>
    <w:rsid w:val="006B7EEA"/>
    <w:rsid w:val="006B7F89"/>
    <w:rsid w:val="006C01CE"/>
    <w:rsid w:val="006C0277"/>
    <w:rsid w:val="006C0324"/>
    <w:rsid w:val="006C041A"/>
    <w:rsid w:val="006C046E"/>
    <w:rsid w:val="006C080E"/>
    <w:rsid w:val="006C0B96"/>
    <w:rsid w:val="006C11A1"/>
    <w:rsid w:val="006C1434"/>
    <w:rsid w:val="006C145D"/>
    <w:rsid w:val="006C193F"/>
    <w:rsid w:val="006C29F1"/>
    <w:rsid w:val="006C2CB1"/>
    <w:rsid w:val="006C3921"/>
    <w:rsid w:val="006C3B1D"/>
    <w:rsid w:val="006C4067"/>
    <w:rsid w:val="006C449E"/>
    <w:rsid w:val="006C467C"/>
    <w:rsid w:val="006C4BCA"/>
    <w:rsid w:val="006C4CBD"/>
    <w:rsid w:val="006C5494"/>
    <w:rsid w:val="006C56DD"/>
    <w:rsid w:val="006C5869"/>
    <w:rsid w:val="006C592F"/>
    <w:rsid w:val="006C5CC1"/>
    <w:rsid w:val="006C5D48"/>
    <w:rsid w:val="006C63D8"/>
    <w:rsid w:val="006C7198"/>
    <w:rsid w:val="006C7462"/>
    <w:rsid w:val="006C78D3"/>
    <w:rsid w:val="006C7D46"/>
    <w:rsid w:val="006C7EE5"/>
    <w:rsid w:val="006D0401"/>
    <w:rsid w:val="006D0C27"/>
    <w:rsid w:val="006D2114"/>
    <w:rsid w:val="006D292A"/>
    <w:rsid w:val="006D29BA"/>
    <w:rsid w:val="006D2A2A"/>
    <w:rsid w:val="006D2B62"/>
    <w:rsid w:val="006D2C49"/>
    <w:rsid w:val="006D2D13"/>
    <w:rsid w:val="006D30FB"/>
    <w:rsid w:val="006D337A"/>
    <w:rsid w:val="006D3EDB"/>
    <w:rsid w:val="006D425B"/>
    <w:rsid w:val="006D4BA5"/>
    <w:rsid w:val="006D5342"/>
    <w:rsid w:val="006D54AF"/>
    <w:rsid w:val="006D6622"/>
    <w:rsid w:val="006D6D82"/>
    <w:rsid w:val="006D7148"/>
    <w:rsid w:val="006D7F93"/>
    <w:rsid w:val="006E04F7"/>
    <w:rsid w:val="006E0AAD"/>
    <w:rsid w:val="006E0BF1"/>
    <w:rsid w:val="006E0C45"/>
    <w:rsid w:val="006E0D97"/>
    <w:rsid w:val="006E11DE"/>
    <w:rsid w:val="006E16F1"/>
    <w:rsid w:val="006E1CA6"/>
    <w:rsid w:val="006E1D41"/>
    <w:rsid w:val="006E2228"/>
    <w:rsid w:val="006E26D1"/>
    <w:rsid w:val="006E28C9"/>
    <w:rsid w:val="006E3293"/>
    <w:rsid w:val="006E33D2"/>
    <w:rsid w:val="006E410A"/>
    <w:rsid w:val="006E6022"/>
    <w:rsid w:val="006E60A3"/>
    <w:rsid w:val="006E6423"/>
    <w:rsid w:val="006E660D"/>
    <w:rsid w:val="006E6D3F"/>
    <w:rsid w:val="006F1B7B"/>
    <w:rsid w:val="006F1C20"/>
    <w:rsid w:val="006F1C9C"/>
    <w:rsid w:val="006F279B"/>
    <w:rsid w:val="006F2E8D"/>
    <w:rsid w:val="006F2FB4"/>
    <w:rsid w:val="006F30DB"/>
    <w:rsid w:val="006F330A"/>
    <w:rsid w:val="006F354A"/>
    <w:rsid w:val="006F3755"/>
    <w:rsid w:val="006F3A1C"/>
    <w:rsid w:val="006F3AD5"/>
    <w:rsid w:val="006F3C6D"/>
    <w:rsid w:val="006F4ED1"/>
    <w:rsid w:val="006F53C0"/>
    <w:rsid w:val="006F55C0"/>
    <w:rsid w:val="006F5E90"/>
    <w:rsid w:val="006F646B"/>
    <w:rsid w:val="006F754B"/>
    <w:rsid w:val="006F783B"/>
    <w:rsid w:val="006F7B02"/>
    <w:rsid w:val="0070024E"/>
    <w:rsid w:val="007004AC"/>
    <w:rsid w:val="007009B6"/>
    <w:rsid w:val="0070139F"/>
    <w:rsid w:val="00701AFE"/>
    <w:rsid w:val="00702731"/>
    <w:rsid w:val="00702A3B"/>
    <w:rsid w:val="00702AB3"/>
    <w:rsid w:val="00702AB7"/>
    <w:rsid w:val="007035DC"/>
    <w:rsid w:val="0070387F"/>
    <w:rsid w:val="00703F25"/>
    <w:rsid w:val="007044D3"/>
    <w:rsid w:val="00705B67"/>
    <w:rsid w:val="00705D69"/>
    <w:rsid w:val="00706664"/>
    <w:rsid w:val="0070724D"/>
    <w:rsid w:val="00707ADB"/>
    <w:rsid w:val="007100BC"/>
    <w:rsid w:val="00710566"/>
    <w:rsid w:val="00710773"/>
    <w:rsid w:val="00710C9D"/>
    <w:rsid w:val="00711114"/>
    <w:rsid w:val="007111B8"/>
    <w:rsid w:val="007114A6"/>
    <w:rsid w:val="00711E04"/>
    <w:rsid w:val="00712CCD"/>
    <w:rsid w:val="007130D2"/>
    <w:rsid w:val="00713BD7"/>
    <w:rsid w:val="00713D16"/>
    <w:rsid w:val="00714105"/>
    <w:rsid w:val="0071433A"/>
    <w:rsid w:val="007150C2"/>
    <w:rsid w:val="007157D0"/>
    <w:rsid w:val="0071587A"/>
    <w:rsid w:val="00716494"/>
    <w:rsid w:val="00716958"/>
    <w:rsid w:val="00716D92"/>
    <w:rsid w:val="00717F73"/>
    <w:rsid w:val="0072071B"/>
    <w:rsid w:val="00720975"/>
    <w:rsid w:val="00720A27"/>
    <w:rsid w:val="00720A49"/>
    <w:rsid w:val="00721192"/>
    <w:rsid w:val="007211D4"/>
    <w:rsid w:val="007219A3"/>
    <w:rsid w:val="00722071"/>
    <w:rsid w:val="00722336"/>
    <w:rsid w:val="0072257E"/>
    <w:rsid w:val="00722A3A"/>
    <w:rsid w:val="00722C27"/>
    <w:rsid w:val="007232FE"/>
    <w:rsid w:val="007238C1"/>
    <w:rsid w:val="0072472B"/>
    <w:rsid w:val="00724EF5"/>
    <w:rsid w:val="00725328"/>
    <w:rsid w:val="007257CC"/>
    <w:rsid w:val="00725842"/>
    <w:rsid w:val="007267EC"/>
    <w:rsid w:val="00726F75"/>
    <w:rsid w:val="0072703C"/>
    <w:rsid w:val="007272EF"/>
    <w:rsid w:val="007276E6"/>
    <w:rsid w:val="007303D9"/>
    <w:rsid w:val="00730C29"/>
    <w:rsid w:val="00730F34"/>
    <w:rsid w:val="00732236"/>
    <w:rsid w:val="00732394"/>
    <w:rsid w:val="00732AE4"/>
    <w:rsid w:val="00732F3C"/>
    <w:rsid w:val="0073321A"/>
    <w:rsid w:val="007332CA"/>
    <w:rsid w:val="007341A4"/>
    <w:rsid w:val="007345F9"/>
    <w:rsid w:val="0073473B"/>
    <w:rsid w:val="00734ACE"/>
    <w:rsid w:val="007351D8"/>
    <w:rsid w:val="00735483"/>
    <w:rsid w:val="00735853"/>
    <w:rsid w:val="00736507"/>
    <w:rsid w:val="00736BC9"/>
    <w:rsid w:val="00737FEF"/>
    <w:rsid w:val="00740169"/>
    <w:rsid w:val="007402FF"/>
    <w:rsid w:val="007403DA"/>
    <w:rsid w:val="0074050B"/>
    <w:rsid w:val="007409AF"/>
    <w:rsid w:val="007415F1"/>
    <w:rsid w:val="00741B0D"/>
    <w:rsid w:val="00741B28"/>
    <w:rsid w:val="00742115"/>
    <w:rsid w:val="00742D93"/>
    <w:rsid w:val="00742FAF"/>
    <w:rsid w:val="00743182"/>
    <w:rsid w:val="00743A9C"/>
    <w:rsid w:val="00743D7A"/>
    <w:rsid w:val="00744269"/>
    <w:rsid w:val="00744F98"/>
    <w:rsid w:val="00745AF6"/>
    <w:rsid w:val="00745EFA"/>
    <w:rsid w:val="00746401"/>
    <w:rsid w:val="0074692D"/>
    <w:rsid w:val="007474BA"/>
    <w:rsid w:val="0074792A"/>
    <w:rsid w:val="0074799E"/>
    <w:rsid w:val="00750076"/>
    <w:rsid w:val="00750BE0"/>
    <w:rsid w:val="00751CCD"/>
    <w:rsid w:val="00751F83"/>
    <w:rsid w:val="007520D4"/>
    <w:rsid w:val="00752554"/>
    <w:rsid w:val="007525B3"/>
    <w:rsid w:val="0075290F"/>
    <w:rsid w:val="0075328F"/>
    <w:rsid w:val="00753338"/>
    <w:rsid w:val="00753449"/>
    <w:rsid w:val="00753F23"/>
    <w:rsid w:val="007544C9"/>
    <w:rsid w:val="00754D20"/>
    <w:rsid w:val="0075512F"/>
    <w:rsid w:val="00755CDE"/>
    <w:rsid w:val="007560A0"/>
    <w:rsid w:val="00756253"/>
    <w:rsid w:val="00756C82"/>
    <w:rsid w:val="00756F3B"/>
    <w:rsid w:val="00756FDD"/>
    <w:rsid w:val="00757103"/>
    <w:rsid w:val="00760B87"/>
    <w:rsid w:val="00760D65"/>
    <w:rsid w:val="00761040"/>
    <w:rsid w:val="007616A7"/>
    <w:rsid w:val="00761AD5"/>
    <w:rsid w:val="00761CCA"/>
    <w:rsid w:val="00761CF1"/>
    <w:rsid w:val="0076235A"/>
    <w:rsid w:val="007627AF"/>
    <w:rsid w:val="00762842"/>
    <w:rsid w:val="00762E01"/>
    <w:rsid w:val="00763185"/>
    <w:rsid w:val="00763604"/>
    <w:rsid w:val="00763DCB"/>
    <w:rsid w:val="00763E1E"/>
    <w:rsid w:val="00764B15"/>
    <w:rsid w:val="00764F49"/>
    <w:rsid w:val="00765B4D"/>
    <w:rsid w:val="00765F8F"/>
    <w:rsid w:val="007660A2"/>
    <w:rsid w:val="0076783A"/>
    <w:rsid w:val="00767BF9"/>
    <w:rsid w:val="00767E8D"/>
    <w:rsid w:val="00767EC8"/>
    <w:rsid w:val="00770B8F"/>
    <w:rsid w:val="00770C3B"/>
    <w:rsid w:val="00770E74"/>
    <w:rsid w:val="0077143E"/>
    <w:rsid w:val="007714CD"/>
    <w:rsid w:val="00771A62"/>
    <w:rsid w:val="00771B64"/>
    <w:rsid w:val="007721AB"/>
    <w:rsid w:val="00772335"/>
    <w:rsid w:val="00772A94"/>
    <w:rsid w:val="00772CF4"/>
    <w:rsid w:val="00772E0A"/>
    <w:rsid w:val="0077335E"/>
    <w:rsid w:val="007733FB"/>
    <w:rsid w:val="00773AB6"/>
    <w:rsid w:val="007740E1"/>
    <w:rsid w:val="00775492"/>
    <w:rsid w:val="00775B1A"/>
    <w:rsid w:val="00776695"/>
    <w:rsid w:val="00776741"/>
    <w:rsid w:val="007773CD"/>
    <w:rsid w:val="00777755"/>
    <w:rsid w:val="00777B3E"/>
    <w:rsid w:val="00780CB9"/>
    <w:rsid w:val="007810CA"/>
    <w:rsid w:val="007814DD"/>
    <w:rsid w:val="00782310"/>
    <w:rsid w:val="007828DB"/>
    <w:rsid w:val="00782942"/>
    <w:rsid w:val="00784E5E"/>
    <w:rsid w:val="007851BF"/>
    <w:rsid w:val="007853A8"/>
    <w:rsid w:val="00785A97"/>
    <w:rsid w:val="00786711"/>
    <w:rsid w:val="0078684A"/>
    <w:rsid w:val="0078765F"/>
    <w:rsid w:val="00787716"/>
    <w:rsid w:val="00787A4B"/>
    <w:rsid w:val="00787E59"/>
    <w:rsid w:val="007900F0"/>
    <w:rsid w:val="0079012B"/>
    <w:rsid w:val="00790241"/>
    <w:rsid w:val="00790CA3"/>
    <w:rsid w:val="00790D37"/>
    <w:rsid w:val="00790DB0"/>
    <w:rsid w:val="00791390"/>
    <w:rsid w:val="00791996"/>
    <w:rsid w:val="00792123"/>
    <w:rsid w:val="00792185"/>
    <w:rsid w:val="00792361"/>
    <w:rsid w:val="00792655"/>
    <w:rsid w:val="0079343F"/>
    <w:rsid w:val="00793868"/>
    <w:rsid w:val="00793979"/>
    <w:rsid w:val="007941C7"/>
    <w:rsid w:val="0079426F"/>
    <w:rsid w:val="007947B6"/>
    <w:rsid w:val="00794827"/>
    <w:rsid w:val="007954CD"/>
    <w:rsid w:val="00795964"/>
    <w:rsid w:val="00795D07"/>
    <w:rsid w:val="007961D2"/>
    <w:rsid w:val="00796648"/>
    <w:rsid w:val="00796B98"/>
    <w:rsid w:val="0079708F"/>
    <w:rsid w:val="007970DA"/>
    <w:rsid w:val="007970E5"/>
    <w:rsid w:val="007975F8"/>
    <w:rsid w:val="00797C32"/>
    <w:rsid w:val="00797F01"/>
    <w:rsid w:val="007A014B"/>
    <w:rsid w:val="007A0994"/>
    <w:rsid w:val="007A0E8A"/>
    <w:rsid w:val="007A1653"/>
    <w:rsid w:val="007A1874"/>
    <w:rsid w:val="007A2C62"/>
    <w:rsid w:val="007A2C8B"/>
    <w:rsid w:val="007A2E5B"/>
    <w:rsid w:val="007A30FB"/>
    <w:rsid w:val="007A341C"/>
    <w:rsid w:val="007A38EE"/>
    <w:rsid w:val="007A3CE6"/>
    <w:rsid w:val="007A4B2F"/>
    <w:rsid w:val="007A4B82"/>
    <w:rsid w:val="007A4C0C"/>
    <w:rsid w:val="007A5820"/>
    <w:rsid w:val="007A5875"/>
    <w:rsid w:val="007A58E2"/>
    <w:rsid w:val="007A708C"/>
    <w:rsid w:val="007A7262"/>
    <w:rsid w:val="007A75A3"/>
    <w:rsid w:val="007A79D6"/>
    <w:rsid w:val="007A7D17"/>
    <w:rsid w:val="007B073A"/>
    <w:rsid w:val="007B088F"/>
    <w:rsid w:val="007B112C"/>
    <w:rsid w:val="007B199B"/>
    <w:rsid w:val="007B2AE4"/>
    <w:rsid w:val="007B4F42"/>
    <w:rsid w:val="007B5023"/>
    <w:rsid w:val="007B574A"/>
    <w:rsid w:val="007B6036"/>
    <w:rsid w:val="007B65D9"/>
    <w:rsid w:val="007B68D0"/>
    <w:rsid w:val="007B6ADD"/>
    <w:rsid w:val="007B6B52"/>
    <w:rsid w:val="007B7227"/>
    <w:rsid w:val="007B74D5"/>
    <w:rsid w:val="007B75B6"/>
    <w:rsid w:val="007B76F3"/>
    <w:rsid w:val="007B78B6"/>
    <w:rsid w:val="007B7CE2"/>
    <w:rsid w:val="007C01A1"/>
    <w:rsid w:val="007C02DE"/>
    <w:rsid w:val="007C11D9"/>
    <w:rsid w:val="007C171A"/>
    <w:rsid w:val="007C1F36"/>
    <w:rsid w:val="007C2BC1"/>
    <w:rsid w:val="007C2E58"/>
    <w:rsid w:val="007C3277"/>
    <w:rsid w:val="007C3612"/>
    <w:rsid w:val="007C3A61"/>
    <w:rsid w:val="007C4493"/>
    <w:rsid w:val="007C463A"/>
    <w:rsid w:val="007C51D4"/>
    <w:rsid w:val="007C53E0"/>
    <w:rsid w:val="007C5F1F"/>
    <w:rsid w:val="007C60FE"/>
    <w:rsid w:val="007C730C"/>
    <w:rsid w:val="007C755C"/>
    <w:rsid w:val="007C7A81"/>
    <w:rsid w:val="007C7BB0"/>
    <w:rsid w:val="007D057D"/>
    <w:rsid w:val="007D09AE"/>
    <w:rsid w:val="007D0B71"/>
    <w:rsid w:val="007D1403"/>
    <w:rsid w:val="007D17E3"/>
    <w:rsid w:val="007D2712"/>
    <w:rsid w:val="007D28F9"/>
    <w:rsid w:val="007D2B19"/>
    <w:rsid w:val="007D3150"/>
    <w:rsid w:val="007D3515"/>
    <w:rsid w:val="007D3C09"/>
    <w:rsid w:val="007D42BB"/>
    <w:rsid w:val="007D45D4"/>
    <w:rsid w:val="007D58D3"/>
    <w:rsid w:val="007D58D4"/>
    <w:rsid w:val="007D6159"/>
    <w:rsid w:val="007D63A4"/>
    <w:rsid w:val="007D6A68"/>
    <w:rsid w:val="007D6C87"/>
    <w:rsid w:val="007D7063"/>
    <w:rsid w:val="007D7892"/>
    <w:rsid w:val="007E00BA"/>
    <w:rsid w:val="007E00F7"/>
    <w:rsid w:val="007E13B0"/>
    <w:rsid w:val="007E16A2"/>
    <w:rsid w:val="007E174D"/>
    <w:rsid w:val="007E1F55"/>
    <w:rsid w:val="007E2097"/>
    <w:rsid w:val="007E2517"/>
    <w:rsid w:val="007E263D"/>
    <w:rsid w:val="007E2C0E"/>
    <w:rsid w:val="007E2FAB"/>
    <w:rsid w:val="007E33D0"/>
    <w:rsid w:val="007E351E"/>
    <w:rsid w:val="007E3A09"/>
    <w:rsid w:val="007E422B"/>
    <w:rsid w:val="007E487B"/>
    <w:rsid w:val="007E5275"/>
    <w:rsid w:val="007E54B6"/>
    <w:rsid w:val="007E6444"/>
    <w:rsid w:val="007E64D8"/>
    <w:rsid w:val="007E6AB5"/>
    <w:rsid w:val="007E77A0"/>
    <w:rsid w:val="007E7C24"/>
    <w:rsid w:val="007F07C1"/>
    <w:rsid w:val="007F1032"/>
    <w:rsid w:val="007F12E3"/>
    <w:rsid w:val="007F1C96"/>
    <w:rsid w:val="007F228A"/>
    <w:rsid w:val="007F275D"/>
    <w:rsid w:val="007F3270"/>
    <w:rsid w:val="007F3519"/>
    <w:rsid w:val="007F39B8"/>
    <w:rsid w:val="007F4787"/>
    <w:rsid w:val="007F4A2E"/>
    <w:rsid w:val="007F5F6B"/>
    <w:rsid w:val="007F6329"/>
    <w:rsid w:val="007F6A23"/>
    <w:rsid w:val="007F6A7D"/>
    <w:rsid w:val="007F719C"/>
    <w:rsid w:val="0080053C"/>
    <w:rsid w:val="00801351"/>
    <w:rsid w:val="008016A8"/>
    <w:rsid w:val="00802B20"/>
    <w:rsid w:val="00802E52"/>
    <w:rsid w:val="00803117"/>
    <w:rsid w:val="008033C9"/>
    <w:rsid w:val="008049CB"/>
    <w:rsid w:val="008049D5"/>
    <w:rsid w:val="00804C30"/>
    <w:rsid w:val="0080505D"/>
    <w:rsid w:val="0080576C"/>
    <w:rsid w:val="008057ED"/>
    <w:rsid w:val="00805870"/>
    <w:rsid w:val="008073BA"/>
    <w:rsid w:val="00807873"/>
    <w:rsid w:val="00807903"/>
    <w:rsid w:val="0081086F"/>
    <w:rsid w:val="00811033"/>
    <w:rsid w:val="008111B1"/>
    <w:rsid w:val="00811EAE"/>
    <w:rsid w:val="00812CF9"/>
    <w:rsid w:val="00812F30"/>
    <w:rsid w:val="00813770"/>
    <w:rsid w:val="008142E0"/>
    <w:rsid w:val="008149D4"/>
    <w:rsid w:val="00814FA1"/>
    <w:rsid w:val="0081598F"/>
    <w:rsid w:val="0081600C"/>
    <w:rsid w:val="0081627B"/>
    <w:rsid w:val="00816634"/>
    <w:rsid w:val="00816A4E"/>
    <w:rsid w:val="00816D5E"/>
    <w:rsid w:val="00816FDE"/>
    <w:rsid w:val="00817410"/>
    <w:rsid w:val="008175CC"/>
    <w:rsid w:val="008201F2"/>
    <w:rsid w:val="00820371"/>
    <w:rsid w:val="0082172C"/>
    <w:rsid w:val="00821F1B"/>
    <w:rsid w:val="0082219B"/>
    <w:rsid w:val="0082263D"/>
    <w:rsid w:val="00822FA2"/>
    <w:rsid w:val="00823100"/>
    <w:rsid w:val="008238D2"/>
    <w:rsid w:val="008239B5"/>
    <w:rsid w:val="00824340"/>
    <w:rsid w:val="008243E5"/>
    <w:rsid w:val="00824428"/>
    <w:rsid w:val="00824482"/>
    <w:rsid w:val="0082493A"/>
    <w:rsid w:val="00824FF2"/>
    <w:rsid w:val="00825849"/>
    <w:rsid w:val="00825FFA"/>
    <w:rsid w:val="008268E2"/>
    <w:rsid w:val="00827D5E"/>
    <w:rsid w:val="00830949"/>
    <w:rsid w:val="00830E59"/>
    <w:rsid w:val="00831386"/>
    <w:rsid w:val="00832546"/>
    <w:rsid w:val="00832C2B"/>
    <w:rsid w:val="00833B3A"/>
    <w:rsid w:val="00833B7F"/>
    <w:rsid w:val="00833C2C"/>
    <w:rsid w:val="00833FE7"/>
    <w:rsid w:val="008341C4"/>
    <w:rsid w:val="00834579"/>
    <w:rsid w:val="00834714"/>
    <w:rsid w:val="00835373"/>
    <w:rsid w:val="0083573D"/>
    <w:rsid w:val="00836097"/>
    <w:rsid w:val="00836195"/>
    <w:rsid w:val="00836FD7"/>
    <w:rsid w:val="0083722C"/>
    <w:rsid w:val="008374B7"/>
    <w:rsid w:val="008374EB"/>
    <w:rsid w:val="00837802"/>
    <w:rsid w:val="00837A75"/>
    <w:rsid w:val="00837CA8"/>
    <w:rsid w:val="0084015A"/>
    <w:rsid w:val="00840A4B"/>
    <w:rsid w:val="008418D2"/>
    <w:rsid w:val="00841E2F"/>
    <w:rsid w:val="0084234F"/>
    <w:rsid w:val="0084266D"/>
    <w:rsid w:val="008428DD"/>
    <w:rsid w:val="00843529"/>
    <w:rsid w:val="00843DEA"/>
    <w:rsid w:val="00844536"/>
    <w:rsid w:val="00844682"/>
    <w:rsid w:val="00845EC4"/>
    <w:rsid w:val="0084601E"/>
    <w:rsid w:val="0084618E"/>
    <w:rsid w:val="008466E0"/>
    <w:rsid w:val="008470ED"/>
    <w:rsid w:val="00847157"/>
    <w:rsid w:val="00847919"/>
    <w:rsid w:val="00850140"/>
    <w:rsid w:val="00850DEC"/>
    <w:rsid w:val="00851B01"/>
    <w:rsid w:val="00852180"/>
    <w:rsid w:val="008525ED"/>
    <w:rsid w:val="00852824"/>
    <w:rsid w:val="008537E4"/>
    <w:rsid w:val="00853BF0"/>
    <w:rsid w:val="00853CED"/>
    <w:rsid w:val="00853D62"/>
    <w:rsid w:val="0085449D"/>
    <w:rsid w:val="008546E3"/>
    <w:rsid w:val="008548D7"/>
    <w:rsid w:val="00856499"/>
    <w:rsid w:val="008577EA"/>
    <w:rsid w:val="00860423"/>
    <w:rsid w:val="008608AF"/>
    <w:rsid w:val="00861A5B"/>
    <w:rsid w:val="00861F0E"/>
    <w:rsid w:val="00862012"/>
    <w:rsid w:val="00862098"/>
    <w:rsid w:val="008624C9"/>
    <w:rsid w:val="00862A9E"/>
    <w:rsid w:val="00863DB9"/>
    <w:rsid w:val="0086488D"/>
    <w:rsid w:val="00864970"/>
    <w:rsid w:val="00864F08"/>
    <w:rsid w:val="00865967"/>
    <w:rsid w:val="00865BC1"/>
    <w:rsid w:val="00865FCF"/>
    <w:rsid w:val="00865FD4"/>
    <w:rsid w:val="008663D3"/>
    <w:rsid w:val="00866920"/>
    <w:rsid w:val="00866953"/>
    <w:rsid w:val="00866A32"/>
    <w:rsid w:val="0086700E"/>
    <w:rsid w:val="00867754"/>
    <w:rsid w:val="008677A0"/>
    <w:rsid w:val="008677E9"/>
    <w:rsid w:val="00867CFE"/>
    <w:rsid w:val="00870123"/>
    <w:rsid w:val="0087075C"/>
    <w:rsid w:val="008709F1"/>
    <w:rsid w:val="00870BFD"/>
    <w:rsid w:val="00870D0A"/>
    <w:rsid w:val="00871008"/>
    <w:rsid w:val="00871031"/>
    <w:rsid w:val="0087134E"/>
    <w:rsid w:val="00871BE5"/>
    <w:rsid w:val="00871D8E"/>
    <w:rsid w:val="008724C3"/>
    <w:rsid w:val="00872CE8"/>
    <w:rsid w:val="00872ED3"/>
    <w:rsid w:val="00873735"/>
    <w:rsid w:val="00874D7A"/>
    <w:rsid w:val="00874FBE"/>
    <w:rsid w:val="008754F3"/>
    <w:rsid w:val="00876D07"/>
    <w:rsid w:val="008775C6"/>
    <w:rsid w:val="00877C1F"/>
    <w:rsid w:val="008803FD"/>
    <w:rsid w:val="008807A7"/>
    <w:rsid w:val="00880FC5"/>
    <w:rsid w:val="008818CD"/>
    <w:rsid w:val="00881C8F"/>
    <w:rsid w:val="0088263C"/>
    <w:rsid w:val="00883149"/>
    <w:rsid w:val="00883364"/>
    <w:rsid w:val="0088365F"/>
    <w:rsid w:val="0088367B"/>
    <w:rsid w:val="00884500"/>
    <w:rsid w:val="008854AD"/>
    <w:rsid w:val="00885BA3"/>
    <w:rsid w:val="00885C25"/>
    <w:rsid w:val="00885CC0"/>
    <w:rsid w:val="00886500"/>
    <w:rsid w:val="00886985"/>
    <w:rsid w:val="008869AA"/>
    <w:rsid w:val="00886B1B"/>
    <w:rsid w:val="0088701A"/>
    <w:rsid w:val="008873C8"/>
    <w:rsid w:val="00887C73"/>
    <w:rsid w:val="00890BBD"/>
    <w:rsid w:val="00890E65"/>
    <w:rsid w:val="008910BB"/>
    <w:rsid w:val="00891159"/>
    <w:rsid w:val="00891444"/>
    <w:rsid w:val="0089190B"/>
    <w:rsid w:val="00892EB0"/>
    <w:rsid w:val="008931EE"/>
    <w:rsid w:val="00893759"/>
    <w:rsid w:val="008941FD"/>
    <w:rsid w:val="00894482"/>
    <w:rsid w:val="00894A88"/>
    <w:rsid w:val="008950BD"/>
    <w:rsid w:val="00896033"/>
    <w:rsid w:val="008963EB"/>
    <w:rsid w:val="00896613"/>
    <w:rsid w:val="008967DC"/>
    <w:rsid w:val="00896868"/>
    <w:rsid w:val="00896CB5"/>
    <w:rsid w:val="00896E39"/>
    <w:rsid w:val="00896E96"/>
    <w:rsid w:val="008972DB"/>
    <w:rsid w:val="00897D74"/>
    <w:rsid w:val="00897DAA"/>
    <w:rsid w:val="008A06F9"/>
    <w:rsid w:val="008A0ADF"/>
    <w:rsid w:val="008A0FC1"/>
    <w:rsid w:val="008A184F"/>
    <w:rsid w:val="008A1BA2"/>
    <w:rsid w:val="008A1DE0"/>
    <w:rsid w:val="008A1FF6"/>
    <w:rsid w:val="008A2252"/>
    <w:rsid w:val="008A3466"/>
    <w:rsid w:val="008A347B"/>
    <w:rsid w:val="008A3F16"/>
    <w:rsid w:val="008A40C4"/>
    <w:rsid w:val="008A4668"/>
    <w:rsid w:val="008A4F09"/>
    <w:rsid w:val="008A5507"/>
    <w:rsid w:val="008A59DD"/>
    <w:rsid w:val="008A5BE5"/>
    <w:rsid w:val="008A5D65"/>
    <w:rsid w:val="008A61DF"/>
    <w:rsid w:val="008A6DFF"/>
    <w:rsid w:val="008A6F5B"/>
    <w:rsid w:val="008A7427"/>
    <w:rsid w:val="008B1986"/>
    <w:rsid w:val="008B1A45"/>
    <w:rsid w:val="008B2426"/>
    <w:rsid w:val="008B25A8"/>
    <w:rsid w:val="008B30FE"/>
    <w:rsid w:val="008B4E82"/>
    <w:rsid w:val="008B68F1"/>
    <w:rsid w:val="008B7629"/>
    <w:rsid w:val="008B797A"/>
    <w:rsid w:val="008B7E64"/>
    <w:rsid w:val="008C075B"/>
    <w:rsid w:val="008C085A"/>
    <w:rsid w:val="008C0BC7"/>
    <w:rsid w:val="008C0E3B"/>
    <w:rsid w:val="008C0F3E"/>
    <w:rsid w:val="008C12D3"/>
    <w:rsid w:val="008C1E61"/>
    <w:rsid w:val="008C2827"/>
    <w:rsid w:val="008C291E"/>
    <w:rsid w:val="008C2CD3"/>
    <w:rsid w:val="008C3098"/>
    <w:rsid w:val="008C31B1"/>
    <w:rsid w:val="008C33E2"/>
    <w:rsid w:val="008C34C1"/>
    <w:rsid w:val="008C37BB"/>
    <w:rsid w:val="008C3A25"/>
    <w:rsid w:val="008C3B44"/>
    <w:rsid w:val="008C4DA6"/>
    <w:rsid w:val="008C51C3"/>
    <w:rsid w:val="008C53D5"/>
    <w:rsid w:val="008C5502"/>
    <w:rsid w:val="008C5B22"/>
    <w:rsid w:val="008C5CDC"/>
    <w:rsid w:val="008C74BE"/>
    <w:rsid w:val="008C76BB"/>
    <w:rsid w:val="008C77C3"/>
    <w:rsid w:val="008C7A5E"/>
    <w:rsid w:val="008D0290"/>
    <w:rsid w:val="008D0765"/>
    <w:rsid w:val="008D0849"/>
    <w:rsid w:val="008D15B5"/>
    <w:rsid w:val="008D19B0"/>
    <w:rsid w:val="008D1F63"/>
    <w:rsid w:val="008D34D2"/>
    <w:rsid w:val="008D37B8"/>
    <w:rsid w:val="008D39B7"/>
    <w:rsid w:val="008D5799"/>
    <w:rsid w:val="008D616B"/>
    <w:rsid w:val="008D6298"/>
    <w:rsid w:val="008D668D"/>
    <w:rsid w:val="008D6BEA"/>
    <w:rsid w:val="008D71A2"/>
    <w:rsid w:val="008D7670"/>
    <w:rsid w:val="008D78B7"/>
    <w:rsid w:val="008D7B5F"/>
    <w:rsid w:val="008E18A2"/>
    <w:rsid w:val="008E1F41"/>
    <w:rsid w:val="008E1F9B"/>
    <w:rsid w:val="008E2243"/>
    <w:rsid w:val="008E236F"/>
    <w:rsid w:val="008E3205"/>
    <w:rsid w:val="008E32A5"/>
    <w:rsid w:val="008E3F40"/>
    <w:rsid w:val="008E4922"/>
    <w:rsid w:val="008E49C1"/>
    <w:rsid w:val="008E4F9D"/>
    <w:rsid w:val="008E5297"/>
    <w:rsid w:val="008E6789"/>
    <w:rsid w:val="008E68CF"/>
    <w:rsid w:val="008E6924"/>
    <w:rsid w:val="008E6ECE"/>
    <w:rsid w:val="008E7AB6"/>
    <w:rsid w:val="008E7B2C"/>
    <w:rsid w:val="008F047C"/>
    <w:rsid w:val="008F0700"/>
    <w:rsid w:val="008F0855"/>
    <w:rsid w:val="008F13AA"/>
    <w:rsid w:val="008F15DE"/>
    <w:rsid w:val="008F197F"/>
    <w:rsid w:val="008F19BE"/>
    <w:rsid w:val="008F1C0B"/>
    <w:rsid w:val="008F1FDE"/>
    <w:rsid w:val="008F2303"/>
    <w:rsid w:val="008F23F2"/>
    <w:rsid w:val="008F39C0"/>
    <w:rsid w:val="008F3B36"/>
    <w:rsid w:val="008F3BE0"/>
    <w:rsid w:val="008F4869"/>
    <w:rsid w:val="008F4BC0"/>
    <w:rsid w:val="008F50FC"/>
    <w:rsid w:val="008F5DCC"/>
    <w:rsid w:val="008F61E2"/>
    <w:rsid w:val="008F6345"/>
    <w:rsid w:val="008F7A1C"/>
    <w:rsid w:val="009009C1"/>
    <w:rsid w:val="00900E00"/>
    <w:rsid w:val="0090186C"/>
    <w:rsid w:val="0090195B"/>
    <w:rsid w:val="0090224A"/>
    <w:rsid w:val="00902722"/>
    <w:rsid w:val="009032B3"/>
    <w:rsid w:val="00903798"/>
    <w:rsid w:val="009037BE"/>
    <w:rsid w:val="00904233"/>
    <w:rsid w:val="009046C3"/>
    <w:rsid w:val="00904B20"/>
    <w:rsid w:val="00904E20"/>
    <w:rsid w:val="00904EE6"/>
    <w:rsid w:val="009060A0"/>
    <w:rsid w:val="00906460"/>
    <w:rsid w:val="009065E7"/>
    <w:rsid w:val="009067DC"/>
    <w:rsid w:val="00906C63"/>
    <w:rsid w:val="00906EC4"/>
    <w:rsid w:val="009074C8"/>
    <w:rsid w:val="00907D68"/>
    <w:rsid w:val="00910498"/>
    <w:rsid w:val="009107C2"/>
    <w:rsid w:val="00910BE7"/>
    <w:rsid w:val="009114FA"/>
    <w:rsid w:val="0091229D"/>
    <w:rsid w:val="00912677"/>
    <w:rsid w:val="00912BC5"/>
    <w:rsid w:val="00912F79"/>
    <w:rsid w:val="00913084"/>
    <w:rsid w:val="0091420F"/>
    <w:rsid w:val="00914478"/>
    <w:rsid w:val="00914A02"/>
    <w:rsid w:val="00914F85"/>
    <w:rsid w:val="009150CD"/>
    <w:rsid w:val="00915235"/>
    <w:rsid w:val="0091560E"/>
    <w:rsid w:val="00915E2C"/>
    <w:rsid w:val="00915FAE"/>
    <w:rsid w:val="00916792"/>
    <w:rsid w:val="00916CDC"/>
    <w:rsid w:val="0091764C"/>
    <w:rsid w:val="009179D8"/>
    <w:rsid w:val="009206BA"/>
    <w:rsid w:val="00920862"/>
    <w:rsid w:val="00920D58"/>
    <w:rsid w:val="00921250"/>
    <w:rsid w:val="00921626"/>
    <w:rsid w:val="00921F84"/>
    <w:rsid w:val="00922363"/>
    <w:rsid w:val="009226F9"/>
    <w:rsid w:val="0092296D"/>
    <w:rsid w:val="00922C3D"/>
    <w:rsid w:val="0092398B"/>
    <w:rsid w:val="00923C76"/>
    <w:rsid w:val="00923D70"/>
    <w:rsid w:val="0092403A"/>
    <w:rsid w:val="00924B82"/>
    <w:rsid w:val="00925E7A"/>
    <w:rsid w:val="009266F3"/>
    <w:rsid w:val="00926E9E"/>
    <w:rsid w:val="00927726"/>
    <w:rsid w:val="009277F7"/>
    <w:rsid w:val="00927F64"/>
    <w:rsid w:val="00930AC9"/>
    <w:rsid w:val="00930DA7"/>
    <w:rsid w:val="00931CA4"/>
    <w:rsid w:val="00931D3F"/>
    <w:rsid w:val="00931F56"/>
    <w:rsid w:val="00932EB6"/>
    <w:rsid w:val="00932F72"/>
    <w:rsid w:val="0093314F"/>
    <w:rsid w:val="009332E1"/>
    <w:rsid w:val="009337D6"/>
    <w:rsid w:val="00934489"/>
    <w:rsid w:val="0093611E"/>
    <w:rsid w:val="009366BF"/>
    <w:rsid w:val="00937A1A"/>
    <w:rsid w:val="00937A77"/>
    <w:rsid w:val="009405AF"/>
    <w:rsid w:val="00940CA7"/>
    <w:rsid w:val="00940DD7"/>
    <w:rsid w:val="00941196"/>
    <w:rsid w:val="0094129C"/>
    <w:rsid w:val="0094161D"/>
    <w:rsid w:val="00941C48"/>
    <w:rsid w:val="00942426"/>
    <w:rsid w:val="009427E5"/>
    <w:rsid w:val="00942A20"/>
    <w:rsid w:val="00943707"/>
    <w:rsid w:val="00943ED7"/>
    <w:rsid w:val="009447CF"/>
    <w:rsid w:val="00944CA8"/>
    <w:rsid w:val="00944DE9"/>
    <w:rsid w:val="0094537C"/>
    <w:rsid w:val="009456D4"/>
    <w:rsid w:val="00945D26"/>
    <w:rsid w:val="00947212"/>
    <w:rsid w:val="00947AEE"/>
    <w:rsid w:val="00950551"/>
    <w:rsid w:val="009511AA"/>
    <w:rsid w:val="00951884"/>
    <w:rsid w:val="00953137"/>
    <w:rsid w:val="009541C6"/>
    <w:rsid w:val="009544BE"/>
    <w:rsid w:val="009551C9"/>
    <w:rsid w:val="009551F6"/>
    <w:rsid w:val="00955771"/>
    <w:rsid w:val="009559D4"/>
    <w:rsid w:val="00955F48"/>
    <w:rsid w:val="009566E5"/>
    <w:rsid w:val="00956FB7"/>
    <w:rsid w:val="009571D6"/>
    <w:rsid w:val="009573D0"/>
    <w:rsid w:val="00957E9B"/>
    <w:rsid w:val="0096066E"/>
    <w:rsid w:val="009608E6"/>
    <w:rsid w:val="00960FA3"/>
    <w:rsid w:val="009610E8"/>
    <w:rsid w:val="0096167B"/>
    <w:rsid w:val="00961E59"/>
    <w:rsid w:val="00961FCA"/>
    <w:rsid w:val="009620A6"/>
    <w:rsid w:val="009625AA"/>
    <w:rsid w:val="009627E1"/>
    <w:rsid w:val="009628D1"/>
    <w:rsid w:val="00963BD2"/>
    <w:rsid w:val="009647F1"/>
    <w:rsid w:val="00964946"/>
    <w:rsid w:val="00964C08"/>
    <w:rsid w:val="00964CB2"/>
    <w:rsid w:val="00965ED6"/>
    <w:rsid w:val="00966645"/>
    <w:rsid w:val="009671FF"/>
    <w:rsid w:val="00967B96"/>
    <w:rsid w:val="00970339"/>
    <w:rsid w:val="00970518"/>
    <w:rsid w:val="009705F6"/>
    <w:rsid w:val="00970A2A"/>
    <w:rsid w:val="009718A7"/>
    <w:rsid w:val="009719F1"/>
    <w:rsid w:val="00971A53"/>
    <w:rsid w:val="009722D7"/>
    <w:rsid w:val="009723DD"/>
    <w:rsid w:val="009725E8"/>
    <w:rsid w:val="00972812"/>
    <w:rsid w:val="0097306A"/>
    <w:rsid w:val="00973B34"/>
    <w:rsid w:val="00973C85"/>
    <w:rsid w:val="009759B5"/>
    <w:rsid w:val="00975C8B"/>
    <w:rsid w:val="0097749A"/>
    <w:rsid w:val="009776B7"/>
    <w:rsid w:val="00977E8B"/>
    <w:rsid w:val="009804B7"/>
    <w:rsid w:val="0098083C"/>
    <w:rsid w:val="00980D55"/>
    <w:rsid w:val="00981829"/>
    <w:rsid w:val="009819DA"/>
    <w:rsid w:val="00981E97"/>
    <w:rsid w:val="00982743"/>
    <w:rsid w:val="00982EC7"/>
    <w:rsid w:val="00983314"/>
    <w:rsid w:val="00983A02"/>
    <w:rsid w:val="00983CBD"/>
    <w:rsid w:val="0098593B"/>
    <w:rsid w:val="0099050F"/>
    <w:rsid w:val="00990577"/>
    <w:rsid w:val="0099079F"/>
    <w:rsid w:val="0099103F"/>
    <w:rsid w:val="00991726"/>
    <w:rsid w:val="00991A81"/>
    <w:rsid w:val="00991E57"/>
    <w:rsid w:val="00992586"/>
    <w:rsid w:val="00992596"/>
    <w:rsid w:val="0099271B"/>
    <w:rsid w:val="009928DB"/>
    <w:rsid w:val="00992DA4"/>
    <w:rsid w:val="00992E8D"/>
    <w:rsid w:val="00992FD2"/>
    <w:rsid w:val="009937D7"/>
    <w:rsid w:val="00993955"/>
    <w:rsid w:val="00993DDA"/>
    <w:rsid w:val="00993F96"/>
    <w:rsid w:val="00994D44"/>
    <w:rsid w:val="009952F2"/>
    <w:rsid w:val="00995B50"/>
    <w:rsid w:val="00995C73"/>
    <w:rsid w:val="00995DFD"/>
    <w:rsid w:val="00996231"/>
    <w:rsid w:val="009962A7"/>
    <w:rsid w:val="00996C83"/>
    <w:rsid w:val="0099792D"/>
    <w:rsid w:val="009A008F"/>
    <w:rsid w:val="009A01C4"/>
    <w:rsid w:val="009A094D"/>
    <w:rsid w:val="009A1918"/>
    <w:rsid w:val="009A191E"/>
    <w:rsid w:val="009A200C"/>
    <w:rsid w:val="009A23AA"/>
    <w:rsid w:val="009A2CCA"/>
    <w:rsid w:val="009A2E19"/>
    <w:rsid w:val="009A2E47"/>
    <w:rsid w:val="009A2ED6"/>
    <w:rsid w:val="009A368D"/>
    <w:rsid w:val="009A36CB"/>
    <w:rsid w:val="009A3762"/>
    <w:rsid w:val="009A4265"/>
    <w:rsid w:val="009A4338"/>
    <w:rsid w:val="009A4EC6"/>
    <w:rsid w:val="009A4FDE"/>
    <w:rsid w:val="009A50E8"/>
    <w:rsid w:val="009A5218"/>
    <w:rsid w:val="009A538E"/>
    <w:rsid w:val="009A59FB"/>
    <w:rsid w:val="009A623F"/>
    <w:rsid w:val="009A640A"/>
    <w:rsid w:val="009A6492"/>
    <w:rsid w:val="009A64EB"/>
    <w:rsid w:val="009A65B9"/>
    <w:rsid w:val="009A79E6"/>
    <w:rsid w:val="009A7C7C"/>
    <w:rsid w:val="009B0A5A"/>
    <w:rsid w:val="009B1B04"/>
    <w:rsid w:val="009B2732"/>
    <w:rsid w:val="009B2C20"/>
    <w:rsid w:val="009B3306"/>
    <w:rsid w:val="009B5165"/>
    <w:rsid w:val="009B5629"/>
    <w:rsid w:val="009B6333"/>
    <w:rsid w:val="009B696D"/>
    <w:rsid w:val="009B737A"/>
    <w:rsid w:val="009B748E"/>
    <w:rsid w:val="009B755A"/>
    <w:rsid w:val="009B78F5"/>
    <w:rsid w:val="009C07D5"/>
    <w:rsid w:val="009C0FC5"/>
    <w:rsid w:val="009C14A0"/>
    <w:rsid w:val="009C16F2"/>
    <w:rsid w:val="009C2138"/>
    <w:rsid w:val="009C277E"/>
    <w:rsid w:val="009C36AB"/>
    <w:rsid w:val="009C3B19"/>
    <w:rsid w:val="009C4015"/>
    <w:rsid w:val="009C4106"/>
    <w:rsid w:val="009C4AD0"/>
    <w:rsid w:val="009C51B3"/>
    <w:rsid w:val="009C7398"/>
    <w:rsid w:val="009C782A"/>
    <w:rsid w:val="009C7D5B"/>
    <w:rsid w:val="009D079B"/>
    <w:rsid w:val="009D0DFF"/>
    <w:rsid w:val="009D1C5F"/>
    <w:rsid w:val="009D2199"/>
    <w:rsid w:val="009D2C72"/>
    <w:rsid w:val="009D3234"/>
    <w:rsid w:val="009D3E41"/>
    <w:rsid w:val="009D487B"/>
    <w:rsid w:val="009D4A5E"/>
    <w:rsid w:val="009D4DD5"/>
    <w:rsid w:val="009D508E"/>
    <w:rsid w:val="009D57C7"/>
    <w:rsid w:val="009D582A"/>
    <w:rsid w:val="009D5A89"/>
    <w:rsid w:val="009D5E85"/>
    <w:rsid w:val="009D5E89"/>
    <w:rsid w:val="009D643B"/>
    <w:rsid w:val="009D644C"/>
    <w:rsid w:val="009D6AB4"/>
    <w:rsid w:val="009D6AF2"/>
    <w:rsid w:val="009D7498"/>
    <w:rsid w:val="009D7C8D"/>
    <w:rsid w:val="009D7F0E"/>
    <w:rsid w:val="009E037D"/>
    <w:rsid w:val="009E07A1"/>
    <w:rsid w:val="009E08D1"/>
    <w:rsid w:val="009E0E03"/>
    <w:rsid w:val="009E13BD"/>
    <w:rsid w:val="009E1538"/>
    <w:rsid w:val="009E1851"/>
    <w:rsid w:val="009E1C82"/>
    <w:rsid w:val="009E1F5C"/>
    <w:rsid w:val="009E3920"/>
    <w:rsid w:val="009E3BA9"/>
    <w:rsid w:val="009E3C13"/>
    <w:rsid w:val="009E3D3C"/>
    <w:rsid w:val="009E4544"/>
    <w:rsid w:val="009E479C"/>
    <w:rsid w:val="009E5621"/>
    <w:rsid w:val="009E6279"/>
    <w:rsid w:val="009F01F6"/>
    <w:rsid w:val="009F0548"/>
    <w:rsid w:val="009F0D78"/>
    <w:rsid w:val="009F2127"/>
    <w:rsid w:val="009F2409"/>
    <w:rsid w:val="009F24D3"/>
    <w:rsid w:val="009F2EB8"/>
    <w:rsid w:val="009F34ED"/>
    <w:rsid w:val="009F3BF0"/>
    <w:rsid w:val="009F3D05"/>
    <w:rsid w:val="009F4FEA"/>
    <w:rsid w:val="009F5185"/>
    <w:rsid w:val="009F54B7"/>
    <w:rsid w:val="009F6047"/>
    <w:rsid w:val="009F6FEF"/>
    <w:rsid w:val="009F7637"/>
    <w:rsid w:val="009F767E"/>
    <w:rsid w:val="00A0026E"/>
    <w:rsid w:val="00A00352"/>
    <w:rsid w:val="00A02783"/>
    <w:rsid w:val="00A02CE4"/>
    <w:rsid w:val="00A02D23"/>
    <w:rsid w:val="00A02F67"/>
    <w:rsid w:val="00A02FD5"/>
    <w:rsid w:val="00A038B3"/>
    <w:rsid w:val="00A04105"/>
    <w:rsid w:val="00A04210"/>
    <w:rsid w:val="00A04B06"/>
    <w:rsid w:val="00A04BE6"/>
    <w:rsid w:val="00A04F3A"/>
    <w:rsid w:val="00A06A7F"/>
    <w:rsid w:val="00A06E34"/>
    <w:rsid w:val="00A07112"/>
    <w:rsid w:val="00A077A9"/>
    <w:rsid w:val="00A104F8"/>
    <w:rsid w:val="00A10649"/>
    <w:rsid w:val="00A115E7"/>
    <w:rsid w:val="00A1162C"/>
    <w:rsid w:val="00A12694"/>
    <w:rsid w:val="00A12C70"/>
    <w:rsid w:val="00A12ED7"/>
    <w:rsid w:val="00A134C7"/>
    <w:rsid w:val="00A138C3"/>
    <w:rsid w:val="00A13FCF"/>
    <w:rsid w:val="00A14669"/>
    <w:rsid w:val="00A14C98"/>
    <w:rsid w:val="00A1534D"/>
    <w:rsid w:val="00A17693"/>
    <w:rsid w:val="00A17772"/>
    <w:rsid w:val="00A2186F"/>
    <w:rsid w:val="00A21990"/>
    <w:rsid w:val="00A21A94"/>
    <w:rsid w:val="00A224DC"/>
    <w:rsid w:val="00A22950"/>
    <w:rsid w:val="00A23167"/>
    <w:rsid w:val="00A231CC"/>
    <w:rsid w:val="00A2357F"/>
    <w:rsid w:val="00A255EC"/>
    <w:rsid w:val="00A25C70"/>
    <w:rsid w:val="00A26028"/>
    <w:rsid w:val="00A26097"/>
    <w:rsid w:val="00A2728C"/>
    <w:rsid w:val="00A277CF"/>
    <w:rsid w:val="00A30CDB"/>
    <w:rsid w:val="00A30E85"/>
    <w:rsid w:val="00A32112"/>
    <w:rsid w:val="00A32422"/>
    <w:rsid w:val="00A3273F"/>
    <w:rsid w:val="00A32B8E"/>
    <w:rsid w:val="00A339AB"/>
    <w:rsid w:val="00A33EBB"/>
    <w:rsid w:val="00A34025"/>
    <w:rsid w:val="00A34032"/>
    <w:rsid w:val="00A34AD5"/>
    <w:rsid w:val="00A34F6C"/>
    <w:rsid w:val="00A35211"/>
    <w:rsid w:val="00A3542C"/>
    <w:rsid w:val="00A36A6D"/>
    <w:rsid w:val="00A36F9F"/>
    <w:rsid w:val="00A37979"/>
    <w:rsid w:val="00A407DF"/>
    <w:rsid w:val="00A4121C"/>
    <w:rsid w:val="00A41259"/>
    <w:rsid w:val="00A41A55"/>
    <w:rsid w:val="00A422B1"/>
    <w:rsid w:val="00A424BD"/>
    <w:rsid w:val="00A42822"/>
    <w:rsid w:val="00A429EA"/>
    <w:rsid w:val="00A42CEC"/>
    <w:rsid w:val="00A43ECC"/>
    <w:rsid w:val="00A4417C"/>
    <w:rsid w:val="00A44A87"/>
    <w:rsid w:val="00A45530"/>
    <w:rsid w:val="00A455A7"/>
    <w:rsid w:val="00A4592C"/>
    <w:rsid w:val="00A45993"/>
    <w:rsid w:val="00A46B03"/>
    <w:rsid w:val="00A470D3"/>
    <w:rsid w:val="00A47579"/>
    <w:rsid w:val="00A47781"/>
    <w:rsid w:val="00A477CB"/>
    <w:rsid w:val="00A477CC"/>
    <w:rsid w:val="00A47E13"/>
    <w:rsid w:val="00A500CA"/>
    <w:rsid w:val="00A503BD"/>
    <w:rsid w:val="00A50658"/>
    <w:rsid w:val="00A51002"/>
    <w:rsid w:val="00A51669"/>
    <w:rsid w:val="00A516CE"/>
    <w:rsid w:val="00A5173F"/>
    <w:rsid w:val="00A51A9A"/>
    <w:rsid w:val="00A53C02"/>
    <w:rsid w:val="00A54148"/>
    <w:rsid w:val="00A5516B"/>
    <w:rsid w:val="00A5545D"/>
    <w:rsid w:val="00A570E4"/>
    <w:rsid w:val="00A57342"/>
    <w:rsid w:val="00A573B8"/>
    <w:rsid w:val="00A576A6"/>
    <w:rsid w:val="00A601E0"/>
    <w:rsid w:val="00A60DE4"/>
    <w:rsid w:val="00A610C5"/>
    <w:rsid w:val="00A615A1"/>
    <w:rsid w:val="00A6274B"/>
    <w:rsid w:val="00A62C74"/>
    <w:rsid w:val="00A62CAF"/>
    <w:rsid w:val="00A62CEB"/>
    <w:rsid w:val="00A638D7"/>
    <w:rsid w:val="00A6390B"/>
    <w:rsid w:val="00A63D0D"/>
    <w:rsid w:val="00A6498F"/>
    <w:rsid w:val="00A65C52"/>
    <w:rsid w:val="00A65DB0"/>
    <w:rsid w:val="00A65E6B"/>
    <w:rsid w:val="00A65E87"/>
    <w:rsid w:val="00A66244"/>
    <w:rsid w:val="00A6710F"/>
    <w:rsid w:val="00A678B2"/>
    <w:rsid w:val="00A701C5"/>
    <w:rsid w:val="00A71C01"/>
    <w:rsid w:val="00A71E8A"/>
    <w:rsid w:val="00A71EEA"/>
    <w:rsid w:val="00A72B21"/>
    <w:rsid w:val="00A72CF8"/>
    <w:rsid w:val="00A73A7B"/>
    <w:rsid w:val="00A7425A"/>
    <w:rsid w:val="00A747CA"/>
    <w:rsid w:val="00A7515D"/>
    <w:rsid w:val="00A752A7"/>
    <w:rsid w:val="00A75536"/>
    <w:rsid w:val="00A75723"/>
    <w:rsid w:val="00A75FBB"/>
    <w:rsid w:val="00A765BC"/>
    <w:rsid w:val="00A76FF4"/>
    <w:rsid w:val="00A77015"/>
    <w:rsid w:val="00A778D7"/>
    <w:rsid w:val="00A77A7A"/>
    <w:rsid w:val="00A80A7C"/>
    <w:rsid w:val="00A80F92"/>
    <w:rsid w:val="00A81075"/>
    <w:rsid w:val="00A8142B"/>
    <w:rsid w:val="00A81C9D"/>
    <w:rsid w:val="00A81F57"/>
    <w:rsid w:val="00A82308"/>
    <w:rsid w:val="00A83E63"/>
    <w:rsid w:val="00A84084"/>
    <w:rsid w:val="00A8422D"/>
    <w:rsid w:val="00A84344"/>
    <w:rsid w:val="00A854BF"/>
    <w:rsid w:val="00A85694"/>
    <w:rsid w:val="00A85AE8"/>
    <w:rsid w:val="00A85FAE"/>
    <w:rsid w:val="00A86C57"/>
    <w:rsid w:val="00A86CC5"/>
    <w:rsid w:val="00A87FE3"/>
    <w:rsid w:val="00A9001B"/>
    <w:rsid w:val="00A9045D"/>
    <w:rsid w:val="00A9080A"/>
    <w:rsid w:val="00A909F2"/>
    <w:rsid w:val="00A90E7A"/>
    <w:rsid w:val="00A91233"/>
    <w:rsid w:val="00A91CBB"/>
    <w:rsid w:val="00A9290F"/>
    <w:rsid w:val="00A93471"/>
    <w:rsid w:val="00A944FA"/>
    <w:rsid w:val="00A94694"/>
    <w:rsid w:val="00A95A7B"/>
    <w:rsid w:val="00A95E4B"/>
    <w:rsid w:val="00A95E7F"/>
    <w:rsid w:val="00A96486"/>
    <w:rsid w:val="00A96767"/>
    <w:rsid w:val="00A9681E"/>
    <w:rsid w:val="00A97864"/>
    <w:rsid w:val="00AA0FBC"/>
    <w:rsid w:val="00AA0FDF"/>
    <w:rsid w:val="00AA2411"/>
    <w:rsid w:val="00AA2653"/>
    <w:rsid w:val="00AA2D5A"/>
    <w:rsid w:val="00AA2F1B"/>
    <w:rsid w:val="00AA3300"/>
    <w:rsid w:val="00AA36D5"/>
    <w:rsid w:val="00AA47CF"/>
    <w:rsid w:val="00AA4B70"/>
    <w:rsid w:val="00AA4F3B"/>
    <w:rsid w:val="00AA62ED"/>
    <w:rsid w:val="00AA63D2"/>
    <w:rsid w:val="00AA6F19"/>
    <w:rsid w:val="00AA72D6"/>
    <w:rsid w:val="00AA7490"/>
    <w:rsid w:val="00AB0413"/>
    <w:rsid w:val="00AB06D9"/>
    <w:rsid w:val="00AB09DB"/>
    <w:rsid w:val="00AB0B38"/>
    <w:rsid w:val="00AB0D9F"/>
    <w:rsid w:val="00AB16D4"/>
    <w:rsid w:val="00AB19B2"/>
    <w:rsid w:val="00AB29F9"/>
    <w:rsid w:val="00AB2FF9"/>
    <w:rsid w:val="00AB3014"/>
    <w:rsid w:val="00AB3EE3"/>
    <w:rsid w:val="00AB5648"/>
    <w:rsid w:val="00AB58EE"/>
    <w:rsid w:val="00AB6855"/>
    <w:rsid w:val="00AB7B9F"/>
    <w:rsid w:val="00AB7EBB"/>
    <w:rsid w:val="00AC1135"/>
    <w:rsid w:val="00AC18FA"/>
    <w:rsid w:val="00AC2440"/>
    <w:rsid w:val="00AC26ED"/>
    <w:rsid w:val="00AC2759"/>
    <w:rsid w:val="00AC2A64"/>
    <w:rsid w:val="00AC2FB2"/>
    <w:rsid w:val="00AC314D"/>
    <w:rsid w:val="00AC39A3"/>
    <w:rsid w:val="00AC3DB2"/>
    <w:rsid w:val="00AC3E1E"/>
    <w:rsid w:val="00AC52A3"/>
    <w:rsid w:val="00AC5A17"/>
    <w:rsid w:val="00AC6FD6"/>
    <w:rsid w:val="00AC769D"/>
    <w:rsid w:val="00AC791F"/>
    <w:rsid w:val="00AC7A69"/>
    <w:rsid w:val="00AC7BFD"/>
    <w:rsid w:val="00AC7F04"/>
    <w:rsid w:val="00AC7F24"/>
    <w:rsid w:val="00AD027D"/>
    <w:rsid w:val="00AD03B9"/>
    <w:rsid w:val="00AD04D8"/>
    <w:rsid w:val="00AD0512"/>
    <w:rsid w:val="00AD0D8D"/>
    <w:rsid w:val="00AD0EAF"/>
    <w:rsid w:val="00AD0F3B"/>
    <w:rsid w:val="00AD13CB"/>
    <w:rsid w:val="00AD16F9"/>
    <w:rsid w:val="00AD1D2C"/>
    <w:rsid w:val="00AD25F0"/>
    <w:rsid w:val="00AD2C60"/>
    <w:rsid w:val="00AD2CA8"/>
    <w:rsid w:val="00AD3090"/>
    <w:rsid w:val="00AD44C9"/>
    <w:rsid w:val="00AD5178"/>
    <w:rsid w:val="00AD5329"/>
    <w:rsid w:val="00AD5359"/>
    <w:rsid w:val="00AD5770"/>
    <w:rsid w:val="00AD5912"/>
    <w:rsid w:val="00AD6B2F"/>
    <w:rsid w:val="00AD6D99"/>
    <w:rsid w:val="00AD6F66"/>
    <w:rsid w:val="00AD721D"/>
    <w:rsid w:val="00AD78BB"/>
    <w:rsid w:val="00AD7A15"/>
    <w:rsid w:val="00AE0ABF"/>
    <w:rsid w:val="00AE0C69"/>
    <w:rsid w:val="00AE0CE8"/>
    <w:rsid w:val="00AE13A6"/>
    <w:rsid w:val="00AE1594"/>
    <w:rsid w:val="00AE27C7"/>
    <w:rsid w:val="00AE28AA"/>
    <w:rsid w:val="00AE2BB4"/>
    <w:rsid w:val="00AE49AD"/>
    <w:rsid w:val="00AE5403"/>
    <w:rsid w:val="00AE5638"/>
    <w:rsid w:val="00AE5EF4"/>
    <w:rsid w:val="00AE6400"/>
    <w:rsid w:val="00AF06FD"/>
    <w:rsid w:val="00AF0DA0"/>
    <w:rsid w:val="00AF120E"/>
    <w:rsid w:val="00AF1517"/>
    <w:rsid w:val="00AF157A"/>
    <w:rsid w:val="00AF16DA"/>
    <w:rsid w:val="00AF16EE"/>
    <w:rsid w:val="00AF1DB1"/>
    <w:rsid w:val="00AF23B5"/>
    <w:rsid w:val="00AF2468"/>
    <w:rsid w:val="00AF30E1"/>
    <w:rsid w:val="00AF41DA"/>
    <w:rsid w:val="00AF4B40"/>
    <w:rsid w:val="00AF50D5"/>
    <w:rsid w:val="00AF5DD8"/>
    <w:rsid w:val="00AF625A"/>
    <w:rsid w:val="00AF6262"/>
    <w:rsid w:val="00AF6D0C"/>
    <w:rsid w:val="00AF7BD3"/>
    <w:rsid w:val="00AF7CCE"/>
    <w:rsid w:val="00B00071"/>
    <w:rsid w:val="00B00956"/>
    <w:rsid w:val="00B00E80"/>
    <w:rsid w:val="00B015D1"/>
    <w:rsid w:val="00B01607"/>
    <w:rsid w:val="00B016E7"/>
    <w:rsid w:val="00B019F1"/>
    <w:rsid w:val="00B019F6"/>
    <w:rsid w:val="00B01B2C"/>
    <w:rsid w:val="00B0378E"/>
    <w:rsid w:val="00B03C44"/>
    <w:rsid w:val="00B03F8F"/>
    <w:rsid w:val="00B04E6C"/>
    <w:rsid w:val="00B05B4F"/>
    <w:rsid w:val="00B05F21"/>
    <w:rsid w:val="00B061AB"/>
    <w:rsid w:val="00B06587"/>
    <w:rsid w:val="00B0677E"/>
    <w:rsid w:val="00B067F5"/>
    <w:rsid w:val="00B06A20"/>
    <w:rsid w:val="00B06D0B"/>
    <w:rsid w:val="00B07011"/>
    <w:rsid w:val="00B070E4"/>
    <w:rsid w:val="00B07556"/>
    <w:rsid w:val="00B076BD"/>
    <w:rsid w:val="00B111B6"/>
    <w:rsid w:val="00B11708"/>
    <w:rsid w:val="00B11DB6"/>
    <w:rsid w:val="00B1207F"/>
    <w:rsid w:val="00B122FA"/>
    <w:rsid w:val="00B1247D"/>
    <w:rsid w:val="00B12B5A"/>
    <w:rsid w:val="00B1301E"/>
    <w:rsid w:val="00B131B3"/>
    <w:rsid w:val="00B13283"/>
    <w:rsid w:val="00B133A7"/>
    <w:rsid w:val="00B136A8"/>
    <w:rsid w:val="00B13788"/>
    <w:rsid w:val="00B13811"/>
    <w:rsid w:val="00B1399D"/>
    <w:rsid w:val="00B13E9C"/>
    <w:rsid w:val="00B14361"/>
    <w:rsid w:val="00B16ABE"/>
    <w:rsid w:val="00B17D66"/>
    <w:rsid w:val="00B204BB"/>
    <w:rsid w:val="00B20536"/>
    <w:rsid w:val="00B2094B"/>
    <w:rsid w:val="00B2124D"/>
    <w:rsid w:val="00B21F72"/>
    <w:rsid w:val="00B226B8"/>
    <w:rsid w:val="00B22CAF"/>
    <w:rsid w:val="00B22EBE"/>
    <w:rsid w:val="00B23957"/>
    <w:rsid w:val="00B24440"/>
    <w:rsid w:val="00B2548C"/>
    <w:rsid w:val="00B2578A"/>
    <w:rsid w:val="00B25858"/>
    <w:rsid w:val="00B25FEF"/>
    <w:rsid w:val="00B268C1"/>
    <w:rsid w:val="00B269E4"/>
    <w:rsid w:val="00B26BB0"/>
    <w:rsid w:val="00B26C56"/>
    <w:rsid w:val="00B26C6B"/>
    <w:rsid w:val="00B26D04"/>
    <w:rsid w:val="00B2713F"/>
    <w:rsid w:val="00B2748D"/>
    <w:rsid w:val="00B279FA"/>
    <w:rsid w:val="00B311E0"/>
    <w:rsid w:val="00B3132D"/>
    <w:rsid w:val="00B3152E"/>
    <w:rsid w:val="00B31B63"/>
    <w:rsid w:val="00B321C1"/>
    <w:rsid w:val="00B32586"/>
    <w:rsid w:val="00B32E18"/>
    <w:rsid w:val="00B32EA4"/>
    <w:rsid w:val="00B3409B"/>
    <w:rsid w:val="00B34407"/>
    <w:rsid w:val="00B34411"/>
    <w:rsid w:val="00B34A76"/>
    <w:rsid w:val="00B35A2A"/>
    <w:rsid w:val="00B36700"/>
    <w:rsid w:val="00B379CB"/>
    <w:rsid w:val="00B37F31"/>
    <w:rsid w:val="00B4083A"/>
    <w:rsid w:val="00B408EA"/>
    <w:rsid w:val="00B408FC"/>
    <w:rsid w:val="00B42291"/>
    <w:rsid w:val="00B42449"/>
    <w:rsid w:val="00B42B9B"/>
    <w:rsid w:val="00B42D20"/>
    <w:rsid w:val="00B434D1"/>
    <w:rsid w:val="00B435DF"/>
    <w:rsid w:val="00B439CA"/>
    <w:rsid w:val="00B44223"/>
    <w:rsid w:val="00B447A1"/>
    <w:rsid w:val="00B44AFD"/>
    <w:rsid w:val="00B45A20"/>
    <w:rsid w:val="00B45E8D"/>
    <w:rsid w:val="00B461F3"/>
    <w:rsid w:val="00B4671F"/>
    <w:rsid w:val="00B46C8B"/>
    <w:rsid w:val="00B476D3"/>
    <w:rsid w:val="00B4795C"/>
    <w:rsid w:val="00B509CB"/>
    <w:rsid w:val="00B51847"/>
    <w:rsid w:val="00B51A9D"/>
    <w:rsid w:val="00B51C9A"/>
    <w:rsid w:val="00B51E45"/>
    <w:rsid w:val="00B5225E"/>
    <w:rsid w:val="00B52661"/>
    <w:rsid w:val="00B535D9"/>
    <w:rsid w:val="00B53913"/>
    <w:rsid w:val="00B541BF"/>
    <w:rsid w:val="00B544DD"/>
    <w:rsid w:val="00B55928"/>
    <w:rsid w:val="00B568A9"/>
    <w:rsid w:val="00B608B4"/>
    <w:rsid w:val="00B61ECD"/>
    <w:rsid w:val="00B61FA3"/>
    <w:rsid w:val="00B62000"/>
    <w:rsid w:val="00B62695"/>
    <w:rsid w:val="00B6286D"/>
    <w:rsid w:val="00B6325F"/>
    <w:rsid w:val="00B636CC"/>
    <w:rsid w:val="00B63C18"/>
    <w:rsid w:val="00B645D3"/>
    <w:rsid w:val="00B64B29"/>
    <w:rsid w:val="00B64C6D"/>
    <w:rsid w:val="00B6571D"/>
    <w:rsid w:val="00B65B60"/>
    <w:rsid w:val="00B65F9D"/>
    <w:rsid w:val="00B66447"/>
    <w:rsid w:val="00B66DE0"/>
    <w:rsid w:val="00B6756C"/>
    <w:rsid w:val="00B678B1"/>
    <w:rsid w:val="00B67C31"/>
    <w:rsid w:val="00B70A0A"/>
    <w:rsid w:val="00B70A14"/>
    <w:rsid w:val="00B71308"/>
    <w:rsid w:val="00B71892"/>
    <w:rsid w:val="00B73B25"/>
    <w:rsid w:val="00B747F0"/>
    <w:rsid w:val="00B747F4"/>
    <w:rsid w:val="00B74FD2"/>
    <w:rsid w:val="00B750F3"/>
    <w:rsid w:val="00B75A2B"/>
    <w:rsid w:val="00B75BA4"/>
    <w:rsid w:val="00B75D0D"/>
    <w:rsid w:val="00B76085"/>
    <w:rsid w:val="00B7624D"/>
    <w:rsid w:val="00B76700"/>
    <w:rsid w:val="00B7675B"/>
    <w:rsid w:val="00B768E6"/>
    <w:rsid w:val="00B775EC"/>
    <w:rsid w:val="00B77A22"/>
    <w:rsid w:val="00B77B44"/>
    <w:rsid w:val="00B80014"/>
    <w:rsid w:val="00B80138"/>
    <w:rsid w:val="00B801E6"/>
    <w:rsid w:val="00B80705"/>
    <w:rsid w:val="00B80D5E"/>
    <w:rsid w:val="00B82380"/>
    <w:rsid w:val="00B82399"/>
    <w:rsid w:val="00B8312B"/>
    <w:rsid w:val="00B84195"/>
    <w:rsid w:val="00B84206"/>
    <w:rsid w:val="00B84584"/>
    <w:rsid w:val="00B84E7E"/>
    <w:rsid w:val="00B8519F"/>
    <w:rsid w:val="00B858AF"/>
    <w:rsid w:val="00B8631F"/>
    <w:rsid w:val="00B8646D"/>
    <w:rsid w:val="00B8686A"/>
    <w:rsid w:val="00B86CAA"/>
    <w:rsid w:val="00B90554"/>
    <w:rsid w:val="00B908B1"/>
    <w:rsid w:val="00B91C3A"/>
    <w:rsid w:val="00B91D78"/>
    <w:rsid w:val="00B923B5"/>
    <w:rsid w:val="00B92CDC"/>
    <w:rsid w:val="00B933FE"/>
    <w:rsid w:val="00B93ADB"/>
    <w:rsid w:val="00B93DB3"/>
    <w:rsid w:val="00B95EA9"/>
    <w:rsid w:val="00B95F95"/>
    <w:rsid w:val="00B962D0"/>
    <w:rsid w:val="00B969FB"/>
    <w:rsid w:val="00B96D54"/>
    <w:rsid w:val="00B9741C"/>
    <w:rsid w:val="00B97597"/>
    <w:rsid w:val="00B977CE"/>
    <w:rsid w:val="00B979F9"/>
    <w:rsid w:val="00BA0657"/>
    <w:rsid w:val="00BA0A9E"/>
    <w:rsid w:val="00BA10E3"/>
    <w:rsid w:val="00BA1CD2"/>
    <w:rsid w:val="00BA246F"/>
    <w:rsid w:val="00BA25D1"/>
    <w:rsid w:val="00BA3295"/>
    <w:rsid w:val="00BA3BEB"/>
    <w:rsid w:val="00BA3C13"/>
    <w:rsid w:val="00BA3D2F"/>
    <w:rsid w:val="00BA4730"/>
    <w:rsid w:val="00BA49AA"/>
    <w:rsid w:val="00BA4C01"/>
    <w:rsid w:val="00BA55AF"/>
    <w:rsid w:val="00BA5805"/>
    <w:rsid w:val="00BA5BF3"/>
    <w:rsid w:val="00BA63E5"/>
    <w:rsid w:val="00BA688F"/>
    <w:rsid w:val="00BA6A7F"/>
    <w:rsid w:val="00BA7349"/>
    <w:rsid w:val="00BA74E2"/>
    <w:rsid w:val="00BA7AEF"/>
    <w:rsid w:val="00BB08B1"/>
    <w:rsid w:val="00BB09CB"/>
    <w:rsid w:val="00BB0CE9"/>
    <w:rsid w:val="00BB10F2"/>
    <w:rsid w:val="00BB1411"/>
    <w:rsid w:val="00BB171C"/>
    <w:rsid w:val="00BB1CF3"/>
    <w:rsid w:val="00BB229A"/>
    <w:rsid w:val="00BB280F"/>
    <w:rsid w:val="00BB2C66"/>
    <w:rsid w:val="00BB2E70"/>
    <w:rsid w:val="00BB3506"/>
    <w:rsid w:val="00BB3780"/>
    <w:rsid w:val="00BB38FF"/>
    <w:rsid w:val="00BB3DD4"/>
    <w:rsid w:val="00BB4117"/>
    <w:rsid w:val="00BB4368"/>
    <w:rsid w:val="00BB437D"/>
    <w:rsid w:val="00BB4685"/>
    <w:rsid w:val="00BB5540"/>
    <w:rsid w:val="00BB6175"/>
    <w:rsid w:val="00BB6E92"/>
    <w:rsid w:val="00BB6FC8"/>
    <w:rsid w:val="00BB71E0"/>
    <w:rsid w:val="00BB748D"/>
    <w:rsid w:val="00BB7B0E"/>
    <w:rsid w:val="00BC05F3"/>
    <w:rsid w:val="00BC15CF"/>
    <w:rsid w:val="00BC25B7"/>
    <w:rsid w:val="00BC2BD4"/>
    <w:rsid w:val="00BC2CD3"/>
    <w:rsid w:val="00BC3050"/>
    <w:rsid w:val="00BC3399"/>
    <w:rsid w:val="00BC33F6"/>
    <w:rsid w:val="00BC46C4"/>
    <w:rsid w:val="00BC4744"/>
    <w:rsid w:val="00BC4C6B"/>
    <w:rsid w:val="00BC4D0A"/>
    <w:rsid w:val="00BC6C92"/>
    <w:rsid w:val="00BC6DF6"/>
    <w:rsid w:val="00BC6EF0"/>
    <w:rsid w:val="00BC7153"/>
    <w:rsid w:val="00BC7254"/>
    <w:rsid w:val="00BD0362"/>
    <w:rsid w:val="00BD047E"/>
    <w:rsid w:val="00BD0590"/>
    <w:rsid w:val="00BD061B"/>
    <w:rsid w:val="00BD0F61"/>
    <w:rsid w:val="00BD1202"/>
    <w:rsid w:val="00BD133B"/>
    <w:rsid w:val="00BD13C8"/>
    <w:rsid w:val="00BD1A60"/>
    <w:rsid w:val="00BD1CBB"/>
    <w:rsid w:val="00BD221B"/>
    <w:rsid w:val="00BD2720"/>
    <w:rsid w:val="00BD2CD8"/>
    <w:rsid w:val="00BD2D00"/>
    <w:rsid w:val="00BD2D26"/>
    <w:rsid w:val="00BD3400"/>
    <w:rsid w:val="00BD3568"/>
    <w:rsid w:val="00BD36DB"/>
    <w:rsid w:val="00BD3A28"/>
    <w:rsid w:val="00BD4049"/>
    <w:rsid w:val="00BD42AF"/>
    <w:rsid w:val="00BD4CCA"/>
    <w:rsid w:val="00BD4CF3"/>
    <w:rsid w:val="00BD4FC2"/>
    <w:rsid w:val="00BD59BF"/>
    <w:rsid w:val="00BD59E7"/>
    <w:rsid w:val="00BD5FEE"/>
    <w:rsid w:val="00BD612D"/>
    <w:rsid w:val="00BD615D"/>
    <w:rsid w:val="00BD7538"/>
    <w:rsid w:val="00BD79CF"/>
    <w:rsid w:val="00BD7AAA"/>
    <w:rsid w:val="00BD7B13"/>
    <w:rsid w:val="00BD7E98"/>
    <w:rsid w:val="00BE0011"/>
    <w:rsid w:val="00BE0227"/>
    <w:rsid w:val="00BE034E"/>
    <w:rsid w:val="00BE08FD"/>
    <w:rsid w:val="00BE0AF4"/>
    <w:rsid w:val="00BE11EF"/>
    <w:rsid w:val="00BE16E3"/>
    <w:rsid w:val="00BE288A"/>
    <w:rsid w:val="00BE2D44"/>
    <w:rsid w:val="00BE2DAA"/>
    <w:rsid w:val="00BE2ED4"/>
    <w:rsid w:val="00BE3141"/>
    <w:rsid w:val="00BE31AF"/>
    <w:rsid w:val="00BE346F"/>
    <w:rsid w:val="00BE36D3"/>
    <w:rsid w:val="00BE3F8B"/>
    <w:rsid w:val="00BE4281"/>
    <w:rsid w:val="00BE4599"/>
    <w:rsid w:val="00BE59A4"/>
    <w:rsid w:val="00BE5AF8"/>
    <w:rsid w:val="00BE5BBC"/>
    <w:rsid w:val="00BE5DFF"/>
    <w:rsid w:val="00BE6232"/>
    <w:rsid w:val="00BE6F97"/>
    <w:rsid w:val="00BE702F"/>
    <w:rsid w:val="00BE7CA1"/>
    <w:rsid w:val="00BF0D46"/>
    <w:rsid w:val="00BF0F8C"/>
    <w:rsid w:val="00BF12D0"/>
    <w:rsid w:val="00BF156B"/>
    <w:rsid w:val="00BF227C"/>
    <w:rsid w:val="00BF27E1"/>
    <w:rsid w:val="00BF3D2F"/>
    <w:rsid w:val="00BF42CA"/>
    <w:rsid w:val="00BF43DF"/>
    <w:rsid w:val="00BF4DB6"/>
    <w:rsid w:val="00BF4E36"/>
    <w:rsid w:val="00BF4E55"/>
    <w:rsid w:val="00BF50C0"/>
    <w:rsid w:val="00BF6382"/>
    <w:rsid w:val="00BF667C"/>
    <w:rsid w:val="00BF69F0"/>
    <w:rsid w:val="00C0061B"/>
    <w:rsid w:val="00C011CA"/>
    <w:rsid w:val="00C01D59"/>
    <w:rsid w:val="00C01E72"/>
    <w:rsid w:val="00C0205E"/>
    <w:rsid w:val="00C02166"/>
    <w:rsid w:val="00C02552"/>
    <w:rsid w:val="00C02748"/>
    <w:rsid w:val="00C02DD4"/>
    <w:rsid w:val="00C03BC5"/>
    <w:rsid w:val="00C03DF6"/>
    <w:rsid w:val="00C040A5"/>
    <w:rsid w:val="00C04111"/>
    <w:rsid w:val="00C041ED"/>
    <w:rsid w:val="00C045C0"/>
    <w:rsid w:val="00C04690"/>
    <w:rsid w:val="00C0475F"/>
    <w:rsid w:val="00C04BF9"/>
    <w:rsid w:val="00C05032"/>
    <w:rsid w:val="00C05093"/>
    <w:rsid w:val="00C0515E"/>
    <w:rsid w:val="00C0572A"/>
    <w:rsid w:val="00C057C2"/>
    <w:rsid w:val="00C05ED7"/>
    <w:rsid w:val="00C0617A"/>
    <w:rsid w:val="00C07280"/>
    <w:rsid w:val="00C07BA7"/>
    <w:rsid w:val="00C1054F"/>
    <w:rsid w:val="00C10825"/>
    <w:rsid w:val="00C10977"/>
    <w:rsid w:val="00C10D8D"/>
    <w:rsid w:val="00C12018"/>
    <w:rsid w:val="00C13FF4"/>
    <w:rsid w:val="00C14CCF"/>
    <w:rsid w:val="00C15004"/>
    <w:rsid w:val="00C1515D"/>
    <w:rsid w:val="00C15CF2"/>
    <w:rsid w:val="00C15D7A"/>
    <w:rsid w:val="00C15E2D"/>
    <w:rsid w:val="00C15EC7"/>
    <w:rsid w:val="00C1636B"/>
    <w:rsid w:val="00C16F04"/>
    <w:rsid w:val="00C17438"/>
    <w:rsid w:val="00C174D3"/>
    <w:rsid w:val="00C17825"/>
    <w:rsid w:val="00C17C0F"/>
    <w:rsid w:val="00C17F40"/>
    <w:rsid w:val="00C20459"/>
    <w:rsid w:val="00C20539"/>
    <w:rsid w:val="00C20E1C"/>
    <w:rsid w:val="00C20E42"/>
    <w:rsid w:val="00C20EFA"/>
    <w:rsid w:val="00C210C7"/>
    <w:rsid w:val="00C21D63"/>
    <w:rsid w:val="00C21E0B"/>
    <w:rsid w:val="00C223B7"/>
    <w:rsid w:val="00C22635"/>
    <w:rsid w:val="00C226FE"/>
    <w:rsid w:val="00C22757"/>
    <w:rsid w:val="00C228D8"/>
    <w:rsid w:val="00C22D04"/>
    <w:rsid w:val="00C22EC8"/>
    <w:rsid w:val="00C22FB1"/>
    <w:rsid w:val="00C2322B"/>
    <w:rsid w:val="00C239EE"/>
    <w:rsid w:val="00C24D1A"/>
    <w:rsid w:val="00C2510E"/>
    <w:rsid w:val="00C2514C"/>
    <w:rsid w:val="00C262A2"/>
    <w:rsid w:val="00C2736C"/>
    <w:rsid w:val="00C27E2B"/>
    <w:rsid w:val="00C27F59"/>
    <w:rsid w:val="00C30064"/>
    <w:rsid w:val="00C326D0"/>
    <w:rsid w:val="00C32EB5"/>
    <w:rsid w:val="00C33B3A"/>
    <w:rsid w:val="00C34566"/>
    <w:rsid w:val="00C34957"/>
    <w:rsid w:val="00C34A16"/>
    <w:rsid w:val="00C34A71"/>
    <w:rsid w:val="00C35248"/>
    <w:rsid w:val="00C357A2"/>
    <w:rsid w:val="00C361A3"/>
    <w:rsid w:val="00C367D3"/>
    <w:rsid w:val="00C36CBC"/>
    <w:rsid w:val="00C37727"/>
    <w:rsid w:val="00C379E8"/>
    <w:rsid w:val="00C37E0F"/>
    <w:rsid w:val="00C37FE0"/>
    <w:rsid w:val="00C4061D"/>
    <w:rsid w:val="00C4250C"/>
    <w:rsid w:val="00C42DEE"/>
    <w:rsid w:val="00C434A3"/>
    <w:rsid w:val="00C44027"/>
    <w:rsid w:val="00C44CE5"/>
    <w:rsid w:val="00C455AD"/>
    <w:rsid w:val="00C45A01"/>
    <w:rsid w:val="00C45F0C"/>
    <w:rsid w:val="00C45F25"/>
    <w:rsid w:val="00C4695B"/>
    <w:rsid w:val="00C46A46"/>
    <w:rsid w:val="00C472A8"/>
    <w:rsid w:val="00C472D1"/>
    <w:rsid w:val="00C47455"/>
    <w:rsid w:val="00C47725"/>
    <w:rsid w:val="00C4787C"/>
    <w:rsid w:val="00C47C39"/>
    <w:rsid w:val="00C47F22"/>
    <w:rsid w:val="00C47F58"/>
    <w:rsid w:val="00C50175"/>
    <w:rsid w:val="00C50903"/>
    <w:rsid w:val="00C50CAC"/>
    <w:rsid w:val="00C51052"/>
    <w:rsid w:val="00C51326"/>
    <w:rsid w:val="00C51FEA"/>
    <w:rsid w:val="00C5227A"/>
    <w:rsid w:val="00C5231F"/>
    <w:rsid w:val="00C52748"/>
    <w:rsid w:val="00C52E49"/>
    <w:rsid w:val="00C539B5"/>
    <w:rsid w:val="00C53D12"/>
    <w:rsid w:val="00C54E86"/>
    <w:rsid w:val="00C54EC4"/>
    <w:rsid w:val="00C55511"/>
    <w:rsid w:val="00C55DD1"/>
    <w:rsid w:val="00C61173"/>
    <w:rsid w:val="00C61AD4"/>
    <w:rsid w:val="00C61C6F"/>
    <w:rsid w:val="00C61F4A"/>
    <w:rsid w:val="00C624DC"/>
    <w:rsid w:val="00C62508"/>
    <w:rsid w:val="00C630D0"/>
    <w:rsid w:val="00C63443"/>
    <w:rsid w:val="00C637D8"/>
    <w:rsid w:val="00C63BA0"/>
    <w:rsid w:val="00C64240"/>
    <w:rsid w:val="00C6437C"/>
    <w:rsid w:val="00C64C9F"/>
    <w:rsid w:val="00C64D43"/>
    <w:rsid w:val="00C64F11"/>
    <w:rsid w:val="00C65961"/>
    <w:rsid w:val="00C65DE7"/>
    <w:rsid w:val="00C6601D"/>
    <w:rsid w:val="00C66763"/>
    <w:rsid w:val="00C66822"/>
    <w:rsid w:val="00C66A6C"/>
    <w:rsid w:val="00C671A3"/>
    <w:rsid w:val="00C67CFA"/>
    <w:rsid w:val="00C701DA"/>
    <w:rsid w:val="00C705AD"/>
    <w:rsid w:val="00C70C7B"/>
    <w:rsid w:val="00C70E2A"/>
    <w:rsid w:val="00C71281"/>
    <w:rsid w:val="00C714C2"/>
    <w:rsid w:val="00C71782"/>
    <w:rsid w:val="00C718E1"/>
    <w:rsid w:val="00C7205D"/>
    <w:rsid w:val="00C723E1"/>
    <w:rsid w:val="00C72A68"/>
    <w:rsid w:val="00C72BE4"/>
    <w:rsid w:val="00C72EC3"/>
    <w:rsid w:val="00C730C1"/>
    <w:rsid w:val="00C7357C"/>
    <w:rsid w:val="00C73E72"/>
    <w:rsid w:val="00C7422E"/>
    <w:rsid w:val="00C749CB"/>
    <w:rsid w:val="00C752B8"/>
    <w:rsid w:val="00C75F7D"/>
    <w:rsid w:val="00C76AB9"/>
    <w:rsid w:val="00C76E8D"/>
    <w:rsid w:val="00C770D3"/>
    <w:rsid w:val="00C772AE"/>
    <w:rsid w:val="00C77524"/>
    <w:rsid w:val="00C776BB"/>
    <w:rsid w:val="00C77B9D"/>
    <w:rsid w:val="00C80165"/>
    <w:rsid w:val="00C801E5"/>
    <w:rsid w:val="00C807F1"/>
    <w:rsid w:val="00C80FC8"/>
    <w:rsid w:val="00C81E89"/>
    <w:rsid w:val="00C82AAC"/>
    <w:rsid w:val="00C8329C"/>
    <w:rsid w:val="00C84056"/>
    <w:rsid w:val="00C84D2E"/>
    <w:rsid w:val="00C85181"/>
    <w:rsid w:val="00C85A82"/>
    <w:rsid w:val="00C86638"/>
    <w:rsid w:val="00C869FA"/>
    <w:rsid w:val="00C86A43"/>
    <w:rsid w:val="00C86FC1"/>
    <w:rsid w:val="00C87AA2"/>
    <w:rsid w:val="00C913FD"/>
    <w:rsid w:val="00C91449"/>
    <w:rsid w:val="00C91C0D"/>
    <w:rsid w:val="00C921EF"/>
    <w:rsid w:val="00C9221A"/>
    <w:rsid w:val="00C92963"/>
    <w:rsid w:val="00C9296F"/>
    <w:rsid w:val="00C9314B"/>
    <w:rsid w:val="00C935EA"/>
    <w:rsid w:val="00C936D4"/>
    <w:rsid w:val="00C93D32"/>
    <w:rsid w:val="00C9417F"/>
    <w:rsid w:val="00C941FF"/>
    <w:rsid w:val="00C94C2B"/>
    <w:rsid w:val="00C95107"/>
    <w:rsid w:val="00C9518A"/>
    <w:rsid w:val="00C95439"/>
    <w:rsid w:val="00C95ACC"/>
    <w:rsid w:val="00C95E23"/>
    <w:rsid w:val="00C95ECB"/>
    <w:rsid w:val="00C96802"/>
    <w:rsid w:val="00C96CEA"/>
    <w:rsid w:val="00C97119"/>
    <w:rsid w:val="00C9712E"/>
    <w:rsid w:val="00C97FF1"/>
    <w:rsid w:val="00CA076B"/>
    <w:rsid w:val="00CA07BD"/>
    <w:rsid w:val="00CA086C"/>
    <w:rsid w:val="00CA1DEC"/>
    <w:rsid w:val="00CA2C5C"/>
    <w:rsid w:val="00CA2D5C"/>
    <w:rsid w:val="00CA2D98"/>
    <w:rsid w:val="00CA360E"/>
    <w:rsid w:val="00CA3679"/>
    <w:rsid w:val="00CA3E92"/>
    <w:rsid w:val="00CA3F51"/>
    <w:rsid w:val="00CA493D"/>
    <w:rsid w:val="00CA4CDC"/>
    <w:rsid w:val="00CA61FB"/>
    <w:rsid w:val="00CA6470"/>
    <w:rsid w:val="00CA6570"/>
    <w:rsid w:val="00CA6920"/>
    <w:rsid w:val="00CA6B97"/>
    <w:rsid w:val="00CA6CDE"/>
    <w:rsid w:val="00CA78D8"/>
    <w:rsid w:val="00CA7BD4"/>
    <w:rsid w:val="00CB0270"/>
    <w:rsid w:val="00CB0924"/>
    <w:rsid w:val="00CB0E3A"/>
    <w:rsid w:val="00CB1685"/>
    <w:rsid w:val="00CB1AD6"/>
    <w:rsid w:val="00CB1F59"/>
    <w:rsid w:val="00CB2F9A"/>
    <w:rsid w:val="00CB3318"/>
    <w:rsid w:val="00CB340F"/>
    <w:rsid w:val="00CB36F6"/>
    <w:rsid w:val="00CB3B3F"/>
    <w:rsid w:val="00CB3FA0"/>
    <w:rsid w:val="00CB41DD"/>
    <w:rsid w:val="00CB4B70"/>
    <w:rsid w:val="00CB4EBB"/>
    <w:rsid w:val="00CB5C05"/>
    <w:rsid w:val="00CB5D44"/>
    <w:rsid w:val="00CB68AA"/>
    <w:rsid w:val="00CB7C33"/>
    <w:rsid w:val="00CC01BD"/>
    <w:rsid w:val="00CC0A90"/>
    <w:rsid w:val="00CC1425"/>
    <w:rsid w:val="00CC1B59"/>
    <w:rsid w:val="00CC2401"/>
    <w:rsid w:val="00CC259A"/>
    <w:rsid w:val="00CC2648"/>
    <w:rsid w:val="00CC2C55"/>
    <w:rsid w:val="00CC3001"/>
    <w:rsid w:val="00CC37FC"/>
    <w:rsid w:val="00CC4D38"/>
    <w:rsid w:val="00CC5364"/>
    <w:rsid w:val="00CC6361"/>
    <w:rsid w:val="00CC70EB"/>
    <w:rsid w:val="00CC7562"/>
    <w:rsid w:val="00CD0836"/>
    <w:rsid w:val="00CD0A1C"/>
    <w:rsid w:val="00CD0D96"/>
    <w:rsid w:val="00CD0F03"/>
    <w:rsid w:val="00CD1318"/>
    <w:rsid w:val="00CD1B16"/>
    <w:rsid w:val="00CD1FAC"/>
    <w:rsid w:val="00CD2182"/>
    <w:rsid w:val="00CD2698"/>
    <w:rsid w:val="00CD2771"/>
    <w:rsid w:val="00CD2C8F"/>
    <w:rsid w:val="00CD2D30"/>
    <w:rsid w:val="00CD3705"/>
    <w:rsid w:val="00CD3F57"/>
    <w:rsid w:val="00CD40AB"/>
    <w:rsid w:val="00CD4D2F"/>
    <w:rsid w:val="00CD4F2A"/>
    <w:rsid w:val="00CD5136"/>
    <w:rsid w:val="00CD5D7A"/>
    <w:rsid w:val="00CD622C"/>
    <w:rsid w:val="00CD6611"/>
    <w:rsid w:val="00CD6666"/>
    <w:rsid w:val="00CD6AA8"/>
    <w:rsid w:val="00CD6AB0"/>
    <w:rsid w:val="00CD6EFC"/>
    <w:rsid w:val="00CD76B1"/>
    <w:rsid w:val="00CE0955"/>
    <w:rsid w:val="00CE0FC2"/>
    <w:rsid w:val="00CE101E"/>
    <w:rsid w:val="00CE1251"/>
    <w:rsid w:val="00CE1533"/>
    <w:rsid w:val="00CE161A"/>
    <w:rsid w:val="00CE1BC3"/>
    <w:rsid w:val="00CE1D1C"/>
    <w:rsid w:val="00CE1F19"/>
    <w:rsid w:val="00CE2D21"/>
    <w:rsid w:val="00CE321B"/>
    <w:rsid w:val="00CE32C8"/>
    <w:rsid w:val="00CE34AB"/>
    <w:rsid w:val="00CE361F"/>
    <w:rsid w:val="00CE3771"/>
    <w:rsid w:val="00CE37EC"/>
    <w:rsid w:val="00CE3D39"/>
    <w:rsid w:val="00CE4523"/>
    <w:rsid w:val="00CE5250"/>
    <w:rsid w:val="00CE575C"/>
    <w:rsid w:val="00CE5E48"/>
    <w:rsid w:val="00CE7B96"/>
    <w:rsid w:val="00CF065B"/>
    <w:rsid w:val="00CF08DE"/>
    <w:rsid w:val="00CF0E32"/>
    <w:rsid w:val="00CF0EF0"/>
    <w:rsid w:val="00CF1191"/>
    <w:rsid w:val="00CF16D3"/>
    <w:rsid w:val="00CF2334"/>
    <w:rsid w:val="00CF369B"/>
    <w:rsid w:val="00CF3779"/>
    <w:rsid w:val="00CF4339"/>
    <w:rsid w:val="00CF43F4"/>
    <w:rsid w:val="00CF4412"/>
    <w:rsid w:val="00CF5166"/>
    <w:rsid w:val="00CF54DC"/>
    <w:rsid w:val="00CF59CF"/>
    <w:rsid w:val="00CF5D1A"/>
    <w:rsid w:val="00CF5E56"/>
    <w:rsid w:val="00CF65EC"/>
    <w:rsid w:val="00CF66A6"/>
    <w:rsid w:val="00CF690C"/>
    <w:rsid w:val="00CF770E"/>
    <w:rsid w:val="00CF7F40"/>
    <w:rsid w:val="00D01029"/>
    <w:rsid w:val="00D01191"/>
    <w:rsid w:val="00D025CC"/>
    <w:rsid w:val="00D02659"/>
    <w:rsid w:val="00D02C42"/>
    <w:rsid w:val="00D02FC8"/>
    <w:rsid w:val="00D03D6C"/>
    <w:rsid w:val="00D047FF"/>
    <w:rsid w:val="00D05257"/>
    <w:rsid w:val="00D05335"/>
    <w:rsid w:val="00D05AC6"/>
    <w:rsid w:val="00D06355"/>
    <w:rsid w:val="00D06653"/>
    <w:rsid w:val="00D067D5"/>
    <w:rsid w:val="00D06CBC"/>
    <w:rsid w:val="00D06F17"/>
    <w:rsid w:val="00D06FD7"/>
    <w:rsid w:val="00D071E2"/>
    <w:rsid w:val="00D073E6"/>
    <w:rsid w:val="00D1054C"/>
    <w:rsid w:val="00D1060D"/>
    <w:rsid w:val="00D1087A"/>
    <w:rsid w:val="00D1155C"/>
    <w:rsid w:val="00D11B6D"/>
    <w:rsid w:val="00D12A92"/>
    <w:rsid w:val="00D12AA5"/>
    <w:rsid w:val="00D12B56"/>
    <w:rsid w:val="00D12E84"/>
    <w:rsid w:val="00D132D2"/>
    <w:rsid w:val="00D1339B"/>
    <w:rsid w:val="00D1367C"/>
    <w:rsid w:val="00D146F3"/>
    <w:rsid w:val="00D14762"/>
    <w:rsid w:val="00D15A4E"/>
    <w:rsid w:val="00D15D57"/>
    <w:rsid w:val="00D15E74"/>
    <w:rsid w:val="00D177BB"/>
    <w:rsid w:val="00D21272"/>
    <w:rsid w:val="00D216DD"/>
    <w:rsid w:val="00D21DBE"/>
    <w:rsid w:val="00D2254D"/>
    <w:rsid w:val="00D244E6"/>
    <w:rsid w:val="00D24708"/>
    <w:rsid w:val="00D248E4"/>
    <w:rsid w:val="00D2497E"/>
    <w:rsid w:val="00D24C61"/>
    <w:rsid w:val="00D24D3F"/>
    <w:rsid w:val="00D2596A"/>
    <w:rsid w:val="00D26687"/>
    <w:rsid w:val="00D26897"/>
    <w:rsid w:val="00D26B77"/>
    <w:rsid w:val="00D27019"/>
    <w:rsid w:val="00D27F5B"/>
    <w:rsid w:val="00D30536"/>
    <w:rsid w:val="00D31FD4"/>
    <w:rsid w:val="00D330BC"/>
    <w:rsid w:val="00D33916"/>
    <w:rsid w:val="00D33A23"/>
    <w:rsid w:val="00D33A7B"/>
    <w:rsid w:val="00D34056"/>
    <w:rsid w:val="00D341E1"/>
    <w:rsid w:val="00D349C3"/>
    <w:rsid w:val="00D34BEA"/>
    <w:rsid w:val="00D35D02"/>
    <w:rsid w:val="00D35EE0"/>
    <w:rsid w:val="00D3603D"/>
    <w:rsid w:val="00D361D3"/>
    <w:rsid w:val="00D36873"/>
    <w:rsid w:val="00D368DD"/>
    <w:rsid w:val="00D36ADA"/>
    <w:rsid w:val="00D36E0F"/>
    <w:rsid w:val="00D374CA"/>
    <w:rsid w:val="00D37E58"/>
    <w:rsid w:val="00D4006C"/>
    <w:rsid w:val="00D402AD"/>
    <w:rsid w:val="00D40351"/>
    <w:rsid w:val="00D407F2"/>
    <w:rsid w:val="00D407F3"/>
    <w:rsid w:val="00D4093B"/>
    <w:rsid w:val="00D40EEA"/>
    <w:rsid w:val="00D4136D"/>
    <w:rsid w:val="00D41609"/>
    <w:rsid w:val="00D41781"/>
    <w:rsid w:val="00D417B4"/>
    <w:rsid w:val="00D4182F"/>
    <w:rsid w:val="00D43547"/>
    <w:rsid w:val="00D44054"/>
    <w:rsid w:val="00D440E7"/>
    <w:rsid w:val="00D44163"/>
    <w:rsid w:val="00D44661"/>
    <w:rsid w:val="00D4471F"/>
    <w:rsid w:val="00D457A7"/>
    <w:rsid w:val="00D458E5"/>
    <w:rsid w:val="00D4622E"/>
    <w:rsid w:val="00D46DB4"/>
    <w:rsid w:val="00D47DDC"/>
    <w:rsid w:val="00D504EE"/>
    <w:rsid w:val="00D508DB"/>
    <w:rsid w:val="00D50CD9"/>
    <w:rsid w:val="00D50DFA"/>
    <w:rsid w:val="00D51A2D"/>
    <w:rsid w:val="00D51E1B"/>
    <w:rsid w:val="00D51ED9"/>
    <w:rsid w:val="00D5224A"/>
    <w:rsid w:val="00D524E6"/>
    <w:rsid w:val="00D524ED"/>
    <w:rsid w:val="00D52CC7"/>
    <w:rsid w:val="00D52D40"/>
    <w:rsid w:val="00D53E43"/>
    <w:rsid w:val="00D54055"/>
    <w:rsid w:val="00D54179"/>
    <w:rsid w:val="00D54BDE"/>
    <w:rsid w:val="00D552CE"/>
    <w:rsid w:val="00D558C8"/>
    <w:rsid w:val="00D55FB0"/>
    <w:rsid w:val="00D5628E"/>
    <w:rsid w:val="00D566E5"/>
    <w:rsid w:val="00D569F5"/>
    <w:rsid w:val="00D571DB"/>
    <w:rsid w:val="00D57483"/>
    <w:rsid w:val="00D579B9"/>
    <w:rsid w:val="00D57B19"/>
    <w:rsid w:val="00D57CF5"/>
    <w:rsid w:val="00D57D47"/>
    <w:rsid w:val="00D60F64"/>
    <w:rsid w:val="00D6145F"/>
    <w:rsid w:val="00D6148F"/>
    <w:rsid w:val="00D61C53"/>
    <w:rsid w:val="00D6244F"/>
    <w:rsid w:val="00D62897"/>
    <w:rsid w:val="00D629CE"/>
    <w:rsid w:val="00D62B91"/>
    <w:rsid w:val="00D630CF"/>
    <w:rsid w:val="00D63642"/>
    <w:rsid w:val="00D63D52"/>
    <w:rsid w:val="00D63DFD"/>
    <w:rsid w:val="00D63F2A"/>
    <w:rsid w:val="00D63FF7"/>
    <w:rsid w:val="00D6436A"/>
    <w:rsid w:val="00D657CF"/>
    <w:rsid w:val="00D65B63"/>
    <w:rsid w:val="00D664A5"/>
    <w:rsid w:val="00D6694F"/>
    <w:rsid w:val="00D6720F"/>
    <w:rsid w:val="00D676F4"/>
    <w:rsid w:val="00D715BE"/>
    <w:rsid w:val="00D71CF1"/>
    <w:rsid w:val="00D7203C"/>
    <w:rsid w:val="00D72508"/>
    <w:rsid w:val="00D72AC4"/>
    <w:rsid w:val="00D73053"/>
    <w:rsid w:val="00D73749"/>
    <w:rsid w:val="00D737B0"/>
    <w:rsid w:val="00D737C3"/>
    <w:rsid w:val="00D73896"/>
    <w:rsid w:val="00D73E82"/>
    <w:rsid w:val="00D73EBB"/>
    <w:rsid w:val="00D74424"/>
    <w:rsid w:val="00D74E48"/>
    <w:rsid w:val="00D74F57"/>
    <w:rsid w:val="00D75440"/>
    <w:rsid w:val="00D75BA1"/>
    <w:rsid w:val="00D75F64"/>
    <w:rsid w:val="00D76821"/>
    <w:rsid w:val="00D76E97"/>
    <w:rsid w:val="00D77639"/>
    <w:rsid w:val="00D778FA"/>
    <w:rsid w:val="00D77D94"/>
    <w:rsid w:val="00D80075"/>
    <w:rsid w:val="00D80157"/>
    <w:rsid w:val="00D80596"/>
    <w:rsid w:val="00D81144"/>
    <w:rsid w:val="00D81461"/>
    <w:rsid w:val="00D8202A"/>
    <w:rsid w:val="00D821FD"/>
    <w:rsid w:val="00D825B4"/>
    <w:rsid w:val="00D8264D"/>
    <w:rsid w:val="00D82AF6"/>
    <w:rsid w:val="00D83260"/>
    <w:rsid w:val="00D834FC"/>
    <w:rsid w:val="00D83FB9"/>
    <w:rsid w:val="00D83FFC"/>
    <w:rsid w:val="00D84054"/>
    <w:rsid w:val="00D843A4"/>
    <w:rsid w:val="00D86A64"/>
    <w:rsid w:val="00D8716F"/>
    <w:rsid w:val="00D874D3"/>
    <w:rsid w:val="00D875B3"/>
    <w:rsid w:val="00D87E05"/>
    <w:rsid w:val="00D87F7C"/>
    <w:rsid w:val="00D9004C"/>
    <w:rsid w:val="00D9153A"/>
    <w:rsid w:val="00D916CE"/>
    <w:rsid w:val="00D92992"/>
    <w:rsid w:val="00D9300A"/>
    <w:rsid w:val="00D931F2"/>
    <w:rsid w:val="00D93641"/>
    <w:rsid w:val="00D939F5"/>
    <w:rsid w:val="00D93BF5"/>
    <w:rsid w:val="00D94434"/>
    <w:rsid w:val="00D94509"/>
    <w:rsid w:val="00D94C4E"/>
    <w:rsid w:val="00D94C7A"/>
    <w:rsid w:val="00D94E74"/>
    <w:rsid w:val="00D94FA1"/>
    <w:rsid w:val="00D95328"/>
    <w:rsid w:val="00D95E37"/>
    <w:rsid w:val="00D969C3"/>
    <w:rsid w:val="00D97083"/>
    <w:rsid w:val="00D97F77"/>
    <w:rsid w:val="00D97FC6"/>
    <w:rsid w:val="00DA0390"/>
    <w:rsid w:val="00DA0457"/>
    <w:rsid w:val="00DA0E89"/>
    <w:rsid w:val="00DA12BA"/>
    <w:rsid w:val="00DA1884"/>
    <w:rsid w:val="00DA2195"/>
    <w:rsid w:val="00DA2DF1"/>
    <w:rsid w:val="00DA448E"/>
    <w:rsid w:val="00DA4BA6"/>
    <w:rsid w:val="00DA52C8"/>
    <w:rsid w:val="00DA5C32"/>
    <w:rsid w:val="00DA78EC"/>
    <w:rsid w:val="00DA7A12"/>
    <w:rsid w:val="00DB084E"/>
    <w:rsid w:val="00DB1A1C"/>
    <w:rsid w:val="00DB22D0"/>
    <w:rsid w:val="00DB261E"/>
    <w:rsid w:val="00DB2954"/>
    <w:rsid w:val="00DB3302"/>
    <w:rsid w:val="00DB3B07"/>
    <w:rsid w:val="00DB480E"/>
    <w:rsid w:val="00DB6725"/>
    <w:rsid w:val="00DB6944"/>
    <w:rsid w:val="00DB6C8D"/>
    <w:rsid w:val="00DB7960"/>
    <w:rsid w:val="00DB7C3B"/>
    <w:rsid w:val="00DB7C4B"/>
    <w:rsid w:val="00DC0823"/>
    <w:rsid w:val="00DC0B79"/>
    <w:rsid w:val="00DC111B"/>
    <w:rsid w:val="00DC130C"/>
    <w:rsid w:val="00DC16F4"/>
    <w:rsid w:val="00DC2469"/>
    <w:rsid w:val="00DC305D"/>
    <w:rsid w:val="00DC3D0C"/>
    <w:rsid w:val="00DC3DA9"/>
    <w:rsid w:val="00DC41CE"/>
    <w:rsid w:val="00DC49F4"/>
    <w:rsid w:val="00DC4AC0"/>
    <w:rsid w:val="00DC4D5C"/>
    <w:rsid w:val="00DC759F"/>
    <w:rsid w:val="00DC7738"/>
    <w:rsid w:val="00DC7993"/>
    <w:rsid w:val="00DC7DCB"/>
    <w:rsid w:val="00DD0473"/>
    <w:rsid w:val="00DD0914"/>
    <w:rsid w:val="00DD152C"/>
    <w:rsid w:val="00DD1B46"/>
    <w:rsid w:val="00DD2DEE"/>
    <w:rsid w:val="00DD32F3"/>
    <w:rsid w:val="00DD3666"/>
    <w:rsid w:val="00DD3961"/>
    <w:rsid w:val="00DD43DA"/>
    <w:rsid w:val="00DD60E4"/>
    <w:rsid w:val="00DD6129"/>
    <w:rsid w:val="00DD6247"/>
    <w:rsid w:val="00DD6383"/>
    <w:rsid w:val="00DD65FC"/>
    <w:rsid w:val="00DD6782"/>
    <w:rsid w:val="00DD6CE5"/>
    <w:rsid w:val="00DD6DC1"/>
    <w:rsid w:val="00DD73DB"/>
    <w:rsid w:val="00DD7597"/>
    <w:rsid w:val="00DD7FC7"/>
    <w:rsid w:val="00DE05AF"/>
    <w:rsid w:val="00DE0834"/>
    <w:rsid w:val="00DE0EC0"/>
    <w:rsid w:val="00DE0F5E"/>
    <w:rsid w:val="00DE2453"/>
    <w:rsid w:val="00DE288A"/>
    <w:rsid w:val="00DE2F71"/>
    <w:rsid w:val="00DE4FE7"/>
    <w:rsid w:val="00DE5262"/>
    <w:rsid w:val="00DE5721"/>
    <w:rsid w:val="00DE59FC"/>
    <w:rsid w:val="00DE6452"/>
    <w:rsid w:val="00DE66D1"/>
    <w:rsid w:val="00DF00FA"/>
    <w:rsid w:val="00DF0982"/>
    <w:rsid w:val="00DF0ED4"/>
    <w:rsid w:val="00DF1167"/>
    <w:rsid w:val="00DF1250"/>
    <w:rsid w:val="00DF1348"/>
    <w:rsid w:val="00DF13C7"/>
    <w:rsid w:val="00DF17AE"/>
    <w:rsid w:val="00DF1C82"/>
    <w:rsid w:val="00DF248A"/>
    <w:rsid w:val="00DF2F6E"/>
    <w:rsid w:val="00DF3438"/>
    <w:rsid w:val="00DF3D67"/>
    <w:rsid w:val="00DF3E04"/>
    <w:rsid w:val="00DF4094"/>
    <w:rsid w:val="00DF412D"/>
    <w:rsid w:val="00DF4B28"/>
    <w:rsid w:val="00DF4BDC"/>
    <w:rsid w:val="00DF4FA3"/>
    <w:rsid w:val="00DF5120"/>
    <w:rsid w:val="00DF515D"/>
    <w:rsid w:val="00DF57CA"/>
    <w:rsid w:val="00DF5A95"/>
    <w:rsid w:val="00DF6142"/>
    <w:rsid w:val="00DF62CE"/>
    <w:rsid w:val="00DF6BFD"/>
    <w:rsid w:val="00DF7185"/>
    <w:rsid w:val="00DF7A33"/>
    <w:rsid w:val="00E0005A"/>
    <w:rsid w:val="00E0048A"/>
    <w:rsid w:val="00E004A7"/>
    <w:rsid w:val="00E00EA8"/>
    <w:rsid w:val="00E01700"/>
    <w:rsid w:val="00E017E0"/>
    <w:rsid w:val="00E01C0F"/>
    <w:rsid w:val="00E01ED0"/>
    <w:rsid w:val="00E01F8F"/>
    <w:rsid w:val="00E02A28"/>
    <w:rsid w:val="00E02BC7"/>
    <w:rsid w:val="00E02D06"/>
    <w:rsid w:val="00E02E75"/>
    <w:rsid w:val="00E033B0"/>
    <w:rsid w:val="00E03B05"/>
    <w:rsid w:val="00E03B77"/>
    <w:rsid w:val="00E04155"/>
    <w:rsid w:val="00E04638"/>
    <w:rsid w:val="00E046E4"/>
    <w:rsid w:val="00E04A24"/>
    <w:rsid w:val="00E055CB"/>
    <w:rsid w:val="00E05CE9"/>
    <w:rsid w:val="00E06A1E"/>
    <w:rsid w:val="00E06C7D"/>
    <w:rsid w:val="00E0706C"/>
    <w:rsid w:val="00E07071"/>
    <w:rsid w:val="00E070E7"/>
    <w:rsid w:val="00E07224"/>
    <w:rsid w:val="00E0748D"/>
    <w:rsid w:val="00E07873"/>
    <w:rsid w:val="00E07C73"/>
    <w:rsid w:val="00E105C6"/>
    <w:rsid w:val="00E11EDB"/>
    <w:rsid w:val="00E11F44"/>
    <w:rsid w:val="00E11F95"/>
    <w:rsid w:val="00E12599"/>
    <w:rsid w:val="00E12F8D"/>
    <w:rsid w:val="00E13425"/>
    <w:rsid w:val="00E14339"/>
    <w:rsid w:val="00E146C6"/>
    <w:rsid w:val="00E1472B"/>
    <w:rsid w:val="00E148C1"/>
    <w:rsid w:val="00E14918"/>
    <w:rsid w:val="00E15A12"/>
    <w:rsid w:val="00E15BA8"/>
    <w:rsid w:val="00E15D40"/>
    <w:rsid w:val="00E16366"/>
    <w:rsid w:val="00E1640A"/>
    <w:rsid w:val="00E16660"/>
    <w:rsid w:val="00E16ABF"/>
    <w:rsid w:val="00E16B64"/>
    <w:rsid w:val="00E16C23"/>
    <w:rsid w:val="00E20A32"/>
    <w:rsid w:val="00E20C6A"/>
    <w:rsid w:val="00E20E74"/>
    <w:rsid w:val="00E214F0"/>
    <w:rsid w:val="00E22045"/>
    <w:rsid w:val="00E225C2"/>
    <w:rsid w:val="00E22EA7"/>
    <w:rsid w:val="00E23072"/>
    <w:rsid w:val="00E230DB"/>
    <w:rsid w:val="00E238E9"/>
    <w:rsid w:val="00E24425"/>
    <w:rsid w:val="00E24D40"/>
    <w:rsid w:val="00E25484"/>
    <w:rsid w:val="00E2549B"/>
    <w:rsid w:val="00E25C3C"/>
    <w:rsid w:val="00E25EFD"/>
    <w:rsid w:val="00E25FAE"/>
    <w:rsid w:val="00E26148"/>
    <w:rsid w:val="00E267A0"/>
    <w:rsid w:val="00E26973"/>
    <w:rsid w:val="00E26AE6"/>
    <w:rsid w:val="00E26EB8"/>
    <w:rsid w:val="00E27C5C"/>
    <w:rsid w:val="00E27CBB"/>
    <w:rsid w:val="00E27F5F"/>
    <w:rsid w:val="00E30267"/>
    <w:rsid w:val="00E304C8"/>
    <w:rsid w:val="00E30CA2"/>
    <w:rsid w:val="00E31193"/>
    <w:rsid w:val="00E31525"/>
    <w:rsid w:val="00E317FE"/>
    <w:rsid w:val="00E31956"/>
    <w:rsid w:val="00E3221E"/>
    <w:rsid w:val="00E32284"/>
    <w:rsid w:val="00E3296D"/>
    <w:rsid w:val="00E33435"/>
    <w:rsid w:val="00E33895"/>
    <w:rsid w:val="00E34613"/>
    <w:rsid w:val="00E3510B"/>
    <w:rsid w:val="00E356B0"/>
    <w:rsid w:val="00E35A3F"/>
    <w:rsid w:val="00E35ABC"/>
    <w:rsid w:val="00E35AC4"/>
    <w:rsid w:val="00E364EA"/>
    <w:rsid w:val="00E3657E"/>
    <w:rsid w:val="00E365D0"/>
    <w:rsid w:val="00E36E73"/>
    <w:rsid w:val="00E37632"/>
    <w:rsid w:val="00E4009D"/>
    <w:rsid w:val="00E42027"/>
    <w:rsid w:val="00E428A9"/>
    <w:rsid w:val="00E42AE0"/>
    <w:rsid w:val="00E42FEB"/>
    <w:rsid w:val="00E4316D"/>
    <w:rsid w:val="00E446E9"/>
    <w:rsid w:val="00E449B2"/>
    <w:rsid w:val="00E45DC1"/>
    <w:rsid w:val="00E4611A"/>
    <w:rsid w:val="00E47D0A"/>
    <w:rsid w:val="00E47DD2"/>
    <w:rsid w:val="00E50E6C"/>
    <w:rsid w:val="00E516E5"/>
    <w:rsid w:val="00E51F16"/>
    <w:rsid w:val="00E52860"/>
    <w:rsid w:val="00E52BEF"/>
    <w:rsid w:val="00E53386"/>
    <w:rsid w:val="00E5410E"/>
    <w:rsid w:val="00E54C0E"/>
    <w:rsid w:val="00E553E2"/>
    <w:rsid w:val="00E55E1E"/>
    <w:rsid w:val="00E55EA9"/>
    <w:rsid w:val="00E562B6"/>
    <w:rsid w:val="00E5719F"/>
    <w:rsid w:val="00E57832"/>
    <w:rsid w:val="00E578DD"/>
    <w:rsid w:val="00E602D2"/>
    <w:rsid w:val="00E60ABF"/>
    <w:rsid w:val="00E610CE"/>
    <w:rsid w:val="00E611EF"/>
    <w:rsid w:val="00E61265"/>
    <w:rsid w:val="00E6186E"/>
    <w:rsid w:val="00E61B62"/>
    <w:rsid w:val="00E61D0D"/>
    <w:rsid w:val="00E62736"/>
    <w:rsid w:val="00E62EC8"/>
    <w:rsid w:val="00E63248"/>
    <w:rsid w:val="00E635C7"/>
    <w:rsid w:val="00E649AC"/>
    <w:rsid w:val="00E64A03"/>
    <w:rsid w:val="00E64A59"/>
    <w:rsid w:val="00E64CC5"/>
    <w:rsid w:val="00E6558F"/>
    <w:rsid w:val="00E65B53"/>
    <w:rsid w:val="00E662CA"/>
    <w:rsid w:val="00E667D6"/>
    <w:rsid w:val="00E672AC"/>
    <w:rsid w:val="00E6762B"/>
    <w:rsid w:val="00E678B6"/>
    <w:rsid w:val="00E6799E"/>
    <w:rsid w:val="00E67BA5"/>
    <w:rsid w:val="00E67DD6"/>
    <w:rsid w:val="00E70719"/>
    <w:rsid w:val="00E7171F"/>
    <w:rsid w:val="00E71A82"/>
    <w:rsid w:val="00E72FE8"/>
    <w:rsid w:val="00E74541"/>
    <w:rsid w:val="00E74D1C"/>
    <w:rsid w:val="00E74E45"/>
    <w:rsid w:val="00E753E2"/>
    <w:rsid w:val="00E75868"/>
    <w:rsid w:val="00E75952"/>
    <w:rsid w:val="00E75E4F"/>
    <w:rsid w:val="00E765B9"/>
    <w:rsid w:val="00E7675B"/>
    <w:rsid w:val="00E76F7C"/>
    <w:rsid w:val="00E77C64"/>
    <w:rsid w:val="00E77CB0"/>
    <w:rsid w:val="00E77DD7"/>
    <w:rsid w:val="00E815D8"/>
    <w:rsid w:val="00E81A05"/>
    <w:rsid w:val="00E81C55"/>
    <w:rsid w:val="00E81FC9"/>
    <w:rsid w:val="00E82F6A"/>
    <w:rsid w:val="00E8326B"/>
    <w:rsid w:val="00E8331D"/>
    <w:rsid w:val="00E836DD"/>
    <w:rsid w:val="00E839AF"/>
    <w:rsid w:val="00E8448C"/>
    <w:rsid w:val="00E8490E"/>
    <w:rsid w:val="00E84F90"/>
    <w:rsid w:val="00E853DE"/>
    <w:rsid w:val="00E855E1"/>
    <w:rsid w:val="00E862D3"/>
    <w:rsid w:val="00E875E0"/>
    <w:rsid w:val="00E90186"/>
    <w:rsid w:val="00E901AC"/>
    <w:rsid w:val="00E909F6"/>
    <w:rsid w:val="00E90C6E"/>
    <w:rsid w:val="00E90D73"/>
    <w:rsid w:val="00E91863"/>
    <w:rsid w:val="00E92004"/>
    <w:rsid w:val="00E92101"/>
    <w:rsid w:val="00E92296"/>
    <w:rsid w:val="00E928AC"/>
    <w:rsid w:val="00E93090"/>
    <w:rsid w:val="00E93B34"/>
    <w:rsid w:val="00E94030"/>
    <w:rsid w:val="00E94301"/>
    <w:rsid w:val="00E9461E"/>
    <w:rsid w:val="00E953D1"/>
    <w:rsid w:val="00E95A24"/>
    <w:rsid w:val="00E95B6A"/>
    <w:rsid w:val="00E95D81"/>
    <w:rsid w:val="00E960BC"/>
    <w:rsid w:val="00E96602"/>
    <w:rsid w:val="00E977BC"/>
    <w:rsid w:val="00E97A36"/>
    <w:rsid w:val="00EA01F5"/>
    <w:rsid w:val="00EA0E17"/>
    <w:rsid w:val="00EA1173"/>
    <w:rsid w:val="00EA130E"/>
    <w:rsid w:val="00EA1391"/>
    <w:rsid w:val="00EA2B9D"/>
    <w:rsid w:val="00EA2DD7"/>
    <w:rsid w:val="00EA2E61"/>
    <w:rsid w:val="00EA3359"/>
    <w:rsid w:val="00EA3360"/>
    <w:rsid w:val="00EA3916"/>
    <w:rsid w:val="00EA3966"/>
    <w:rsid w:val="00EA3AAD"/>
    <w:rsid w:val="00EA3C14"/>
    <w:rsid w:val="00EA3CB2"/>
    <w:rsid w:val="00EA3E31"/>
    <w:rsid w:val="00EA4041"/>
    <w:rsid w:val="00EA57CD"/>
    <w:rsid w:val="00EB00CA"/>
    <w:rsid w:val="00EB06D9"/>
    <w:rsid w:val="00EB0E4B"/>
    <w:rsid w:val="00EB19A5"/>
    <w:rsid w:val="00EB2053"/>
    <w:rsid w:val="00EB2661"/>
    <w:rsid w:val="00EB2BEF"/>
    <w:rsid w:val="00EB2C22"/>
    <w:rsid w:val="00EB319F"/>
    <w:rsid w:val="00EB32C1"/>
    <w:rsid w:val="00EB3A37"/>
    <w:rsid w:val="00EB3DBF"/>
    <w:rsid w:val="00EB3E84"/>
    <w:rsid w:val="00EB4B12"/>
    <w:rsid w:val="00EB4D18"/>
    <w:rsid w:val="00EB4F2F"/>
    <w:rsid w:val="00EB5DF7"/>
    <w:rsid w:val="00EB60AB"/>
    <w:rsid w:val="00EB628E"/>
    <w:rsid w:val="00EB72B7"/>
    <w:rsid w:val="00EC0212"/>
    <w:rsid w:val="00EC03A8"/>
    <w:rsid w:val="00EC03BC"/>
    <w:rsid w:val="00EC04D2"/>
    <w:rsid w:val="00EC0921"/>
    <w:rsid w:val="00EC1089"/>
    <w:rsid w:val="00EC141A"/>
    <w:rsid w:val="00EC1F74"/>
    <w:rsid w:val="00EC2295"/>
    <w:rsid w:val="00EC270E"/>
    <w:rsid w:val="00EC29D6"/>
    <w:rsid w:val="00EC2FC0"/>
    <w:rsid w:val="00EC3023"/>
    <w:rsid w:val="00EC34A2"/>
    <w:rsid w:val="00EC3BF5"/>
    <w:rsid w:val="00EC3DD3"/>
    <w:rsid w:val="00EC516C"/>
    <w:rsid w:val="00EC51C6"/>
    <w:rsid w:val="00EC53C8"/>
    <w:rsid w:val="00EC5815"/>
    <w:rsid w:val="00EC58EF"/>
    <w:rsid w:val="00EC5EB9"/>
    <w:rsid w:val="00EC6529"/>
    <w:rsid w:val="00EC663D"/>
    <w:rsid w:val="00EC6BD0"/>
    <w:rsid w:val="00EC6BED"/>
    <w:rsid w:val="00EC6C9C"/>
    <w:rsid w:val="00EC6E71"/>
    <w:rsid w:val="00ED0625"/>
    <w:rsid w:val="00ED0D6D"/>
    <w:rsid w:val="00ED1019"/>
    <w:rsid w:val="00ED1761"/>
    <w:rsid w:val="00ED24BF"/>
    <w:rsid w:val="00ED2874"/>
    <w:rsid w:val="00ED2AC6"/>
    <w:rsid w:val="00ED2B4D"/>
    <w:rsid w:val="00ED2BF1"/>
    <w:rsid w:val="00ED2DF5"/>
    <w:rsid w:val="00ED33F4"/>
    <w:rsid w:val="00ED4546"/>
    <w:rsid w:val="00ED4782"/>
    <w:rsid w:val="00ED48DE"/>
    <w:rsid w:val="00ED503D"/>
    <w:rsid w:val="00ED5A0B"/>
    <w:rsid w:val="00ED5BAB"/>
    <w:rsid w:val="00ED631C"/>
    <w:rsid w:val="00ED6459"/>
    <w:rsid w:val="00ED6742"/>
    <w:rsid w:val="00ED73DE"/>
    <w:rsid w:val="00ED742E"/>
    <w:rsid w:val="00ED7C57"/>
    <w:rsid w:val="00EE0266"/>
    <w:rsid w:val="00EE0320"/>
    <w:rsid w:val="00EE0412"/>
    <w:rsid w:val="00EE1066"/>
    <w:rsid w:val="00EE1551"/>
    <w:rsid w:val="00EE20F2"/>
    <w:rsid w:val="00EE2296"/>
    <w:rsid w:val="00EE23CA"/>
    <w:rsid w:val="00EE2C89"/>
    <w:rsid w:val="00EE3560"/>
    <w:rsid w:val="00EE3726"/>
    <w:rsid w:val="00EE4D67"/>
    <w:rsid w:val="00EE5DD3"/>
    <w:rsid w:val="00EE6208"/>
    <w:rsid w:val="00EE6678"/>
    <w:rsid w:val="00EE6A80"/>
    <w:rsid w:val="00EE6E65"/>
    <w:rsid w:val="00EE6FCF"/>
    <w:rsid w:val="00EE7157"/>
    <w:rsid w:val="00EE743F"/>
    <w:rsid w:val="00EE7A2D"/>
    <w:rsid w:val="00EF099E"/>
    <w:rsid w:val="00EF0D91"/>
    <w:rsid w:val="00EF109C"/>
    <w:rsid w:val="00EF11F7"/>
    <w:rsid w:val="00EF1628"/>
    <w:rsid w:val="00EF21E9"/>
    <w:rsid w:val="00EF3375"/>
    <w:rsid w:val="00EF364A"/>
    <w:rsid w:val="00EF4018"/>
    <w:rsid w:val="00EF413E"/>
    <w:rsid w:val="00EF4A4B"/>
    <w:rsid w:val="00EF4C69"/>
    <w:rsid w:val="00EF4EFB"/>
    <w:rsid w:val="00EF54D7"/>
    <w:rsid w:val="00EF583B"/>
    <w:rsid w:val="00EF5B1C"/>
    <w:rsid w:val="00EF6480"/>
    <w:rsid w:val="00EF6919"/>
    <w:rsid w:val="00EF6E6E"/>
    <w:rsid w:val="00EF781E"/>
    <w:rsid w:val="00EF7ED6"/>
    <w:rsid w:val="00F00419"/>
    <w:rsid w:val="00F01522"/>
    <w:rsid w:val="00F01589"/>
    <w:rsid w:val="00F01D30"/>
    <w:rsid w:val="00F02653"/>
    <w:rsid w:val="00F03306"/>
    <w:rsid w:val="00F03368"/>
    <w:rsid w:val="00F03EB4"/>
    <w:rsid w:val="00F0441B"/>
    <w:rsid w:val="00F0463E"/>
    <w:rsid w:val="00F0494C"/>
    <w:rsid w:val="00F04AAA"/>
    <w:rsid w:val="00F04FA2"/>
    <w:rsid w:val="00F054C0"/>
    <w:rsid w:val="00F05513"/>
    <w:rsid w:val="00F06590"/>
    <w:rsid w:val="00F065BF"/>
    <w:rsid w:val="00F065D3"/>
    <w:rsid w:val="00F0678B"/>
    <w:rsid w:val="00F0681F"/>
    <w:rsid w:val="00F0714E"/>
    <w:rsid w:val="00F074B6"/>
    <w:rsid w:val="00F0753F"/>
    <w:rsid w:val="00F10941"/>
    <w:rsid w:val="00F10C14"/>
    <w:rsid w:val="00F10FCE"/>
    <w:rsid w:val="00F1199D"/>
    <w:rsid w:val="00F12435"/>
    <w:rsid w:val="00F12DF9"/>
    <w:rsid w:val="00F1313B"/>
    <w:rsid w:val="00F1361C"/>
    <w:rsid w:val="00F14284"/>
    <w:rsid w:val="00F144B8"/>
    <w:rsid w:val="00F14EA4"/>
    <w:rsid w:val="00F153B2"/>
    <w:rsid w:val="00F15970"/>
    <w:rsid w:val="00F16141"/>
    <w:rsid w:val="00F16A38"/>
    <w:rsid w:val="00F16D3F"/>
    <w:rsid w:val="00F16E1C"/>
    <w:rsid w:val="00F170E3"/>
    <w:rsid w:val="00F1741E"/>
    <w:rsid w:val="00F17C5A"/>
    <w:rsid w:val="00F20170"/>
    <w:rsid w:val="00F20293"/>
    <w:rsid w:val="00F20323"/>
    <w:rsid w:val="00F203E2"/>
    <w:rsid w:val="00F206E1"/>
    <w:rsid w:val="00F2080B"/>
    <w:rsid w:val="00F2147C"/>
    <w:rsid w:val="00F21956"/>
    <w:rsid w:val="00F21FD9"/>
    <w:rsid w:val="00F2234C"/>
    <w:rsid w:val="00F223C3"/>
    <w:rsid w:val="00F22669"/>
    <w:rsid w:val="00F23316"/>
    <w:rsid w:val="00F23350"/>
    <w:rsid w:val="00F23763"/>
    <w:rsid w:val="00F240A1"/>
    <w:rsid w:val="00F246C4"/>
    <w:rsid w:val="00F24B3D"/>
    <w:rsid w:val="00F24C76"/>
    <w:rsid w:val="00F24E7F"/>
    <w:rsid w:val="00F24F41"/>
    <w:rsid w:val="00F24FBA"/>
    <w:rsid w:val="00F251CB"/>
    <w:rsid w:val="00F257C0"/>
    <w:rsid w:val="00F25AE4"/>
    <w:rsid w:val="00F25B61"/>
    <w:rsid w:val="00F25FC6"/>
    <w:rsid w:val="00F2641D"/>
    <w:rsid w:val="00F26915"/>
    <w:rsid w:val="00F26DD7"/>
    <w:rsid w:val="00F274FA"/>
    <w:rsid w:val="00F2776B"/>
    <w:rsid w:val="00F27C1E"/>
    <w:rsid w:val="00F300A5"/>
    <w:rsid w:val="00F30464"/>
    <w:rsid w:val="00F308E6"/>
    <w:rsid w:val="00F30CBF"/>
    <w:rsid w:val="00F30FF0"/>
    <w:rsid w:val="00F312CC"/>
    <w:rsid w:val="00F31E15"/>
    <w:rsid w:val="00F32C52"/>
    <w:rsid w:val="00F3304D"/>
    <w:rsid w:val="00F333A5"/>
    <w:rsid w:val="00F33BC6"/>
    <w:rsid w:val="00F34028"/>
    <w:rsid w:val="00F3405F"/>
    <w:rsid w:val="00F3410F"/>
    <w:rsid w:val="00F3457B"/>
    <w:rsid w:val="00F3463D"/>
    <w:rsid w:val="00F34709"/>
    <w:rsid w:val="00F350A9"/>
    <w:rsid w:val="00F36531"/>
    <w:rsid w:val="00F372C9"/>
    <w:rsid w:val="00F4005E"/>
    <w:rsid w:val="00F403F4"/>
    <w:rsid w:val="00F4042F"/>
    <w:rsid w:val="00F40D47"/>
    <w:rsid w:val="00F410E5"/>
    <w:rsid w:val="00F410FB"/>
    <w:rsid w:val="00F41621"/>
    <w:rsid w:val="00F4187B"/>
    <w:rsid w:val="00F42447"/>
    <w:rsid w:val="00F427E8"/>
    <w:rsid w:val="00F428F2"/>
    <w:rsid w:val="00F42DFA"/>
    <w:rsid w:val="00F431D1"/>
    <w:rsid w:val="00F43AD0"/>
    <w:rsid w:val="00F43ADF"/>
    <w:rsid w:val="00F44C6C"/>
    <w:rsid w:val="00F44CB8"/>
    <w:rsid w:val="00F44EE9"/>
    <w:rsid w:val="00F44FE7"/>
    <w:rsid w:val="00F45025"/>
    <w:rsid w:val="00F4531A"/>
    <w:rsid w:val="00F45B3F"/>
    <w:rsid w:val="00F45CE7"/>
    <w:rsid w:val="00F45D1A"/>
    <w:rsid w:val="00F467B1"/>
    <w:rsid w:val="00F46F35"/>
    <w:rsid w:val="00F46FDB"/>
    <w:rsid w:val="00F47195"/>
    <w:rsid w:val="00F471AB"/>
    <w:rsid w:val="00F5008F"/>
    <w:rsid w:val="00F5025C"/>
    <w:rsid w:val="00F50784"/>
    <w:rsid w:val="00F5146F"/>
    <w:rsid w:val="00F51BB8"/>
    <w:rsid w:val="00F523DA"/>
    <w:rsid w:val="00F525B3"/>
    <w:rsid w:val="00F52CDF"/>
    <w:rsid w:val="00F52DA7"/>
    <w:rsid w:val="00F531CC"/>
    <w:rsid w:val="00F53E1A"/>
    <w:rsid w:val="00F554B3"/>
    <w:rsid w:val="00F56387"/>
    <w:rsid w:val="00F5642E"/>
    <w:rsid w:val="00F56C68"/>
    <w:rsid w:val="00F56D15"/>
    <w:rsid w:val="00F572B6"/>
    <w:rsid w:val="00F57A16"/>
    <w:rsid w:val="00F600F3"/>
    <w:rsid w:val="00F6022E"/>
    <w:rsid w:val="00F60E80"/>
    <w:rsid w:val="00F610D7"/>
    <w:rsid w:val="00F6124A"/>
    <w:rsid w:val="00F6126D"/>
    <w:rsid w:val="00F61272"/>
    <w:rsid w:val="00F61ACD"/>
    <w:rsid w:val="00F61B48"/>
    <w:rsid w:val="00F627FF"/>
    <w:rsid w:val="00F62C75"/>
    <w:rsid w:val="00F62CEE"/>
    <w:rsid w:val="00F62F0B"/>
    <w:rsid w:val="00F6417D"/>
    <w:rsid w:val="00F643F0"/>
    <w:rsid w:val="00F645BB"/>
    <w:rsid w:val="00F6464B"/>
    <w:rsid w:val="00F64E62"/>
    <w:rsid w:val="00F65C45"/>
    <w:rsid w:val="00F664D6"/>
    <w:rsid w:val="00F671F5"/>
    <w:rsid w:val="00F67797"/>
    <w:rsid w:val="00F67B05"/>
    <w:rsid w:val="00F67C0C"/>
    <w:rsid w:val="00F703A1"/>
    <w:rsid w:val="00F7064C"/>
    <w:rsid w:val="00F7161D"/>
    <w:rsid w:val="00F717BD"/>
    <w:rsid w:val="00F71D8B"/>
    <w:rsid w:val="00F724E6"/>
    <w:rsid w:val="00F73979"/>
    <w:rsid w:val="00F73D17"/>
    <w:rsid w:val="00F74CFA"/>
    <w:rsid w:val="00F75055"/>
    <w:rsid w:val="00F75405"/>
    <w:rsid w:val="00F7548A"/>
    <w:rsid w:val="00F75594"/>
    <w:rsid w:val="00F76339"/>
    <w:rsid w:val="00F76B79"/>
    <w:rsid w:val="00F7730F"/>
    <w:rsid w:val="00F776A4"/>
    <w:rsid w:val="00F77F38"/>
    <w:rsid w:val="00F8080C"/>
    <w:rsid w:val="00F80868"/>
    <w:rsid w:val="00F80FAD"/>
    <w:rsid w:val="00F8130A"/>
    <w:rsid w:val="00F8138E"/>
    <w:rsid w:val="00F81DAF"/>
    <w:rsid w:val="00F820BF"/>
    <w:rsid w:val="00F824FF"/>
    <w:rsid w:val="00F8273B"/>
    <w:rsid w:val="00F82BF9"/>
    <w:rsid w:val="00F82CBE"/>
    <w:rsid w:val="00F83FCA"/>
    <w:rsid w:val="00F8419D"/>
    <w:rsid w:val="00F844F8"/>
    <w:rsid w:val="00F84753"/>
    <w:rsid w:val="00F84B93"/>
    <w:rsid w:val="00F855B3"/>
    <w:rsid w:val="00F85662"/>
    <w:rsid w:val="00F85BB6"/>
    <w:rsid w:val="00F85C20"/>
    <w:rsid w:val="00F85C73"/>
    <w:rsid w:val="00F86245"/>
    <w:rsid w:val="00F86686"/>
    <w:rsid w:val="00F86F4F"/>
    <w:rsid w:val="00F8775F"/>
    <w:rsid w:val="00F877D0"/>
    <w:rsid w:val="00F87BBF"/>
    <w:rsid w:val="00F905CB"/>
    <w:rsid w:val="00F908BC"/>
    <w:rsid w:val="00F90CC4"/>
    <w:rsid w:val="00F90E31"/>
    <w:rsid w:val="00F90F4E"/>
    <w:rsid w:val="00F91B02"/>
    <w:rsid w:val="00F91BA5"/>
    <w:rsid w:val="00F91BDC"/>
    <w:rsid w:val="00F91D25"/>
    <w:rsid w:val="00F92138"/>
    <w:rsid w:val="00F9227B"/>
    <w:rsid w:val="00F923BE"/>
    <w:rsid w:val="00F92E19"/>
    <w:rsid w:val="00F93227"/>
    <w:rsid w:val="00F93566"/>
    <w:rsid w:val="00F935DA"/>
    <w:rsid w:val="00F93D7A"/>
    <w:rsid w:val="00F94CBA"/>
    <w:rsid w:val="00F954A0"/>
    <w:rsid w:val="00F95686"/>
    <w:rsid w:val="00F95DA8"/>
    <w:rsid w:val="00F96268"/>
    <w:rsid w:val="00F96994"/>
    <w:rsid w:val="00F972EC"/>
    <w:rsid w:val="00F9734C"/>
    <w:rsid w:val="00F97CC0"/>
    <w:rsid w:val="00FA13C9"/>
    <w:rsid w:val="00FA1466"/>
    <w:rsid w:val="00FA1BBC"/>
    <w:rsid w:val="00FA20D0"/>
    <w:rsid w:val="00FA21D2"/>
    <w:rsid w:val="00FA22CE"/>
    <w:rsid w:val="00FA23DC"/>
    <w:rsid w:val="00FA2ADD"/>
    <w:rsid w:val="00FA2BFB"/>
    <w:rsid w:val="00FA3669"/>
    <w:rsid w:val="00FA3746"/>
    <w:rsid w:val="00FA3A79"/>
    <w:rsid w:val="00FA3C6C"/>
    <w:rsid w:val="00FA3FBC"/>
    <w:rsid w:val="00FA48BF"/>
    <w:rsid w:val="00FA4DB3"/>
    <w:rsid w:val="00FA4E14"/>
    <w:rsid w:val="00FA5518"/>
    <w:rsid w:val="00FA5BFB"/>
    <w:rsid w:val="00FA5DDC"/>
    <w:rsid w:val="00FA600C"/>
    <w:rsid w:val="00FA613E"/>
    <w:rsid w:val="00FA616E"/>
    <w:rsid w:val="00FA6E44"/>
    <w:rsid w:val="00FA6F56"/>
    <w:rsid w:val="00FA719B"/>
    <w:rsid w:val="00FA7547"/>
    <w:rsid w:val="00FA7D12"/>
    <w:rsid w:val="00FB0424"/>
    <w:rsid w:val="00FB094C"/>
    <w:rsid w:val="00FB12B9"/>
    <w:rsid w:val="00FB2A69"/>
    <w:rsid w:val="00FB3B24"/>
    <w:rsid w:val="00FB41DF"/>
    <w:rsid w:val="00FB45A7"/>
    <w:rsid w:val="00FB46AB"/>
    <w:rsid w:val="00FB4906"/>
    <w:rsid w:val="00FB4A0C"/>
    <w:rsid w:val="00FB5C66"/>
    <w:rsid w:val="00FB60A7"/>
    <w:rsid w:val="00FB668A"/>
    <w:rsid w:val="00FB75AB"/>
    <w:rsid w:val="00FB7674"/>
    <w:rsid w:val="00FC0E03"/>
    <w:rsid w:val="00FC10E5"/>
    <w:rsid w:val="00FC118E"/>
    <w:rsid w:val="00FC17B1"/>
    <w:rsid w:val="00FC1F26"/>
    <w:rsid w:val="00FC2140"/>
    <w:rsid w:val="00FC21BC"/>
    <w:rsid w:val="00FC2469"/>
    <w:rsid w:val="00FC2F12"/>
    <w:rsid w:val="00FC343C"/>
    <w:rsid w:val="00FC3942"/>
    <w:rsid w:val="00FC3A6F"/>
    <w:rsid w:val="00FC3ADE"/>
    <w:rsid w:val="00FC426A"/>
    <w:rsid w:val="00FC4950"/>
    <w:rsid w:val="00FC4B3D"/>
    <w:rsid w:val="00FC4E5D"/>
    <w:rsid w:val="00FC5507"/>
    <w:rsid w:val="00FC60A7"/>
    <w:rsid w:val="00FC622A"/>
    <w:rsid w:val="00FC6F49"/>
    <w:rsid w:val="00FC6FD8"/>
    <w:rsid w:val="00FC7727"/>
    <w:rsid w:val="00FD0546"/>
    <w:rsid w:val="00FD0628"/>
    <w:rsid w:val="00FD0926"/>
    <w:rsid w:val="00FD1554"/>
    <w:rsid w:val="00FD19CE"/>
    <w:rsid w:val="00FD1FDF"/>
    <w:rsid w:val="00FD2ABB"/>
    <w:rsid w:val="00FD2D65"/>
    <w:rsid w:val="00FD2EC7"/>
    <w:rsid w:val="00FD35AB"/>
    <w:rsid w:val="00FD3657"/>
    <w:rsid w:val="00FD49C1"/>
    <w:rsid w:val="00FD63F3"/>
    <w:rsid w:val="00FD66CD"/>
    <w:rsid w:val="00FD6752"/>
    <w:rsid w:val="00FD684D"/>
    <w:rsid w:val="00FD732C"/>
    <w:rsid w:val="00FD79D9"/>
    <w:rsid w:val="00FD7BE8"/>
    <w:rsid w:val="00FE0E43"/>
    <w:rsid w:val="00FE1073"/>
    <w:rsid w:val="00FE1475"/>
    <w:rsid w:val="00FE1FD5"/>
    <w:rsid w:val="00FE211B"/>
    <w:rsid w:val="00FE2A06"/>
    <w:rsid w:val="00FE32D6"/>
    <w:rsid w:val="00FE4695"/>
    <w:rsid w:val="00FE4B23"/>
    <w:rsid w:val="00FE4CDC"/>
    <w:rsid w:val="00FE524C"/>
    <w:rsid w:val="00FE5578"/>
    <w:rsid w:val="00FE56AC"/>
    <w:rsid w:val="00FE625F"/>
    <w:rsid w:val="00FE64B4"/>
    <w:rsid w:val="00FE7FE8"/>
    <w:rsid w:val="00FF0104"/>
    <w:rsid w:val="00FF1006"/>
    <w:rsid w:val="00FF1193"/>
    <w:rsid w:val="00FF1B34"/>
    <w:rsid w:val="00FF2039"/>
    <w:rsid w:val="00FF2133"/>
    <w:rsid w:val="00FF234E"/>
    <w:rsid w:val="00FF2B1C"/>
    <w:rsid w:val="00FF30C2"/>
    <w:rsid w:val="00FF31BB"/>
    <w:rsid w:val="00FF367E"/>
    <w:rsid w:val="00FF3999"/>
    <w:rsid w:val="00FF3D00"/>
    <w:rsid w:val="00FF3F0A"/>
    <w:rsid w:val="00FF4945"/>
    <w:rsid w:val="00FF590A"/>
    <w:rsid w:val="00FF621B"/>
    <w:rsid w:val="00FF6452"/>
    <w:rsid w:val="00FF6AE1"/>
    <w:rsid w:val="00FF6B0A"/>
    <w:rsid w:val="00FF7159"/>
    <w:rsid w:val="00FF7232"/>
    <w:rsid w:val="00FF7888"/>
    <w:rsid w:val="00FF7ADF"/>
    <w:rsid w:val="01010408"/>
    <w:rsid w:val="010D1B04"/>
    <w:rsid w:val="01182E5E"/>
    <w:rsid w:val="014E1D9C"/>
    <w:rsid w:val="014E74CE"/>
    <w:rsid w:val="01A44E05"/>
    <w:rsid w:val="01C950CF"/>
    <w:rsid w:val="01D0713D"/>
    <w:rsid w:val="01E2096B"/>
    <w:rsid w:val="020948F0"/>
    <w:rsid w:val="022A41BD"/>
    <w:rsid w:val="022A726D"/>
    <w:rsid w:val="02400466"/>
    <w:rsid w:val="0240076B"/>
    <w:rsid w:val="02592ED3"/>
    <w:rsid w:val="027235C6"/>
    <w:rsid w:val="02734792"/>
    <w:rsid w:val="028A6A7F"/>
    <w:rsid w:val="028F4A0E"/>
    <w:rsid w:val="02BD5424"/>
    <w:rsid w:val="02C372DA"/>
    <w:rsid w:val="02D2752A"/>
    <w:rsid w:val="02E306BB"/>
    <w:rsid w:val="031F7BD4"/>
    <w:rsid w:val="033E3951"/>
    <w:rsid w:val="0376146E"/>
    <w:rsid w:val="03A24B3D"/>
    <w:rsid w:val="03BF4015"/>
    <w:rsid w:val="03CB4DA1"/>
    <w:rsid w:val="03CC5E9B"/>
    <w:rsid w:val="03F60609"/>
    <w:rsid w:val="0406315B"/>
    <w:rsid w:val="04152C7F"/>
    <w:rsid w:val="042428BE"/>
    <w:rsid w:val="0457632B"/>
    <w:rsid w:val="048E2D7E"/>
    <w:rsid w:val="04961737"/>
    <w:rsid w:val="04A266D7"/>
    <w:rsid w:val="04A94609"/>
    <w:rsid w:val="04AB79F6"/>
    <w:rsid w:val="04AC3195"/>
    <w:rsid w:val="04F72AA5"/>
    <w:rsid w:val="04FA2030"/>
    <w:rsid w:val="05005AEC"/>
    <w:rsid w:val="053B19B8"/>
    <w:rsid w:val="056C0F61"/>
    <w:rsid w:val="056F2664"/>
    <w:rsid w:val="058E5378"/>
    <w:rsid w:val="05B51880"/>
    <w:rsid w:val="05EB2576"/>
    <w:rsid w:val="05ED4C45"/>
    <w:rsid w:val="0602632F"/>
    <w:rsid w:val="06090B04"/>
    <w:rsid w:val="06177710"/>
    <w:rsid w:val="062D7A9E"/>
    <w:rsid w:val="06645407"/>
    <w:rsid w:val="06902B28"/>
    <w:rsid w:val="06982D53"/>
    <w:rsid w:val="06A7361C"/>
    <w:rsid w:val="06B111DE"/>
    <w:rsid w:val="06C13682"/>
    <w:rsid w:val="07106873"/>
    <w:rsid w:val="07190AB8"/>
    <w:rsid w:val="07547E58"/>
    <w:rsid w:val="07683F41"/>
    <w:rsid w:val="07796893"/>
    <w:rsid w:val="07AC1341"/>
    <w:rsid w:val="07AE2415"/>
    <w:rsid w:val="07CB2743"/>
    <w:rsid w:val="08313CE6"/>
    <w:rsid w:val="08A026B2"/>
    <w:rsid w:val="08C72DD2"/>
    <w:rsid w:val="094952B9"/>
    <w:rsid w:val="0985356F"/>
    <w:rsid w:val="09CB3C76"/>
    <w:rsid w:val="09D22855"/>
    <w:rsid w:val="0A0645AE"/>
    <w:rsid w:val="0A07110A"/>
    <w:rsid w:val="0A181BE2"/>
    <w:rsid w:val="0A1C72DC"/>
    <w:rsid w:val="0A2D04B6"/>
    <w:rsid w:val="0A380E25"/>
    <w:rsid w:val="0A715EB2"/>
    <w:rsid w:val="0A871636"/>
    <w:rsid w:val="0A9457B6"/>
    <w:rsid w:val="0ABB6AD4"/>
    <w:rsid w:val="0AC83B84"/>
    <w:rsid w:val="0AD72BEA"/>
    <w:rsid w:val="0ADE34B6"/>
    <w:rsid w:val="0B1227DE"/>
    <w:rsid w:val="0B223116"/>
    <w:rsid w:val="0B302FFB"/>
    <w:rsid w:val="0B5D3A8D"/>
    <w:rsid w:val="0B6939EF"/>
    <w:rsid w:val="0B705727"/>
    <w:rsid w:val="0B7802A7"/>
    <w:rsid w:val="0B7D412A"/>
    <w:rsid w:val="0B990439"/>
    <w:rsid w:val="0BDA132E"/>
    <w:rsid w:val="0BE02F1D"/>
    <w:rsid w:val="0BE74AA2"/>
    <w:rsid w:val="0C0235CF"/>
    <w:rsid w:val="0C421E32"/>
    <w:rsid w:val="0C6D2E47"/>
    <w:rsid w:val="0C70680B"/>
    <w:rsid w:val="0C774C5E"/>
    <w:rsid w:val="0CAA3477"/>
    <w:rsid w:val="0CB40335"/>
    <w:rsid w:val="0CB645CC"/>
    <w:rsid w:val="0CBF0AF4"/>
    <w:rsid w:val="0CD13630"/>
    <w:rsid w:val="0D391E83"/>
    <w:rsid w:val="0D5B5533"/>
    <w:rsid w:val="0D630173"/>
    <w:rsid w:val="0D735E74"/>
    <w:rsid w:val="0DD73809"/>
    <w:rsid w:val="0DDD2C05"/>
    <w:rsid w:val="0E012A71"/>
    <w:rsid w:val="0E7406FE"/>
    <w:rsid w:val="0E93368C"/>
    <w:rsid w:val="0EC73979"/>
    <w:rsid w:val="0ECA47C9"/>
    <w:rsid w:val="0EFC06C6"/>
    <w:rsid w:val="0F362943"/>
    <w:rsid w:val="0F3966E9"/>
    <w:rsid w:val="0F3B1476"/>
    <w:rsid w:val="0F465E8A"/>
    <w:rsid w:val="0F46796D"/>
    <w:rsid w:val="0F8B3FA3"/>
    <w:rsid w:val="0F952A90"/>
    <w:rsid w:val="0FAA0772"/>
    <w:rsid w:val="0FDE7567"/>
    <w:rsid w:val="0FE00754"/>
    <w:rsid w:val="0FEC65BB"/>
    <w:rsid w:val="10375562"/>
    <w:rsid w:val="103B628C"/>
    <w:rsid w:val="1066352A"/>
    <w:rsid w:val="1093704A"/>
    <w:rsid w:val="109D405D"/>
    <w:rsid w:val="10CE5DDE"/>
    <w:rsid w:val="10DF60E9"/>
    <w:rsid w:val="10E41F09"/>
    <w:rsid w:val="112A0357"/>
    <w:rsid w:val="112F5B47"/>
    <w:rsid w:val="114A4AB8"/>
    <w:rsid w:val="11640B4C"/>
    <w:rsid w:val="11672E12"/>
    <w:rsid w:val="119E2BBE"/>
    <w:rsid w:val="1201596E"/>
    <w:rsid w:val="120C60CF"/>
    <w:rsid w:val="12141777"/>
    <w:rsid w:val="121A2F40"/>
    <w:rsid w:val="122F6075"/>
    <w:rsid w:val="126A11B6"/>
    <w:rsid w:val="12A829B4"/>
    <w:rsid w:val="12B97DBE"/>
    <w:rsid w:val="12EE5E3F"/>
    <w:rsid w:val="131D6AF2"/>
    <w:rsid w:val="131E47E0"/>
    <w:rsid w:val="13320E81"/>
    <w:rsid w:val="134D3BF6"/>
    <w:rsid w:val="134D624E"/>
    <w:rsid w:val="13795169"/>
    <w:rsid w:val="14005B15"/>
    <w:rsid w:val="148717FE"/>
    <w:rsid w:val="149258DF"/>
    <w:rsid w:val="14DE001E"/>
    <w:rsid w:val="14FA5A20"/>
    <w:rsid w:val="14FE3F69"/>
    <w:rsid w:val="15216FEE"/>
    <w:rsid w:val="15690351"/>
    <w:rsid w:val="156A01E2"/>
    <w:rsid w:val="15B73A91"/>
    <w:rsid w:val="15CE592F"/>
    <w:rsid w:val="15E20CFD"/>
    <w:rsid w:val="15E253FC"/>
    <w:rsid w:val="15F76DBE"/>
    <w:rsid w:val="164527A7"/>
    <w:rsid w:val="165A138C"/>
    <w:rsid w:val="166362E5"/>
    <w:rsid w:val="16BC52A1"/>
    <w:rsid w:val="16D1706B"/>
    <w:rsid w:val="16DE3C9C"/>
    <w:rsid w:val="16F009B2"/>
    <w:rsid w:val="16F55DB6"/>
    <w:rsid w:val="17156550"/>
    <w:rsid w:val="175D708B"/>
    <w:rsid w:val="176D7BB6"/>
    <w:rsid w:val="178337F7"/>
    <w:rsid w:val="17A24B8B"/>
    <w:rsid w:val="17A92BDF"/>
    <w:rsid w:val="17B80C3F"/>
    <w:rsid w:val="17C0020D"/>
    <w:rsid w:val="17D02297"/>
    <w:rsid w:val="17DE319F"/>
    <w:rsid w:val="18EC3736"/>
    <w:rsid w:val="18F94ABF"/>
    <w:rsid w:val="19726D47"/>
    <w:rsid w:val="19853E9B"/>
    <w:rsid w:val="19EA7EC8"/>
    <w:rsid w:val="1A20037A"/>
    <w:rsid w:val="1A6D6D72"/>
    <w:rsid w:val="1AA555D7"/>
    <w:rsid w:val="1AAC2C9F"/>
    <w:rsid w:val="1AC75043"/>
    <w:rsid w:val="1AD8421D"/>
    <w:rsid w:val="1AF95B35"/>
    <w:rsid w:val="1B3028B8"/>
    <w:rsid w:val="1B442715"/>
    <w:rsid w:val="1BB6118D"/>
    <w:rsid w:val="1BEF07D4"/>
    <w:rsid w:val="1C352D96"/>
    <w:rsid w:val="1C501327"/>
    <w:rsid w:val="1C6D1A0A"/>
    <w:rsid w:val="1C9020B1"/>
    <w:rsid w:val="1CA532F6"/>
    <w:rsid w:val="1CBD6724"/>
    <w:rsid w:val="1D212D98"/>
    <w:rsid w:val="1D304E6F"/>
    <w:rsid w:val="1DA10BCC"/>
    <w:rsid w:val="1DB4658B"/>
    <w:rsid w:val="1DD16229"/>
    <w:rsid w:val="1DDF0627"/>
    <w:rsid w:val="1E0D490E"/>
    <w:rsid w:val="1E135A4A"/>
    <w:rsid w:val="1E644840"/>
    <w:rsid w:val="1E6C4797"/>
    <w:rsid w:val="1E9A5779"/>
    <w:rsid w:val="1EA13D71"/>
    <w:rsid w:val="1ED20010"/>
    <w:rsid w:val="1EE81746"/>
    <w:rsid w:val="1F57716E"/>
    <w:rsid w:val="1FE34919"/>
    <w:rsid w:val="1FE66299"/>
    <w:rsid w:val="1FFA06EC"/>
    <w:rsid w:val="20073814"/>
    <w:rsid w:val="200F3E0F"/>
    <w:rsid w:val="20487AD4"/>
    <w:rsid w:val="20550841"/>
    <w:rsid w:val="20D23F3B"/>
    <w:rsid w:val="20E60788"/>
    <w:rsid w:val="20E97A70"/>
    <w:rsid w:val="20FB14A6"/>
    <w:rsid w:val="21212036"/>
    <w:rsid w:val="219E6732"/>
    <w:rsid w:val="21C96383"/>
    <w:rsid w:val="21F55AFB"/>
    <w:rsid w:val="21FB6D72"/>
    <w:rsid w:val="22223255"/>
    <w:rsid w:val="222255EE"/>
    <w:rsid w:val="22254252"/>
    <w:rsid w:val="223C0506"/>
    <w:rsid w:val="22A11139"/>
    <w:rsid w:val="22EF0077"/>
    <w:rsid w:val="22FA455C"/>
    <w:rsid w:val="22FA5EFB"/>
    <w:rsid w:val="23400AFA"/>
    <w:rsid w:val="23423896"/>
    <w:rsid w:val="23474117"/>
    <w:rsid w:val="237B40C5"/>
    <w:rsid w:val="23EC2539"/>
    <w:rsid w:val="241039AF"/>
    <w:rsid w:val="24270FD7"/>
    <w:rsid w:val="24471719"/>
    <w:rsid w:val="245B0DC7"/>
    <w:rsid w:val="24762EA3"/>
    <w:rsid w:val="24794225"/>
    <w:rsid w:val="248A1438"/>
    <w:rsid w:val="24952EE9"/>
    <w:rsid w:val="24C65EFF"/>
    <w:rsid w:val="24D3509F"/>
    <w:rsid w:val="24FE575D"/>
    <w:rsid w:val="255D4793"/>
    <w:rsid w:val="2561060F"/>
    <w:rsid w:val="25BC7A80"/>
    <w:rsid w:val="25EB4426"/>
    <w:rsid w:val="25F75A5E"/>
    <w:rsid w:val="26144CAD"/>
    <w:rsid w:val="26292826"/>
    <w:rsid w:val="26B8122D"/>
    <w:rsid w:val="26D37290"/>
    <w:rsid w:val="273E7AAD"/>
    <w:rsid w:val="275814D8"/>
    <w:rsid w:val="276A6DDC"/>
    <w:rsid w:val="276E36CF"/>
    <w:rsid w:val="27715902"/>
    <w:rsid w:val="27885F04"/>
    <w:rsid w:val="27AF41C0"/>
    <w:rsid w:val="2851008E"/>
    <w:rsid w:val="28BC09DF"/>
    <w:rsid w:val="290121F2"/>
    <w:rsid w:val="291F6159"/>
    <w:rsid w:val="29221527"/>
    <w:rsid w:val="29715599"/>
    <w:rsid w:val="298E5547"/>
    <w:rsid w:val="2A14061E"/>
    <w:rsid w:val="2A140BC1"/>
    <w:rsid w:val="2A1700E0"/>
    <w:rsid w:val="2A183790"/>
    <w:rsid w:val="2A9E76C3"/>
    <w:rsid w:val="2AB117A9"/>
    <w:rsid w:val="2AB92320"/>
    <w:rsid w:val="2AE11A00"/>
    <w:rsid w:val="2B3C1862"/>
    <w:rsid w:val="2B4265B2"/>
    <w:rsid w:val="2B4C7E26"/>
    <w:rsid w:val="2B7832F0"/>
    <w:rsid w:val="2BA87956"/>
    <w:rsid w:val="2BAA76C7"/>
    <w:rsid w:val="2BD501A2"/>
    <w:rsid w:val="2C1B330C"/>
    <w:rsid w:val="2C376E65"/>
    <w:rsid w:val="2C597DA9"/>
    <w:rsid w:val="2C5F0588"/>
    <w:rsid w:val="2C69054A"/>
    <w:rsid w:val="2C6C2C3F"/>
    <w:rsid w:val="2C92742C"/>
    <w:rsid w:val="2CD52510"/>
    <w:rsid w:val="2CDB5960"/>
    <w:rsid w:val="2CFC5935"/>
    <w:rsid w:val="2D220523"/>
    <w:rsid w:val="2D335410"/>
    <w:rsid w:val="2D4841F5"/>
    <w:rsid w:val="2DC55609"/>
    <w:rsid w:val="2DF75DC8"/>
    <w:rsid w:val="2E100B4B"/>
    <w:rsid w:val="2E6D014D"/>
    <w:rsid w:val="2E73512F"/>
    <w:rsid w:val="2E970111"/>
    <w:rsid w:val="2E991530"/>
    <w:rsid w:val="2E9E4BC5"/>
    <w:rsid w:val="2EEE7E52"/>
    <w:rsid w:val="2F2F0026"/>
    <w:rsid w:val="2F3A04E6"/>
    <w:rsid w:val="2F552B7A"/>
    <w:rsid w:val="2F5C659D"/>
    <w:rsid w:val="2F7776AF"/>
    <w:rsid w:val="2FE80D3A"/>
    <w:rsid w:val="2FEA3A3B"/>
    <w:rsid w:val="300E2888"/>
    <w:rsid w:val="301866A3"/>
    <w:rsid w:val="306B0E0D"/>
    <w:rsid w:val="306B6480"/>
    <w:rsid w:val="30AC0D57"/>
    <w:rsid w:val="30E30461"/>
    <w:rsid w:val="30E768B4"/>
    <w:rsid w:val="311F70CC"/>
    <w:rsid w:val="31BD54CB"/>
    <w:rsid w:val="31C34C37"/>
    <w:rsid w:val="31E81126"/>
    <w:rsid w:val="31EE459A"/>
    <w:rsid w:val="320614BC"/>
    <w:rsid w:val="32BD7998"/>
    <w:rsid w:val="32FE451E"/>
    <w:rsid w:val="33012F73"/>
    <w:rsid w:val="330357FB"/>
    <w:rsid w:val="332C15EA"/>
    <w:rsid w:val="332D5A6D"/>
    <w:rsid w:val="33A801A0"/>
    <w:rsid w:val="33B907A4"/>
    <w:rsid w:val="33CE1896"/>
    <w:rsid w:val="340034B9"/>
    <w:rsid w:val="34450838"/>
    <w:rsid w:val="34646C1D"/>
    <w:rsid w:val="346717AC"/>
    <w:rsid w:val="3484598E"/>
    <w:rsid w:val="34AA14EA"/>
    <w:rsid w:val="34F54209"/>
    <w:rsid w:val="350D5FDF"/>
    <w:rsid w:val="353C7B57"/>
    <w:rsid w:val="35773495"/>
    <w:rsid w:val="357B256B"/>
    <w:rsid w:val="35B52124"/>
    <w:rsid w:val="35B853A4"/>
    <w:rsid w:val="35CC2E86"/>
    <w:rsid w:val="35CE7BFE"/>
    <w:rsid w:val="35EB5C2E"/>
    <w:rsid w:val="35FE393A"/>
    <w:rsid w:val="3622085A"/>
    <w:rsid w:val="366C1DCB"/>
    <w:rsid w:val="36776E8E"/>
    <w:rsid w:val="367B1666"/>
    <w:rsid w:val="36802507"/>
    <w:rsid w:val="368C0E49"/>
    <w:rsid w:val="36E62CF6"/>
    <w:rsid w:val="371F4A39"/>
    <w:rsid w:val="372D1B10"/>
    <w:rsid w:val="376110AC"/>
    <w:rsid w:val="378A674E"/>
    <w:rsid w:val="37D95811"/>
    <w:rsid w:val="37E10504"/>
    <w:rsid w:val="380648BE"/>
    <w:rsid w:val="38622589"/>
    <w:rsid w:val="38631B69"/>
    <w:rsid w:val="38C05D05"/>
    <w:rsid w:val="38E450B7"/>
    <w:rsid w:val="38EA38FC"/>
    <w:rsid w:val="39046F02"/>
    <w:rsid w:val="393A3216"/>
    <w:rsid w:val="396633A6"/>
    <w:rsid w:val="39BA679D"/>
    <w:rsid w:val="39F60BE3"/>
    <w:rsid w:val="3A212AF0"/>
    <w:rsid w:val="3A4D7445"/>
    <w:rsid w:val="3A561869"/>
    <w:rsid w:val="3A5B1D66"/>
    <w:rsid w:val="3A7D2FD1"/>
    <w:rsid w:val="3AAB7A6C"/>
    <w:rsid w:val="3AAD1165"/>
    <w:rsid w:val="3AC40926"/>
    <w:rsid w:val="3B5D177B"/>
    <w:rsid w:val="3B801765"/>
    <w:rsid w:val="3BAE1E3E"/>
    <w:rsid w:val="3BE7043B"/>
    <w:rsid w:val="3C1122D3"/>
    <w:rsid w:val="3C1D0ED3"/>
    <w:rsid w:val="3C2238EA"/>
    <w:rsid w:val="3C5255AE"/>
    <w:rsid w:val="3C552759"/>
    <w:rsid w:val="3C8B3CCA"/>
    <w:rsid w:val="3CB81FDC"/>
    <w:rsid w:val="3CBB7432"/>
    <w:rsid w:val="3D9D5126"/>
    <w:rsid w:val="3DA829B8"/>
    <w:rsid w:val="3DE95BB2"/>
    <w:rsid w:val="3E05537C"/>
    <w:rsid w:val="3E065B07"/>
    <w:rsid w:val="3E483E0D"/>
    <w:rsid w:val="3E6A7128"/>
    <w:rsid w:val="3E702AE1"/>
    <w:rsid w:val="3E740EBA"/>
    <w:rsid w:val="3E897D02"/>
    <w:rsid w:val="3EDD4B9B"/>
    <w:rsid w:val="3EF86C35"/>
    <w:rsid w:val="3EFA165E"/>
    <w:rsid w:val="3F107813"/>
    <w:rsid w:val="3FBD23C4"/>
    <w:rsid w:val="3FC01028"/>
    <w:rsid w:val="3FD24D96"/>
    <w:rsid w:val="400566FC"/>
    <w:rsid w:val="402D3A71"/>
    <w:rsid w:val="405A2D7A"/>
    <w:rsid w:val="4094568C"/>
    <w:rsid w:val="40A51AD1"/>
    <w:rsid w:val="40BE1C67"/>
    <w:rsid w:val="41073DB4"/>
    <w:rsid w:val="413D5105"/>
    <w:rsid w:val="415C494F"/>
    <w:rsid w:val="415C62C2"/>
    <w:rsid w:val="41840D6B"/>
    <w:rsid w:val="41865404"/>
    <w:rsid w:val="419F3310"/>
    <w:rsid w:val="420C1254"/>
    <w:rsid w:val="420E4AFC"/>
    <w:rsid w:val="42676199"/>
    <w:rsid w:val="429C1214"/>
    <w:rsid w:val="429E5B86"/>
    <w:rsid w:val="42C574B9"/>
    <w:rsid w:val="42D41217"/>
    <w:rsid w:val="42F02111"/>
    <w:rsid w:val="43031CC9"/>
    <w:rsid w:val="43323CDF"/>
    <w:rsid w:val="43510168"/>
    <w:rsid w:val="43555EFA"/>
    <w:rsid w:val="43575CFF"/>
    <w:rsid w:val="437B74A7"/>
    <w:rsid w:val="43A769E6"/>
    <w:rsid w:val="43BF14BB"/>
    <w:rsid w:val="43E225F0"/>
    <w:rsid w:val="43FA1B29"/>
    <w:rsid w:val="44156C3B"/>
    <w:rsid w:val="44624AA1"/>
    <w:rsid w:val="44C00711"/>
    <w:rsid w:val="44D76F56"/>
    <w:rsid w:val="44E440AB"/>
    <w:rsid w:val="44EB1C9C"/>
    <w:rsid w:val="45276294"/>
    <w:rsid w:val="452B6A14"/>
    <w:rsid w:val="455C0FBA"/>
    <w:rsid w:val="457C66D7"/>
    <w:rsid w:val="45875DC3"/>
    <w:rsid w:val="45AF0EAA"/>
    <w:rsid w:val="45BF119E"/>
    <w:rsid w:val="45C142B9"/>
    <w:rsid w:val="45C33064"/>
    <w:rsid w:val="45FE74CC"/>
    <w:rsid w:val="46042D87"/>
    <w:rsid w:val="46253BFF"/>
    <w:rsid w:val="46394548"/>
    <w:rsid w:val="466971E8"/>
    <w:rsid w:val="46B15DD6"/>
    <w:rsid w:val="46D52CEC"/>
    <w:rsid w:val="46D5581E"/>
    <w:rsid w:val="47105E2E"/>
    <w:rsid w:val="471C4450"/>
    <w:rsid w:val="4733065F"/>
    <w:rsid w:val="473A4323"/>
    <w:rsid w:val="479F20DF"/>
    <w:rsid w:val="47A2223C"/>
    <w:rsid w:val="47C842D9"/>
    <w:rsid w:val="47CA7BE2"/>
    <w:rsid w:val="47D64298"/>
    <w:rsid w:val="480D5F98"/>
    <w:rsid w:val="480F5E1A"/>
    <w:rsid w:val="48E24A2D"/>
    <w:rsid w:val="49050671"/>
    <w:rsid w:val="49303ABF"/>
    <w:rsid w:val="495E2713"/>
    <w:rsid w:val="495F4CF7"/>
    <w:rsid w:val="4961179E"/>
    <w:rsid w:val="49627253"/>
    <w:rsid w:val="496D27B9"/>
    <w:rsid w:val="49A3023C"/>
    <w:rsid w:val="49AA4ED1"/>
    <w:rsid w:val="49B403C9"/>
    <w:rsid w:val="49D539BF"/>
    <w:rsid w:val="4A6B1250"/>
    <w:rsid w:val="4A7E0248"/>
    <w:rsid w:val="4A897CBA"/>
    <w:rsid w:val="4AB96246"/>
    <w:rsid w:val="4AE40761"/>
    <w:rsid w:val="4B1C3B3E"/>
    <w:rsid w:val="4B2041FF"/>
    <w:rsid w:val="4B4D0D17"/>
    <w:rsid w:val="4B5D0F92"/>
    <w:rsid w:val="4B665795"/>
    <w:rsid w:val="4BA61FD0"/>
    <w:rsid w:val="4C011DC3"/>
    <w:rsid w:val="4C820041"/>
    <w:rsid w:val="4C8A3F5F"/>
    <w:rsid w:val="4CC6078A"/>
    <w:rsid w:val="4CCC6ED9"/>
    <w:rsid w:val="4CF42446"/>
    <w:rsid w:val="4D2B4643"/>
    <w:rsid w:val="4D441E7A"/>
    <w:rsid w:val="4D4F4C0B"/>
    <w:rsid w:val="4DC4703C"/>
    <w:rsid w:val="4E122F4D"/>
    <w:rsid w:val="4E142D8E"/>
    <w:rsid w:val="4E495A30"/>
    <w:rsid w:val="4E7C2C94"/>
    <w:rsid w:val="4E90653B"/>
    <w:rsid w:val="4E9C0379"/>
    <w:rsid w:val="4EF47AB5"/>
    <w:rsid w:val="4F770BFB"/>
    <w:rsid w:val="4F7F03FE"/>
    <w:rsid w:val="4F9428EE"/>
    <w:rsid w:val="4FA631E9"/>
    <w:rsid w:val="5016761C"/>
    <w:rsid w:val="50232B63"/>
    <w:rsid w:val="50240C16"/>
    <w:rsid w:val="503F4DC3"/>
    <w:rsid w:val="509B2C09"/>
    <w:rsid w:val="50A55B0B"/>
    <w:rsid w:val="50A744DD"/>
    <w:rsid w:val="50E420FC"/>
    <w:rsid w:val="51322CE6"/>
    <w:rsid w:val="51F55081"/>
    <w:rsid w:val="52054E78"/>
    <w:rsid w:val="520E2C38"/>
    <w:rsid w:val="521124B9"/>
    <w:rsid w:val="5224116C"/>
    <w:rsid w:val="522559E0"/>
    <w:rsid w:val="523670E9"/>
    <w:rsid w:val="5241641A"/>
    <w:rsid w:val="525E1BD5"/>
    <w:rsid w:val="52A772D3"/>
    <w:rsid w:val="52BB49E4"/>
    <w:rsid w:val="533E0993"/>
    <w:rsid w:val="535575A3"/>
    <w:rsid w:val="536B2EAE"/>
    <w:rsid w:val="536E1662"/>
    <w:rsid w:val="53DF5BDE"/>
    <w:rsid w:val="54024997"/>
    <w:rsid w:val="54186F2E"/>
    <w:rsid w:val="54B40BFC"/>
    <w:rsid w:val="54BD480F"/>
    <w:rsid w:val="54C324AA"/>
    <w:rsid w:val="55015561"/>
    <w:rsid w:val="550E5443"/>
    <w:rsid w:val="55647361"/>
    <w:rsid w:val="55721EB7"/>
    <w:rsid w:val="558233A3"/>
    <w:rsid w:val="558C3647"/>
    <w:rsid w:val="55C33EE3"/>
    <w:rsid w:val="55D34926"/>
    <w:rsid w:val="55F062E2"/>
    <w:rsid w:val="55F609B9"/>
    <w:rsid w:val="562447C1"/>
    <w:rsid w:val="56262467"/>
    <w:rsid w:val="568C0A9C"/>
    <w:rsid w:val="56A47E66"/>
    <w:rsid w:val="56CC2716"/>
    <w:rsid w:val="56EF77B0"/>
    <w:rsid w:val="57374C02"/>
    <w:rsid w:val="574F3070"/>
    <w:rsid w:val="57AA18CB"/>
    <w:rsid w:val="580207BF"/>
    <w:rsid w:val="588C69A8"/>
    <w:rsid w:val="58B87AAF"/>
    <w:rsid w:val="58BF260F"/>
    <w:rsid w:val="58BF2F0F"/>
    <w:rsid w:val="58C22A31"/>
    <w:rsid w:val="58D63E2A"/>
    <w:rsid w:val="58DB21D7"/>
    <w:rsid w:val="58F60867"/>
    <w:rsid w:val="58FC3680"/>
    <w:rsid w:val="59103953"/>
    <w:rsid w:val="592D3E5F"/>
    <w:rsid w:val="594D1D71"/>
    <w:rsid w:val="596826C0"/>
    <w:rsid w:val="5976519C"/>
    <w:rsid w:val="598B7D01"/>
    <w:rsid w:val="59A55F1D"/>
    <w:rsid w:val="59B80FE9"/>
    <w:rsid w:val="59D071CA"/>
    <w:rsid w:val="5A056863"/>
    <w:rsid w:val="5A434513"/>
    <w:rsid w:val="5A9B6844"/>
    <w:rsid w:val="5AB47149"/>
    <w:rsid w:val="5AC1789F"/>
    <w:rsid w:val="5ADB55DF"/>
    <w:rsid w:val="5AF515D2"/>
    <w:rsid w:val="5B2818C3"/>
    <w:rsid w:val="5B585235"/>
    <w:rsid w:val="5B612BEC"/>
    <w:rsid w:val="5BBE3DA0"/>
    <w:rsid w:val="5BD65D9F"/>
    <w:rsid w:val="5C0133FF"/>
    <w:rsid w:val="5C127EED"/>
    <w:rsid w:val="5C201049"/>
    <w:rsid w:val="5C2124F6"/>
    <w:rsid w:val="5C431149"/>
    <w:rsid w:val="5C796FAE"/>
    <w:rsid w:val="5C870BF8"/>
    <w:rsid w:val="5C873C0F"/>
    <w:rsid w:val="5CA21011"/>
    <w:rsid w:val="5CAA48C8"/>
    <w:rsid w:val="5CB47B23"/>
    <w:rsid w:val="5CFA027E"/>
    <w:rsid w:val="5D8A1162"/>
    <w:rsid w:val="5DA80048"/>
    <w:rsid w:val="5DD922ED"/>
    <w:rsid w:val="5DF32C77"/>
    <w:rsid w:val="5E143A01"/>
    <w:rsid w:val="5E291811"/>
    <w:rsid w:val="5E5E4943"/>
    <w:rsid w:val="5E6F6CBD"/>
    <w:rsid w:val="5F4277AE"/>
    <w:rsid w:val="5F5C3CE8"/>
    <w:rsid w:val="5F765701"/>
    <w:rsid w:val="5FA16E94"/>
    <w:rsid w:val="5FC27382"/>
    <w:rsid w:val="5FF6746B"/>
    <w:rsid w:val="600E4B3D"/>
    <w:rsid w:val="60EC7F79"/>
    <w:rsid w:val="61364320"/>
    <w:rsid w:val="616F7D4D"/>
    <w:rsid w:val="61835216"/>
    <w:rsid w:val="61921296"/>
    <w:rsid w:val="61F05C05"/>
    <w:rsid w:val="62191EEF"/>
    <w:rsid w:val="621D402A"/>
    <w:rsid w:val="62346DBA"/>
    <w:rsid w:val="624A06B2"/>
    <w:rsid w:val="62545E86"/>
    <w:rsid w:val="626968A7"/>
    <w:rsid w:val="626C14C9"/>
    <w:rsid w:val="62AC796E"/>
    <w:rsid w:val="62CA3FF8"/>
    <w:rsid w:val="62F52A87"/>
    <w:rsid w:val="62F53E53"/>
    <w:rsid w:val="63045904"/>
    <w:rsid w:val="6318751C"/>
    <w:rsid w:val="63326EB6"/>
    <w:rsid w:val="634B7515"/>
    <w:rsid w:val="6364343A"/>
    <w:rsid w:val="636649C5"/>
    <w:rsid w:val="637165B6"/>
    <w:rsid w:val="63AE1E4F"/>
    <w:rsid w:val="63B05CF6"/>
    <w:rsid w:val="63E844B2"/>
    <w:rsid w:val="641B72EC"/>
    <w:rsid w:val="641E5201"/>
    <w:rsid w:val="64661DD2"/>
    <w:rsid w:val="64A30443"/>
    <w:rsid w:val="64BB0AC7"/>
    <w:rsid w:val="653933D8"/>
    <w:rsid w:val="653C1ED6"/>
    <w:rsid w:val="6544413E"/>
    <w:rsid w:val="65AC1A9A"/>
    <w:rsid w:val="65D3415A"/>
    <w:rsid w:val="65E34551"/>
    <w:rsid w:val="65F657B4"/>
    <w:rsid w:val="660A7058"/>
    <w:rsid w:val="66BB3E53"/>
    <w:rsid w:val="66D80EDB"/>
    <w:rsid w:val="67011F59"/>
    <w:rsid w:val="67080B5E"/>
    <w:rsid w:val="6718700D"/>
    <w:rsid w:val="671D09A5"/>
    <w:rsid w:val="672D1B90"/>
    <w:rsid w:val="67410943"/>
    <w:rsid w:val="67F37BEE"/>
    <w:rsid w:val="682A7E04"/>
    <w:rsid w:val="68880792"/>
    <w:rsid w:val="68AB160D"/>
    <w:rsid w:val="68AB4314"/>
    <w:rsid w:val="68D1334C"/>
    <w:rsid w:val="68DD7BF4"/>
    <w:rsid w:val="691C1FBE"/>
    <w:rsid w:val="691E0FE5"/>
    <w:rsid w:val="69564F6A"/>
    <w:rsid w:val="6A01600D"/>
    <w:rsid w:val="6A120B5C"/>
    <w:rsid w:val="6A4F788C"/>
    <w:rsid w:val="6A635C78"/>
    <w:rsid w:val="6A6A7EA5"/>
    <w:rsid w:val="6A700689"/>
    <w:rsid w:val="6ACE7CE9"/>
    <w:rsid w:val="6AD5577C"/>
    <w:rsid w:val="6B0D1DFF"/>
    <w:rsid w:val="6B510CC5"/>
    <w:rsid w:val="6B771716"/>
    <w:rsid w:val="6BC87A3F"/>
    <w:rsid w:val="6BDD76A5"/>
    <w:rsid w:val="6BDE4237"/>
    <w:rsid w:val="6C197560"/>
    <w:rsid w:val="6C2853AF"/>
    <w:rsid w:val="6C3421D3"/>
    <w:rsid w:val="6C4F320C"/>
    <w:rsid w:val="6C686922"/>
    <w:rsid w:val="6C851A48"/>
    <w:rsid w:val="6C933772"/>
    <w:rsid w:val="6C9D70FF"/>
    <w:rsid w:val="6CAA73A6"/>
    <w:rsid w:val="6CDD6BD9"/>
    <w:rsid w:val="6CFB2741"/>
    <w:rsid w:val="6D092BEF"/>
    <w:rsid w:val="6D325318"/>
    <w:rsid w:val="6D4712AC"/>
    <w:rsid w:val="6D741A8D"/>
    <w:rsid w:val="6DEC2B56"/>
    <w:rsid w:val="6E070A16"/>
    <w:rsid w:val="6E1B5E16"/>
    <w:rsid w:val="6E326AE1"/>
    <w:rsid w:val="6E514474"/>
    <w:rsid w:val="6E530757"/>
    <w:rsid w:val="6E8D711F"/>
    <w:rsid w:val="6EAF6913"/>
    <w:rsid w:val="6EB625E4"/>
    <w:rsid w:val="6EB87630"/>
    <w:rsid w:val="6EC945FB"/>
    <w:rsid w:val="6EDA199C"/>
    <w:rsid w:val="6F1134FE"/>
    <w:rsid w:val="6F20771D"/>
    <w:rsid w:val="6F56219C"/>
    <w:rsid w:val="6F607900"/>
    <w:rsid w:val="6F6D3B6C"/>
    <w:rsid w:val="6FA570EE"/>
    <w:rsid w:val="700662E5"/>
    <w:rsid w:val="70636AC0"/>
    <w:rsid w:val="7066078F"/>
    <w:rsid w:val="706E4EB9"/>
    <w:rsid w:val="70764A38"/>
    <w:rsid w:val="70B87648"/>
    <w:rsid w:val="70D8516F"/>
    <w:rsid w:val="70D9305F"/>
    <w:rsid w:val="70DB6982"/>
    <w:rsid w:val="70DD2A82"/>
    <w:rsid w:val="712453E4"/>
    <w:rsid w:val="713A6116"/>
    <w:rsid w:val="71566BB9"/>
    <w:rsid w:val="71570BE5"/>
    <w:rsid w:val="71BF4BE8"/>
    <w:rsid w:val="720D2C9F"/>
    <w:rsid w:val="720E3209"/>
    <w:rsid w:val="72421880"/>
    <w:rsid w:val="72761793"/>
    <w:rsid w:val="729C0FCF"/>
    <w:rsid w:val="72D169E6"/>
    <w:rsid w:val="736159BC"/>
    <w:rsid w:val="73A6715E"/>
    <w:rsid w:val="73B57968"/>
    <w:rsid w:val="73D27FDB"/>
    <w:rsid w:val="73D72D76"/>
    <w:rsid w:val="73E20A67"/>
    <w:rsid w:val="74063F04"/>
    <w:rsid w:val="74074804"/>
    <w:rsid w:val="744905CA"/>
    <w:rsid w:val="745A7948"/>
    <w:rsid w:val="74A12B60"/>
    <w:rsid w:val="74AE7FB7"/>
    <w:rsid w:val="74BB5E85"/>
    <w:rsid w:val="74D130D1"/>
    <w:rsid w:val="753F7B6E"/>
    <w:rsid w:val="75595DB8"/>
    <w:rsid w:val="756F55F3"/>
    <w:rsid w:val="757778D4"/>
    <w:rsid w:val="758844E9"/>
    <w:rsid w:val="75890E2F"/>
    <w:rsid w:val="759B0822"/>
    <w:rsid w:val="75A22A9C"/>
    <w:rsid w:val="75AF5EBB"/>
    <w:rsid w:val="75C16065"/>
    <w:rsid w:val="75D72B39"/>
    <w:rsid w:val="75FA674F"/>
    <w:rsid w:val="76143215"/>
    <w:rsid w:val="76147BAB"/>
    <w:rsid w:val="762444B5"/>
    <w:rsid w:val="764C2EF1"/>
    <w:rsid w:val="76513981"/>
    <w:rsid w:val="767427E4"/>
    <w:rsid w:val="76820D98"/>
    <w:rsid w:val="77000D92"/>
    <w:rsid w:val="77124F24"/>
    <w:rsid w:val="773768E2"/>
    <w:rsid w:val="77720090"/>
    <w:rsid w:val="77BB45DB"/>
    <w:rsid w:val="77FF5D32"/>
    <w:rsid w:val="7825156C"/>
    <w:rsid w:val="785A6A80"/>
    <w:rsid w:val="786E3D73"/>
    <w:rsid w:val="78CB247D"/>
    <w:rsid w:val="78EB44F7"/>
    <w:rsid w:val="78ED74E7"/>
    <w:rsid w:val="79090FEB"/>
    <w:rsid w:val="79201B4B"/>
    <w:rsid w:val="797816EF"/>
    <w:rsid w:val="797E4B8A"/>
    <w:rsid w:val="79AE26A0"/>
    <w:rsid w:val="79B858F5"/>
    <w:rsid w:val="79C612FE"/>
    <w:rsid w:val="79CF1358"/>
    <w:rsid w:val="7A182BE0"/>
    <w:rsid w:val="7A584CD9"/>
    <w:rsid w:val="7A7A5F58"/>
    <w:rsid w:val="7A917AC0"/>
    <w:rsid w:val="7AAD4FBF"/>
    <w:rsid w:val="7AC40EC9"/>
    <w:rsid w:val="7AD42C5B"/>
    <w:rsid w:val="7AF373F0"/>
    <w:rsid w:val="7B055324"/>
    <w:rsid w:val="7B0B5639"/>
    <w:rsid w:val="7B186ABA"/>
    <w:rsid w:val="7B2E272E"/>
    <w:rsid w:val="7C5E79FB"/>
    <w:rsid w:val="7C772FEC"/>
    <w:rsid w:val="7CAA0A7F"/>
    <w:rsid w:val="7CB62E7D"/>
    <w:rsid w:val="7CD5720F"/>
    <w:rsid w:val="7D8A6B73"/>
    <w:rsid w:val="7D92372B"/>
    <w:rsid w:val="7D970A1E"/>
    <w:rsid w:val="7DC70775"/>
    <w:rsid w:val="7DDD402F"/>
    <w:rsid w:val="7E0D7765"/>
    <w:rsid w:val="7E226F48"/>
    <w:rsid w:val="7E2D145A"/>
    <w:rsid w:val="7E3E199B"/>
    <w:rsid w:val="7E576152"/>
    <w:rsid w:val="7EB01594"/>
    <w:rsid w:val="7EE0668C"/>
    <w:rsid w:val="7EF14824"/>
    <w:rsid w:val="7F0650D6"/>
    <w:rsid w:val="7F9B7434"/>
    <w:rsid w:val="7FEE45D0"/>
    <w:rsid w:val="7FF60B29"/>
    <w:rsid w:val="9FFE502E"/>
    <w:rsid w:val="FBDFA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ind w:left="864" w:hanging="864"/>
      <w:outlineLvl w:val="3"/>
    </w:pPr>
    <w:rPr>
      <w:rFonts w:ascii="Cambria" w:hAnsi="Cambria"/>
      <w:b/>
      <w:bCs/>
      <w:kern w:val="0"/>
      <w:sz w:val="28"/>
      <w:szCs w:val="28"/>
    </w:rPr>
  </w:style>
  <w:style w:type="paragraph" w:styleId="6">
    <w:name w:val="heading 6"/>
    <w:basedOn w:val="1"/>
    <w:next w:val="1"/>
    <w:link w:val="37"/>
    <w:qFormat/>
    <w:uiPriority w:val="0"/>
    <w:pPr>
      <w:keepNext/>
      <w:keepLines/>
      <w:spacing w:before="240" w:after="64" w:line="319" w:lineRule="auto"/>
      <w:outlineLvl w:val="5"/>
    </w:pPr>
    <w:rPr>
      <w:rFonts w:ascii="Arial" w:hAnsi="Arial" w:eastAsia="黑体"/>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unhideWhenUsed/>
    <w:qFormat/>
    <w:uiPriority w:val="99"/>
    <w:pPr>
      <w:ind w:left="1400" w:leftChars="1400"/>
    </w:pPr>
  </w:style>
  <w:style w:type="paragraph" w:styleId="8">
    <w:name w:val="Normal Indent"/>
    <w:basedOn w:val="1"/>
    <w:link w:val="38"/>
    <w:qFormat/>
    <w:uiPriority w:val="0"/>
    <w:pPr>
      <w:ind w:firstLine="420"/>
    </w:pPr>
    <w:rPr>
      <w:szCs w:val="20"/>
    </w:rPr>
  </w:style>
  <w:style w:type="paragraph" w:styleId="9">
    <w:name w:val="toa heading"/>
    <w:basedOn w:val="1"/>
    <w:next w:val="1"/>
    <w:qFormat/>
    <w:uiPriority w:val="99"/>
    <w:pPr>
      <w:spacing w:before="120"/>
    </w:pPr>
    <w:rPr>
      <w:rFonts w:ascii="Cambria" w:hAnsi="Cambria" w:cs="宋体"/>
      <w:sz w:val="24"/>
    </w:rPr>
  </w:style>
  <w:style w:type="paragraph" w:styleId="10">
    <w:name w:val="annotation text"/>
    <w:basedOn w:val="1"/>
    <w:link w:val="39"/>
    <w:qFormat/>
    <w:uiPriority w:val="0"/>
    <w:pPr>
      <w:jc w:val="left"/>
    </w:pPr>
  </w:style>
  <w:style w:type="paragraph" w:styleId="11">
    <w:name w:val="Body Text 3"/>
    <w:basedOn w:val="1"/>
    <w:link w:val="40"/>
    <w:qFormat/>
    <w:uiPriority w:val="0"/>
    <w:pPr>
      <w:spacing w:line="240" w:lineRule="exact"/>
    </w:pPr>
    <w:rPr>
      <w:rFonts w:ascii="宋体" w:hAnsi="宋体"/>
      <w:color w:val="000000"/>
      <w:szCs w:val="21"/>
    </w:rPr>
  </w:style>
  <w:style w:type="paragraph" w:styleId="12">
    <w:name w:val="Body Text"/>
    <w:basedOn w:val="1"/>
    <w:link w:val="41"/>
    <w:unhideWhenUsed/>
    <w:qFormat/>
    <w:uiPriority w:val="0"/>
    <w:pPr>
      <w:spacing w:after="120"/>
    </w:pPr>
  </w:style>
  <w:style w:type="paragraph" w:styleId="13">
    <w:name w:val="Body Text Indent"/>
    <w:basedOn w:val="1"/>
    <w:qFormat/>
    <w:uiPriority w:val="0"/>
    <w:pPr>
      <w:ind w:firstLine="830" w:firstLineChars="352"/>
    </w:pPr>
    <w:rPr>
      <w:rFonts w:ascii="仿宋_GB2312" w:eastAsia="仿宋_GB2312"/>
      <w:sz w:val="32"/>
      <w:szCs w:val="20"/>
    </w:rPr>
  </w:style>
  <w:style w:type="paragraph" w:styleId="14">
    <w:name w:val="Plain Text"/>
    <w:basedOn w:val="1"/>
    <w:next w:val="7"/>
    <w:link w:val="42"/>
    <w:qFormat/>
    <w:uiPriority w:val="0"/>
    <w:rPr>
      <w:rFonts w:ascii="宋体" w:hAnsi="Courier New"/>
      <w:szCs w:val="20"/>
    </w:rPr>
  </w:style>
  <w:style w:type="paragraph" w:styleId="15">
    <w:name w:val="Date"/>
    <w:basedOn w:val="1"/>
    <w:next w:val="1"/>
    <w:link w:val="43"/>
    <w:qFormat/>
    <w:uiPriority w:val="0"/>
    <w:pPr>
      <w:ind w:left="100" w:leftChars="2500"/>
    </w:pPr>
  </w:style>
  <w:style w:type="paragraph" w:styleId="16">
    <w:name w:val="Balloon Text"/>
    <w:basedOn w:val="1"/>
    <w:link w:val="44"/>
    <w:semiHidden/>
    <w:qFormat/>
    <w:uiPriority w:val="0"/>
    <w:rPr>
      <w:sz w:val="18"/>
      <w:szCs w:val="18"/>
    </w:rPr>
  </w:style>
  <w:style w:type="paragraph" w:styleId="17">
    <w:name w:val="footer"/>
    <w:basedOn w:val="1"/>
    <w:link w:val="45"/>
    <w:qFormat/>
    <w:uiPriority w:val="0"/>
    <w:pPr>
      <w:tabs>
        <w:tab w:val="center" w:pos="4153"/>
        <w:tab w:val="right" w:pos="8306"/>
      </w:tabs>
      <w:snapToGrid w:val="0"/>
      <w:jc w:val="left"/>
    </w:pPr>
    <w:rPr>
      <w:sz w:val="18"/>
      <w:szCs w:val="18"/>
    </w:rPr>
  </w:style>
  <w:style w:type="paragraph" w:styleId="18">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0"/>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annotation subject"/>
    <w:basedOn w:val="10"/>
    <w:next w:val="10"/>
    <w:link w:val="47"/>
    <w:semiHidden/>
    <w:qFormat/>
    <w:uiPriority w:val="0"/>
    <w:rPr>
      <w:b/>
      <w:bCs/>
    </w:rPr>
  </w:style>
  <w:style w:type="paragraph" w:styleId="22">
    <w:name w:val="Body Text First Indent"/>
    <w:basedOn w:val="12"/>
    <w:link w:val="48"/>
    <w:unhideWhenUsed/>
    <w:qFormat/>
    <w:uiPriority w:val="99"/>
    <w:pPr>
      <w:ind w:firstLine="420" w:firstLineChars="100"/>
    </w:pPr>
  </w:style>
  <w:style w:type="paragraph" w:styleId="23">
    <w:name w:val="Body Text First Indent 2"/>
    <w:basedOn w:val="13"/>
    <w:qFormat/>
    <w:uiPriority w:val="0"/>
    <w:pPr>
      <w:ind w:left="420" w:leftChars="200" w:firstLine="420" w:firstLineChars="200"/>
    </w:pPr>
    <w:rPr>
      <w:rFonts w:ascii="Times New Roman" w:hAnsi="Times New Roman" w:eastAsia="宋体"/>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unhideWhenUsed/>
    <w:qFormat/>
    <w:uiPriority w:val="99"/>
    <w:rPr>
      <w:color w:val="800080"/>
      <w:u w:val="single"/>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styleId="31">
    <w:name w:val="HTML Sample"/>
    <w:basedOn w:val="26"/>
    <w:semiHidden/>
    <w:unhideWhenUsed/>
    <w:qFormat/>
    <w:uiPriority w:val="0"/>
    <w:rPr>
      <w:rFonts w:ascii="Courier New" w:hAnsi="Courier New"/>
    </w:rPr>
  </w:style>
  <w:style w:type="paragraph" w:customStyle="1" w:styleId="32">
    <w:name w:val="Fließtext"/>
    <w:basedOn w:val="1"/>
    <w:qFormat/>
    <w:uiPriority w:val="0"/>
    <w:pPr>
      <w:overflowPunct w:val="0"/>
      <w:autoSpaceDE w:val="0"/>
      <w:autoSpaceDN w:val="0"/>
      <w:adjustRightInd w:val="0"/>
      <w:textAlignment w:val="baseline"/>
    </w:pPr>
    <w:rPr>
      <w:rFonts w:ascii="Calibri" w:hAnsi="Calibri" w:eastAsia="宋体"/>
      <w:kern w:val="28"/>
    </w:rPr>
  </w:style>
  <w:style w:type="paragraph" w:customStyle="1" w:styleId="33">
    <w:name w:val="表格文字"/>
    <w:basedOn w:val="1"/>
    <w:qFormat/>
    <w:uiPriority w:val="0"/>
    <w:pPr>
      <w:spacing w:before="25" w:after="25"/>
      <w:jc w:val="left"/>
    </w:pPr>
    <w:rPr>
      <w:rFonts w:ascii="Times New Roman" w:hAnsi="Times New Roman" w:eastAsia="宋体"/>
      <w:bCs/>
      <w:spacing w:val="10"/>
      <w:kern w:val="0"/>
      <w:sz w:val="24"/>
    </w:rPr>
  </w:style>
  <w:style w:type="character" w:customStyle="1" w:styleId="34">
    <w:name w:val="标题 1 字符"/>
    <w:link w:val="2"/>
    <w:qFormat/>
    <w:uiPriority w:val="0"/>
    <w:rPr>
      <w:b/>
      <w:bCs/>
      <w:kern w:val="44"/>
      <w:sz w:val="44"/>
      <w:szCs w:val="44"/>
    </w:rPr>
  </w:style>
  <w:style w:type="character" w:customStyle="1" w:styleId="35">
    <w:name w:val="标题 2 字符"/>
    <w:link w:val="3"/>
    <w:semiHidden/>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6 字符"/>
    <w:link w:val="6"/>
    <w:semiHidden/>
    <w:qFormat/>
    <w:uiPriority w:val="0"/>
    <w:rPr>
      <w:rFonts w:ascii="Arial" w:hAnsi="Arial" w:eastAsia="黑体"/>
      <w:b/>
      <w:bCs/>
      <w:kern w:val="2"/>
      <w:sz w:val="24"/>
      <w:szCs w:val="24"/>
    </w:rPr>
  </w:style>
  <w:style w:type="character" w:customStyle="1" w:styleId="38">
    <w:name w:val="正文缩进 字符"/>
    <w:link w:val="8"/>
    <w:qFormat/>
    <w:locked/>
    <w:uiPriority w:val="0"/>
    <w:rPr>
      <w:rFonts w:eastAsia="宋体"/>
      <w:kern w:val="2"/>
      <w:sz w:val="21"/>
      <w:lang w:val="en-US" w:eastAsia="zh-CN" w:bidi="ar-SA"/>
    </w:rPr>
  </w:style>
  <w:style w:type="character" w:customStyle="1" w:styleId="39">
    <w:name w:val="批注文字 字符"/>
    <w:link w:val="10"/>
    <w:qFormat/>
    <w:uiPriority w:val="0"/>
    <w:rPr>
      <w:rFonts w:eastAsia="宋体"/>
      <w:kern w:val="2"/>
      <w:sz w:val="21"/>
      <w:szCs w:val="24"/>
      <w:lang w:val="en-US" w:eastAsia="zh-CN" w:bidi="ar-SA"/>
    </w:rPr>
  </w:style>
  <w:style w:type="character" w:customStyle="1" w:styleId="40">
    <w:name w:val="正文文本 3 字符"/>
    <w:link w:val="11"/>
    <w:qFormat/>
    <w:uiPriority w:val="0"/>
    <w:rPr>
      <w:rFonts w:ascii="宋体" w:hAnsi="宋体"/>
      <w:color w:val="000000"/>
      <w:kern w:val="2"/>
      <w:sz w:val="21"/>
      <w:szCs w:val="21"/>
    </w:rPr>
  </w:style>
  <w:style w:type="character" w:customStyle="1" w:styleId="41">
    <w:name w:val="正文文本 字符"/>
    <w:link w:val="12"/>
    <w:qFormat/>
    <w:locked/>
    <w:uiPriority w:val="0"/>
    <w:rPr>
      <w:kern w:val="2"/>
      <w:sz w:val="21"/>
      <w:szCs w:val="24"/>
    </w:rPr>
  </w:style>
  <w:style w:type="character" w:customStyle="1" w:styleId="42">
    <w:name w:val="纯文本 字符"/>
    <w:link w:val="14"/>
    <w:qFormat/>
    <w:uiPriority w:val="0"/>
    <w:rPr>
      <w:rFonts w:ascii="宋体" w:hAnsi="Courier New" w:eastAsia="宋体"/>
      <w:kern w:val="2"/>
      <w:sz w:val="21"/>
      <w:lang w:val="en-US" w:eastAsia="zh-CN" w:bidi="ar-SA"/>
    </w:rPr>
  </w:style>
  <w:style w:type="character" w:customStyle="1" w:styleId="43">
    <w:name w:val="日期 字符"/>
    <w:link w:val="15"/>
    <w:qFormat/>
    <w:uiPriority w:val="0"/>
    <w:rPr>
      <w:kern w:val="2"/>
      <w:sz w:val="21"/>
      <w:szCs w:val="24"/>
    </w:rPr>
  </w:style>
  <w:style w:type="character" w:customStyle="1" w:styleId="44">
    <w:name w:val="批注框文本 字符"/>
    <w:link w:val="16"/>
    <w:semiHidden/>
    <w:qFormat/>
    <w:uiPriority w:val="0"/>
    <w:rPr>
      <w:kern w:val="2"/>
      <w:sz w:val="18"/>
      <w:szCs w:val="18"/>
    </w:rPr>
  </w:style>
  <w:style w:type="character" w:customStyle="1" w:styleId="45">
    <w:name w:val="页脚 字符"/>
    <w:link w:val="17"/>
    <w:qFormat/>
    <w:uiPriority w:val="0"/>
    <w:rPr>
      <w:kern w:val="2"/>
      <w:sz w:val="18"/>
      <w:szCs w:val="18"/>
    </w:rPr>
  </w:style>
  <w:style w:type="character" w:customStyle="1" w:styleId="46">
    <w:name w:val="页眉 字符"/>
    <w:link w:val="18"/>
    <w:qFormat/>
    <w:uiPriority w:val="0"/>
    <w:rPr>
      <w:kern w:val="2"/>
      <w:sz w:val="18"/>
      <w:szCs w:val="18"/>
    </w:rPr>
  </w:style>
  <w:style w:type="character" w:customStyle="1" w:styleId="47">
    <w:name w:val="批注主题 字符"/>
    <w:link w:val="21"/>
    <w:semiHidden/>
    <w:qFormat/>
    <w:uiPriority w:val="0"/>
    <w:rPr>
      <w:rFonts w:eastAsia="宋体"/>
      <w:b/>
      <w:bCs/>
      <w:kern w:val="2"/>
      <w:sz w:val="21"/>
      <w:szCs w:val="24"/>
      <w:lang w:val="en-US" w:eastAsia="zh-CN" w:bidi="ar-SA"/>
    </w:rPr>
  </w:style>
  <w:style w:type="character" w:customStyle="1" w:styleId="48">
    <w:name w:val="正文文本首行缩进 字符"/>
    <w:basedOn w:val="49"/>
    <w:link w:val="22"/>
    <w:qFormat/>
    <w:locked/>
    <w:uiPriority w:val="99"/>
    <w:rPr>
      <w:kern w:val="2"/>
      <w:sz w:val="21"/>
      <w:szCs w:val="24"/>
    </w:rPr>
  </w:style>
  <w:style w:type="character" w:customStyle="1" w:styleId="49">
    <w:name w:val="正文文本 Char1"/>
    <w:qFormat/>
    <w:locked/>
    <w:uiPriority w:val="0"/>
    <w:rPr>
      <w:kern w:val="2"/>
      <w:sz w:val="21"/>
      <w:szCs w:val="24"/>
    </w:rPr>
  </w:style>
  <w:style w:type="character" w:customStyle="1" w:styleId="50">
    <w:name w:val="Char Char10"/>
    <w:qFormat/>
    <w:locked/>
    <w:uiPriority w:val="0"/>
    <w:rPr>
      <w:rFonts w:ascii="宋体" w:hAnsi="宋体" w:eastAsia="宋体"/>
      <w:kern w:val="2"/>
      <w:sz w:val="21"/>
      <w:szCs w:val="24"/>
      <w:lang w:val="en-US" w:eastAsia="zh-CN" w:bidi="ar-SA"/>
    </w:rPr>
  </w:style>
  <w:style w:type="character" w:customStyle="1" w:styleId="51">
    <w:name w:val="font11"/>
    <w:basedOn w:val="26"/>
    <w:qFormat/>
    <w:uiPriority w:val="0"/>
    <w:rPr>
      <w:rFonts w:hint="eastAsia" w:ascii="宋体" w:hAnsi="宋体" w:eastAsia="宋体" w:cs="宋体"/>
      <w:color w:val="000000"/>
      <w:sz w:val="22"/>
      <w:szCs w:val="22"/>
      <w:u w:val="none"/>
    </w:rPr>
  </w:style>
  <w:style w:type="character" w:customStyle="1" w:styleId="52">
    <w:name w:val="正文首行缩进 Char"/>
    <w:basedOn w:val="53"/>
    <w:qFormat/>
    <w:uiPriority w:val="99"/>
    <w:rPr>
      <w:kern w:val="2"/>
      <w:sz w:val="21"/>
      <w:szCs w:val="24"/>
    </w:rPr>
  </w:style>
  <w:style w:type="character" w:customStyle="1" w:styleId="53">
    <w:name w:val="正文文本 Char"/>
    <w:qFormat/>
    <w:uiPriority w:val="99"/>
    <w:rPr>
      <w:kern w:val="2"/>
      <w:sz w:val="21"/>
      <w:szCs w:val="24"/>
    </w:rPr>
  </w:style>
  <w:style w:type="character" w:customStyle="1" w:styleId="54">
    <w:name w:val="NormalCharacter"/>
    <w:semiHidden/>
    <w:qFormat/>
    <w:uiPriority w:val="99"/>
  </w:style>
  <w:style w:type="character" w:customStyle="1" w:styleId="55">
    <w:name w:val="Char Char3"/>
    <w:qFormat/>
    <w:uiPriority w:val="0"/>
    <w:rPr>
      <w:rFonts w:hint="eastAsia" w:ascii="宋体" w:hAnsi="Courier New" w:eastAsia="宋体"/>
      <w:kern w:val="2"/>
      <w:sz w:val="21"/>
      <w:lang w:val="en-US" w:eastAsia="zh-CN" w:bidi="ar-SA"/>
    </w:rPr>
  </w:style>
  <w:style w:type="character" w:customStyle="1" w:styleId="56">
    <w:name w:val="纯文本 Char2"/>
    <w:semiHidden/>
    <w:qFormat/>
    <w:locked/>
    <w:uiPriority w:val="0"/>
    <w:rPr>
      <w:rFonts w:ascii="宋体" w:hAnsi="Courier New"/>
      <w:kern w:val="2"/>
      <w:sz w:val="21"/>
    </w:rPr>
  </w:style>
  <w:style w:type="character" w:customStyle="1" w:styleId="57">
    <w:name w:val="Char Char101"/>
    <w:qFormat/>
    <w:uiPriority w:val="0"/>
    <w:rPr>
      <w:rFonts w:eastAsia="宋体"/>
      <w:kern w:val="2"/>
      <w:sz w:val="21"/>
      <w:szCs w:val="24"/>
      <w:lang w:val="en-US" w:eastAsia="zh-CN" w:bidi="ar-SA"/>
    </w:rPr>
  </w:style>
  <w:style w:type="character" w:customStyle="1" w:styleId="58">
    <w:name w:val="批注文字 Char1"/>
    <w:semiHidden/>
    <w:qFormat/>
    <w:locked/>
    <w:uiPriority w:val="0"/>
    <w:rPr>
      <w:kern w:val="2"/>
      <w:sz w:val="21"/>
      <w:szCs w:val="24"/>
    </w:rPr>
  </w:style>
  <w:style w:type="character" w:customStyle="1" w:styleId="59">
    <w:name w:val="font31"/>
    <w:basedOn w:val="26"/>
    <w:qFormat/>
    <w:uiPriority w:val="0"/>
    <w:rPr>
      <w:rFonts w:hint="eastAsia" w:ascii="宋体" w:hAnsi="宋体" w:eastAsia="宋体" w:cs="宋体"/>
      <w:color w:val="000000"/>
      <w:sz w:val="22"/>
      <w:szCs w:val="22"/>
      <w:u w:val="none"/>
    </w:rPr>
  </w:style>
  <w:style w:type="character" w:customStyle="1" w:styleId="60">
    <w:name w:val="Char Char31"/>
    <w:qFormat/>
    <w:uiPriority w:val="0"/>
    <w:rPr>
      <w:rFonts w:ascii="宋体" w:hAnsi="Courier New" w:eastAsia="宋体"/>
      <w:kern w:val="2"/>
      <w:sz w:val="21"/>
      <w:lang w:val="en-US" w:eastAsia="zh-CN" w:bidi="ar-SA"/>
    </w:rPr>
  </w:style>
  <w:style w:type="character" w:customStyle="1" w:styleId="61">
    <w:name w:val="Char Char"/>
    <w:qFormat/>
    <w:locked/>
    <w:uiPriority w:val="0"/>
    <w:rPr>
      <w:rFonts w:ascii="宋体" w:hAnsi="宋体" w:eastAsia="宋体"/>
      <w:kern w:val="2"/>
      <w:sz w:val="21"/>
      <w:szCs w:val="24"/>
      <w:lang w:val="en-US" w:eastAsia="zh-CN" w:bidi="ar-SA"/>
    </w:rPr>
  </w:style>
  <w:style w:type="character" w:customStyle="1" w:styleId="62">
    <w:name w:val="批注文字 Char2"/>
    <w:semiHidden/>
    <w:qFormat/>
    <w:locked/>
    <w:uiPriority w:val="0"/>
    <w:rPr>
      <w:kern w:val="2"/>
      <w:sz w:val="21"/>
      <w:szCs w:val="24"/>
    </w:rPr>
  </w:style>
  <w:style w:type="character" w:customStyle="1" w:styleId="63">
    <w:name w:val="纯文本 Char1"/>
    <w:qFormat/>
    <w:locked/>
    <w:uiPriority w:val="0"/>
    <w:rPr>
      <w:rFonts w:ascii="宋体" w:hAnsi="Calibri"/>
    </w:rPr>
  </w:style>
  <w:style w:type="character" w:customStyle="1" w:styleId="64">
    <w:name w:val="列表段落 字符"/>
    <w:link w:val="65"/>
    <w:qFormat/>
    <w:locked/>
    <w:uiPriority w:val="34"/>
    <w:rPr>
      <w:kern w:val="2"/>
      <w:sz w:val="21"/>
    </w:rPr>
  </w:style>
  <w:style w:type="paragraph" w:styleId="65">
    <w:name w:val="List Paragraph"/>
    <w:basedOn w:val="1"/>
    <w:link w:val="64"/>
    <w:qFormat/>
    <w:uiPriority w:val="34"/>
    <w:pPr>
      <w:ind w:firstLine="420" w:firstLineChars="200"/>
    </w:pPr>
    <w:rPr>
      <w:szCs w:val="20"/>
    </w:rPr>
  </w:style>
  <w:style w:type="character" w:customStyle="1" w:styleId="66">
    <w:name w:val="font21"/>
    <w:basedOn w:val="26"/>
    <w:qFormat/>
    <w:uiPriority w:val="0"/>
    <w:rPr>
      <w:rFonts w:hint="default" w:ascii="Times New Roman" w:hAnsi="Times New Roman" w:cs="Times New Roman"/>
      <w:color w:val="000000"/>
      <w:sz w:val="22"/>
      <w:szCs w:val="22"/>
      <w:u w:val="none"/>
    </w:rPr>
  </w:style>
  <w:style w:type="character" w:customStyle="1" w:styleId="67">
    <w:name w:val="font51"/>
    <w:basedOn w:val="26"/>
    <w:qFormat/>
    <w:uiPriority w:val="0"/>
    <w:rPr>
      <w:rFonts w:hint="eastAsia" w:ascii="宋体" w:hAnsi="宋体" w:eastAsia="宋体" w:cs="宋体"/>
      <w:color w:val="000000"/>
      <w:sz w:val="22"/>
      <w:szCs w:val="22"/>
      <w:u w:val="none"/>
    </w:rPr>
  </w:style>
  <w:style w:type="character" w:customStyle="1" w:styleId="68">
    <w:name w:val="font01"/>
    <w:basedOn w:val="26"/>
    <w:qFormat/>
    <w:uiPriority w:val="0"/>
    <w:rPr>
      <w:rFonts w:hint="eastAsia" w:ascii="宋体" w:hAnsi="宋体" w:eastAsia="宋体" w:cs="宋体"/>
      <w:color w:val="000000"/>
      <w:sz w:val="22"/>
      <w:szCs w:val="22"/>
      <w:u w:val="none"/>
    </w:rPr>
  </w:style>
  <w:style w:type="paragraph" w:customStyle="1" w:styleId="69">
    <w:name w:val="1"/>
    <w:basedOn w:val="1"/>
    <w:next w:val="14"/>
    <w:qFormat/>
    <w:uiPriority w:val="0"/>
    <w:rPr>
      <w:rFonts w:ascii="宋体" w:hAnsi="Courier New"/>
      <w:szCs w:val="20"/>
    </w:rPr>
  </w:style>
  <w:style w:type="paragraph" w:customStyle="1" w:styleId="70">
    <w:name w:val="p0"/>
    <w:basedOn w:val="1"/>
    <w:qFormat/>
    <w:uiPriority w:val="0"/>
    <w:pPr>
      <w:widowControl/>
    </w:pPr>
    <w:rPr>
      <w:rFonts w:ascii="Calibri" w:hAnsi="Calibri" w:eastAsia="宋体"/>
      <w:kern w:val="0"/>
      <w:szCs w:val="21"/>
    </w:rPr>
  </w:style>
  <w:style w:type="paragraph" w:customStyle="1" w:styleId="71">
    <w:name w:val="列出段落1"/>
    <w:basedOn w:val="1"/>
    <w:qFormat/>
    <w:uiPriority w:val="34"/>
    <w:pPr>
      <w:ind w:firstLine="420" w:firstLineChars="200"/>
    </w:pPr>
  </w:style>
  <w:style w:type="paragraph" w:customStyle="1" w:styleId="72">
    <w:name w:val="列出段落2"/>
    <w:basedOn w:val="1"/>
    <w:qFormat/>
    <w:uiPriority w:val="34"/>
    <w:pPr>
      <w:ind w:firstLine="420" w:firstLineChars="200"/>
    </w:pPr>
    <w:rPr>
      <w:rFonts w:ascii="Calibri" w:hAnsi="Calibri"/>
      <w:szCs w:val="22"/>
    </w:rPr>
  </w:style>
  <w:style w:type="paragraph" w:customStyle="1" w:styleId="73">
    <w:name w:val="Char"/>
    <w:basedOn w:val="1"/>
    <w:qFormat/>
    <w:uiPriority w:val="0"/>
  </w:style>
  <w:style w:type="paragraph" w:customStyle="1" w:styleId="74">
    <w:name w:val="_Style 4"/>
    <w:basedOn w:val="1"/>
    <w:qFormat/>
    <w:uiPriority w:val="34"/>
    <w:pPr>
      <w:ind w:firstLine="420" w:firstLineChars="200"/>
    </w:pPr>
    <w:rPr>
      <w:rFonts w:ascii="Calibri" w:hAnsi="Calibri"/>
      <w:szCs w:val="22"/>
    </w:rPr>
  </w:style>
  <w:style w:type="paragraph" w:customStyle="1" w:styleId="75">
    <w:name w:val="WPSOffice手动目录 1"/>
    <w:qFormat/>
    <w:uiPriority w:val="0"/>
    <w:pPr>
      <w:spacing w:after="160" w:line="278" w:lineRule="auto"/>
    </w:pPr>
    <w:rPr>
      <w:rFonts w:ascii="等线" w:hAnsi="等线" w:eastAsia="等线" w:cs="Times New Roman"/>
      <w:lang w:val="en-US" w:eastAsia="zh-CN" w:bidi="ar-SA"/>
    </w:rPr>
  </w:style>
  <w:style w:type="paragraph" w:customStyle="1" w:styleId="76">
    <w:name w:val="段"/>
    <w:next w:val="1"/>
    <w:qFormat/>
    <w:uiPriority w:val="0"/>
    <w:pPr>
      <w:autoSpaceDE w:val="0"/>
      <w:autoSpaceDN w:val="0"/>
      <w:adjustRightInd w:val="0"/>
      <w:snapToGrid w:val="0"/>
      <w:spacing w:after="160" w:line="360" w:lineRule="auto"/>
      <w:ind w:firstLine="200" w:firstLineChars="200"/>
      <w:jc w:val="both"/>
    </w:pPr>
    <w:rPr>
      <w:rFonts w:ascii="宋体" w:hAnsi="Calibri" w:eastAsia="宋体" w:cs="Times New Roman"/>
      <w:sz w:val="24"/>
      <w:szCs w:val="22"/>
      <w:lang w:val="en-US" w:eastAsia="zh-CN" w:bidi="ar-SA"/>
    </w:rPr>
  </w:style>
  <w:style w:type="character" w:customStyle="1" w:styleId="77">
    <w:name w:val="font41"/>
    <w:basedOn w:val="26"/>
    <w:qFormat/>
    <w:uiPriority w:val="0"/>
    <w:rPr>
      <w:rFonts w:hint="eastAsia" w:ascii="宋体" w:hAnsi="宋体" w:eastAsia="宋体" w:cs="宋体"/>
      <w:color w:val="000000"/>
      <w:sz w:val="24"/>
      <w:szCs w:val="24"/>
      <w:u w:val="none"/>
    </w:rPr>
  </w:style>
  <w:style w:type="paragraph" w:customStyle="1" w:styleId="78">
    <w:name w:val="修订1"/>
    <w:hidden/>
    <w:unhideWhenUsed/>
    <w:qFormat/>
    <w:uiPriority w:val="99"/>
    <w:pPr>
      <w:spacing w:after="160" w:line="278" w:lineRule="auto"/>
    </w:pPr>
    <w:rPr>
      <w:rFonts w:ascii="等线" w:hAnsi="等线" w:eastAsia="等线" w:cs="Times New Roman"/>
      <w:kern w:val="2"/>
      <w:sz w:val="21"/>
      <w:szCs w:val="24"/>
      <w:lang w:val="en-US" w:eastAsia="zh-CN" w:bidi="ar-SA"/>
    </w:rPr>
  </w:style>
  <w:style w:type="paragraph" w:customStyle="1" w:styleId="7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05A98-444D-4C21-B69F-D17875109D2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37082</Words>
  <Characters>39193</Characters>
  <Lines>308</Lines>
  <Paragraphs>86</Paragraphs>
  <TotalTime>12</TotalTime>
  <ScaleCrop>false</ScaleCrop>
  <LinksUpToDate>false</LinksUpToDate>
  <CharactersWithSpaces>41602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2023-12-06T02:32:00Z</dcterms:created>
  <dc:creator>未定义</dc:creator>
  <cp:lastModifiedBy>NTKO</cp:lastModifiedBy>
  <cp:lastPrinted>2020-08-26T13:41:00Z</cp:lastPrinted>
  <dcterms:modified xsi:type="dcterms:W3CDTF">2024-07-23T05:57:02Z</dcterms:modified>
  <dc:title>医疗设备采购</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3B80A7AC89C84BBF92317BF80001B3C7_13</vt:lpwstr>
  </property>
</Properties>
</file>