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fontTable.xml" ContentType="application/vnd.openxmlformats-officedocument.wordprocessingml.fontTable+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6"/>
        <w:tblW w:w="855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4"/>
        <w:gridCol w:w="1518"/>
        <w:gridCol w:w="6337"/>
      </w:tblGrid>
      <w:tr w14:paraId="295FDB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Pr>
          <w:p w14:paraId="47C2C77F">
            <w:pPr>
              <w:widowControl/>
              <w:shd w:val="clear" w:color="auto" w:fill="FFFFFF"/>
              <w:spacing w:line="320" w:lineRule="exact"/>
              <w:jc w:val="center"/>
              <w:outlineLvl w:val="0"/>
              <w:rPr>
                <w:rFonts w:ascii="宋体" w:hAnsi="宋体" w:cs="仿宋_GB2312"/>
                <w:color w:val="000000" w:themeColor="text1"/>
                <w:kern w:val="44"/>
                <w:szCs w:val="21"/>
                <w14:textFill>
                  <w14:solidFill>
                    <w14:schemeClr w14:val="tx1"/>
                  </w14:solidFill>
                </w14:textFill>
              </w:rPr>
            </w:pPr>
            <w:r>
              <w:rPr>
                <w:rFonts w:hint="eastAsia" w:ascii="宋体" w:hAnsi="宋体" w:cs="仿宋_GB2312"/>
                <w:color w:val="000000" w:themeColor="text1"/>
                <w:kern w:val="44"/>
                <w:szCs w:val="21"/>
                <w14:textFill>
                  <w14:solidFill>
                    <w14:schemeClr w14:val="tx1"/>
                  </w14:solidFill>
                </w14:textFill>
              </w:rPr>
              <w:t>序号</w:t>
            </w:r>
          </w:p>
        </w:tc>
        <w:tc>
          <w:tcPr>
            <w:tcW w:w="1518" w:type="dxa"/>
            <w:vAlign w:val="center"/>
          </w:tcPr>
          <w:p w14:paraId="2AB0C089">
            <w:pPr>
              <w:widowControl/>
              <w:shd w:val="clear" w:color="auto" w:fill="FFFFFF"/>
              <w:spacing w:line="320" w:lineRule="exact"/>
              <w:jc w:val="center"/>
              <w:outlineLvl w:val="0"/>
              <w:rPr>
                <w:rFonts w:ascii="宋体" w:hAnsi="宋体" w:cs="仿宋_GB2312"/>
                <w:b/>
                <w:color w:val="000000" w:themeColor="text1"/>
                <w:kern w:val="44"/>
                <w:szCs w:val="21"/>
                <w14:textFill>
                  <w14:solidFill>
                    <w14:schemeClr w14:val="tx1"/>
                  </w14:solidFill>
                </w14:textFill>
              </w:rPr>
            </w:pPr>
            <w:r>
              <w:rPr>
                <w:rFonts w:ascii="宋体" w:hAnsi="宋体" w:cs="仿宋_GB2312"/>
                <w:color w:val="000000" w:themeColor="text1"/>
                <w:kern w:val="44"/>
                <w:szCs w:val="21"/>
                <w14:textFill>
                  <w14:solidFill>
                    <w14:schemeClr w14:val="tx1"/>
                  </w14:solidFill>
                </w14:textFill>
              </w:rPr>
              <w:t>项目名称</w:t>
            </w:r>
          </w:p>
        </w:tc>
        <w:tc>
          <w:tcPr>
            <w:tcW w:w="6337" w:type="dxa"/>
            <w:vAlign w:val="center"/>
          </w:tcPr>
          <w:p w14:paraId="59D70822">
            <w:pPr>
              <w:spacing w:line="320" w:lineRule="exact"/>
              <w:jc w:val="center"/>
              <w:rPr>
                <w:rFonts w:ascii="宋体" w:hAnsi="宋体" w:cs="仿宋_GB2312"/>
                <w:color w:val="000000" w:themeColor="text1"/>
                <w:szCs w:val="21"/>
                <w14:textFill>
                  <w14:solidFill>
                    <w14:schemeClr w14:val="tx1"/>
                  </w14:solidFill>
                </w14:textFill>
              </w:rPr>
            </w:pPr>
            <w:r>
              <w:rPr>
                <w:rFonts w:hint="eastAsia" w:ascii="宋体" w:hAnsi="宋体" w:cs="仿宋_GB2312"/>
                <w:color w:val="000000" w:themeColor="text1"/>
                <w:szCs w:val="21"/>
                <w14:textFill>
                  <w14:solidFill>
                    <w14:schemeClr w14:val="tx1"/>
                  </w14:solidFill>
                </w14:textFill>
              </w:rPr>
              <w:t>技术参数要求</w:t>
            </w:r>
          </w:p>
        </w:tc>
      </w:tr>
      <w:tr w14:paraId="22C803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8" w:hRule="atLeast"/>
        </w:trPr>
        <w:tc>
          <w:tcPr>
            <w:tcW w:w="704" w:type="dxa"/>
            <w:vAlign w:val="center"/>
          </w:tcPr>
          <w:p w14:paraId="4DE6D16D">
            <w:pPr>
              <w:widowControl/>
              <w:shd w:val="clear" w:color="auto" w:fill="FFFFFF"/>
              <w:spacing w:line="320" w:lineRule="exact"/>
              <w:jc w:val="center"/>
              <w:outlineLvl w:val="0"/>
              <w:rPr>
                <w:rFonts w:ascii="宋体" w:hAnsi="宋体" w:cs="仿宋_GB2312"/>
                <w:bCs/>
                <w:color w:val="000000" w:themeColor="text1"/>
                <w:kern w:val="44"/>
                <w:szCs w:val="21"/>
                <w:shd w:val="clear" w:color="auto" w:fill="FFFFFF"/>
                <w14:textFill>
                  <w14:solidFill>
                    <w14:schemeClr w14:val="tx1"/>
                  </w14:solidFill>
                </w14:textFill>
              </w:rPr>
            </w:pPr>
            <w:r>
              <w:rPr>
                <w:rFonts w:hint="eastAsia" w:ascii="宋体" w:hAnsi="宋体" w:cs="仿宋_GB2312"/>
                <w:bCs/>
                <w:color w:val="000000" w:themeColor="text1"/>
                <w:kern w:val="44"/>
                <w:szCs w:val="21"/>
                <w:shd w:val="clear" w:color="auto" w:fill="FFFFFF"/>
                <w14:textFill>
                  <w14:solidFill>
                    <w14:schemeClr w14:val="tx1"/>
                  </w14:solidFill>
                </w14:textFill>
              </w:rPr>
              <w:t>1</w:t>
            </w:r>
          </w:p>
        </w:tc>
        <w:tc>
          <w:tcPr>
            <w:tcW w:w="1518" w:type="dxa"/>
            <w:vAlign w:val="center"/>
          </w:tcPr>
          <w:p w14:paraId="5D6D7988">
            <w:pPr>
              <w:widowControl/>
              <w:shd w:val="clear" w:color="auto" w:fill="FFFFFF"/>
              <w:spacing w:line="320" w:lineRule="exact"/>
              <w:jc w:val="center"/>
              <w:outlineLvl w:val="0"/>
              <w:rPr>
                <w:rFonts w:ascii="宋体" w:hAnsi="宋体" w:cs="仿宋_GB2312"/>
                <w:bCs/>
                <w:color w:val="000000" w:themeColor="text1"/>
                <w:kern w:val="44"/>
                <w:szCs w:val="21"/>
                <w:shd w:val="clear" w:color="auto" w:fill="FFFFFF"/>
                <w14:textFill>
                  <w14:solidFill>
                    <w14:schemeClr w14:val="tx1"/>
                  </w14:solidFill>
                </w14:textFill>
              </w:rPr>
            </w:pPr>
            <w:r>
              <w:rPr>
                <w:rFonts w:ascii="宋体" w:hAnsi="宋体" w:cs="仿宋_GB2312"/>
                <w:bCs/>
                <w:color w:val="000000" w:themeColor="text1"/>
                <w:kern w:val="44"/>
                <w:szCs w:val="21"/>
                <w:shd w:val="clear" w:color="auto" w:fill="FFFFFF"/>
                <w14:textFill>
                  <w14:solidFill>
                    <w14:schemeClr w14:val="tx1"/>
                  </w14:solidFill>
                </w14:textFill>
              </w:rPr>
              <w:t>建设内容</w:t>
            </w:r>
          </w:p>
          <w:p w14:paraId="4BDC3EB5">
            <w:pPr>
              <w:widowControl/>
              <w:shd w:val="clear" w:color="auto" w:fill="FFFFFF"/>
              <w:spacing w:line="320" w:lineRule="exact"/>
              <w:jc w:val="center"/>
              <w:outlineLvl w:val="0"/>
              <w:rPr>
                <w:rFonts w:ascii="宋体" w:hAnsi="宋体" w:cs="仿宋_GB2312"/>
                <w:bCs/>
                <w:color w:val="000000" w:themeColor="text1"/>
                <w:kern w:val="44"/>
                <w:szCs w:val="21"/>
                <w:shd w:val="clear" w:color="auto" w:fill="FFFFFF"/>
                <w14:textFill>
                  <w14:solidFill>
                    <w14:schemeClr w14:val="tx1"/>
                  </w14:solidFill>
                </w14:textFill>
              </w:rPr>
            </w:pPr>
            <w:r>
              <w:rPr>
                <w:rFonts w:ascii="宋体" w:hAnsi="宋体" w:cs="仿宋_GB2312"/>
                <w:bCs/>
                <w:color w:val="000000" w:themeColor="text1"/>
                <w:kern w:val="44"/>
                <w:szCs w:val="21"/>
                <w:shd w:val="clear" w:color="auto" w:fill="FFFFFF"/>
                <w14:textFill>
                  <w14:solidFill>
                    <w14:schemeClr w14:val="tx1"/>
                  </w14:solidFill>
                </w14:textFill>
              </w:rPr>
              <w:t>及功能技术要求</w:t>
            </w:r>
          </w:p>
        </w:tc>
        <w:tc>
          <w:tcPr>
            <w:tcW w:w="6337" w:type="dxa"/>
          </w:tcPr>
          <w:p w14:paraId="5B5E7999">
            <w:pPr>
              <w:spacing w:line="360" w:lineRule="exact"/>
              <w:rPr>
                <w:rFonts w:ascii="宋体" w:hAnsi="宋体" w:cs="仿宋"/>
                <w:color w:val="000000" w:themeColor="text1"/>
                <w:szCs w:val="21"/>
                <w14:textFill>
                  <w14:solidFill>
                    <w14:schemeClr w14:val="tx1"/>
                  </w14:solidFill>
                </w14:textFill>
              </w:rPr>
            </w:pPr>
            <w:r>
              <w:rPr>
                <w:rFonts w:hint="eastAsia" w:ascii="宋体" w:hAnsi="宋体" w:cs="仿宋"/>
                <w:color w:val="000000" w:themeColor="text1"/>
                <w:szCs w:val="21"/>
                <w14:textFill>
                  <w14:solidFill>
                    <w14:schemeClr w14:val="tx1"/>
                  </w14:solidFill>
                </w14:textFill>
              </w:rPr>
              <w:t>1、总体要求</w:t>
            </w:r>
          </w:p>
          <w:p w14:paraId="526BC63C">
            <w:pPr>
              <w:spacing w:line="360" w:lineRule="exact"/>
              <w:rPr>
                <w:rFonts w:ascii="宋体" w:hAnsi="宋体" w:cs="仿宋"/>
                <w:color w:val="000000" w:themeColor="text1"/>
                <w:szCs w:val="21"/>
                <w14:textFill>
                  <w14:solidFill>
                    <w14:schemeClr w14:val="tx1"/>
                  </w14:solidFill>
                </w14:textFill>
              </w:rPr>
            </w:pPr>
            <w:r>
              <w:rPr>
                <w:rFonts w:hint="eastAsia" w:ascii="宋体" w:hAnsi="宋体" w:cs="仿宋"/>
                <w:color w:val="000000" w:themeColor="text1"/>
                <w:szCs w:val="21"/>
                <w14:textFill>
                  <w14:solidFill>
                    <w14:schemeClr w14:val="tx1"/>
                  </w14:solidFill>
                </w14:textFill>
              </w:rPr>
              <w:t>（1）应内置不少于300个精神科常用心理量表。</w:t>
            </w:r>
          </w:p>
          <w:p w14:paraId="0BA0DBF8">
            <w:pPr>
              <w:spacing w:line="360" w:lineRule="exact"/>
              <w:rPr>
                <w:rFonts w:ascii="宋体" w:hAnsi="宋体" w:cs="仿宋"/>
                <w:color w:val="000000" w:themeColor="text1"/>
                <w:szCs w:val="21"/>
                <w14:textFill>
                  <w14:solidFill>
                    <w14:schemeClr w14:val="tx1"/>
                  </w14:solidFill>
                </w14:textFill>
              </w:rPr>
            </w:pPr>
            <w:r>
              <w:rPr>
                <w:rFonts w:hint="eastAsia" w:ascii="宋体" w:hAnsi="宋体" w:cs="仿宋"/>
                <w:color w:val="000000" w:themeColor="text1"/>
                <w:szCs w:val="21"/>
                <w14:textFill>
                  <w14:solidFill>
                    <w14:schemeClr w14:val="tx1"/>
                  </w14:solidFill>
                </w14:textFill>
              </w:rPr>
              <w:t>（2）兼容各类智能手机、平板电脑、台式电脑。</w:t>
            </w:r>
          </w:p>
          <w:p w14:paraId="35236959">
            <w:pPr>
              <w:spacing w:line="360" w:lineRule="exact"/>
              <w:rPr>
                <w:rFonts w:ascii="宋体" w:hAnsi="宋体" w:cs="仿宋"/>
                <w:color w:val="000000" w:themeColor="text1"/>
                <w:szCs w:val="21"/>
                <w14:textFill>
                  <w14:solidFill>
                    <w14:schemeClr w14:val="tx1"/>
                  </w14:solidFill>
                </w14:textFill>
              </w:rPr>
            </w:pPr>
            <w:r>
              <w:rPr>
                <w:rFonts w:hint="eastAsia" w:ascii="宋体" w:hAnsi="宋体" w:cs="仿宋"/>
                <w:color w:val="000000" w:themeColor="text1"/>
                <w:szCs w:val="21"/>
                <w14:textFill>
                  <w14:solidFill>
                    <w14:schemeClr w14:val="tx1"/>
                  </w14:solidFill>
                </w14:textFill>
              </w:rPr>
              <w:t>（3）包含被试答题端、主试管理端和超级管理员端，采用B/S架构，所有程序均可在浏览器上运行。</w:t>
            </w:r>
          </w:p>
          <w:p w14:paraId="2A8D5446">
            <w:pPr>
              <w:spacing w:line="360" w:lineRule="exact"/>
              <w:rPr>
                <w:rFonts w:ascii="宋体" w:hAnsi="宋体" w:cs="仿宋"/>
                <w:color w:val="000000" w:themeColor="text1"/>
                <w:szCs w:val="21"/>
                <w14:textFill>
                  <w14:solidFill>
                    <w14:schemeClr w14:val="tx1"/>
                  </w14:solidFill>
                </w14:textFill>
              </w:rPr>
            </w:pPr>
            <w:r>
              <w:rPr>
                <w:rFonts w:hint="eastAsia" w:ascii="宋体" w:hAnsi="宋体" w:cs="仿宋"/>
                <w:color w:val="000000" w:themeColor="text1"/>
                <w:szCs w:val="21"/>
                <w14:textFill>
                  <w14:solidFill>
                    <w14:schemeClr w14:val="tx1"/>
                  </w14:solidFill>
                </w14:textFill>
              </w:rPr>
              <w:t>（4）应能与医院信息系统（HIS）完成开发建设对接。</w:t>
            </w:r>
          </w:p>
          <w:p w14:paraId="0AE6CC36">
            <w:pPr>
              <w:spacing w:line="360" w:lineRule="exact"/>
              <w:rPr>
                <w:rFonts w:ascii="宋体" w:hAnsi="宋体" w:cs="仿宋"/>
                <w:color w:val="000000" w:themeColor="text1"/>
                <w:szCs w:val="21"/>
                <w14:textFill>
                  <w14:solidFill>
                    <w14:schemeClr w14:val="tx1"/>
                  </w14:solidFill>
                </w14:textFill>
              </w:rPr>
            </w:pPr>
            <w:r>
              <w:rPr>
                <w:rFonts w:hint="eastAsia" w:ascii="宋体" w:hAnsi="宋体" w:cs="仿宋"/>
                <w:color w:val="000000" w:themeColor="text1"/>
                <w:szCs w:val="21"/>
                <w14:textFill>
                  <w14:solidFill>
                    <w14:schemeClr w14:val="tx1"/>
                  </w14:solidFill>
                </w14:textFill>
              </w:rPr>
              <w:t>2、客户端管理建设</w:t>
            </w:r>
          </w:p>
          <w:p w14:paraId="5334F1BB">
            <w:pPr>
              <w:spacing w:line="360" w:lineRule="exact"/>
              <w:rPr>
                <w:rFonts w:ascii="宋体" w:hAnsi="宋体" w:cs="仿宋"/>
                <w:color w:val="000000" w:themeColor="text1"/>
                <w:szCs w:val="21"/>
                <w14:textFill>
                  <w14:solidFill>
                    <w14:schemeClr w14:val="tx1"/>
                  </w14:solidFill>
                </w14:textFill>
              </w:rPr>
            </w:pPr>
            <w:r>
              <w:rPr>
                <w:rFonts w:hint="eastAsia" w:ascii="宋体" w:hAnsi="宋体" w:cs="仿宋"/>
                <w:color w:val="000000" w:themeColor="text1"/>
                <w:szCs w:val="21"/>
                <w14:textFill>
                  <w14:solidFill>
                    <w14:schemeClr w14:val="tx1"/>
                  </w14:solidFill>
                </w14:textFill>
              </w:rPr>
              <w:t>（1）与单位匹配统一条码或病人诊疗卡号、住院号等登录系统用于门诊、住院患者通过病人填写量表。</w:t>
            </w:r>
          </w:p>
          <w:p w14:paraId="312A8307">
            <w:pPr>
              <w:spacing w:line="360" w:lineRule="exact"/>
              <w:rPr>
                <w:rFonts w:ascii="宋体" w:hAnsi="宋体" w:cs="仿宋"/>
                <w:color w:val="000000" w:themeColor="text1"/>
                <w:szCs w:val="21"/>
                <w14:textFill>
                  <w14:solidFill>
                    <w14:schemeClr w14:val="tx1"/>
                  </w14:solidFill>
                </w14:textFill>
              </w:rPr>
            </w:pPr>
            <w:r>
              <w:rPr>
                <w:rFonts w:hint="eastAsia" w:ascii="宋体" w:hAnsi="宋体" w:cs="仿宋"/>
                <w:color w:val="000000" w:themeColor="text1"/>
                <w:szCs w:val="21"/>
                <w14:textFill>
                  <w14:solidFill>
                    <w14:schemeClr w14:val="tx1"/>
                  </w14:solidFill>
                </w14:textFill>
              </w:rPr>
              <w:t>（2）医生端可以弹出被试答题页面，进行他评评估，且他评量表应要求输入治疗师账号及密码方能使用。</w:t>
            </w:r>
          </w:p>
          <w:p w14:paraId="46F17331">
            <w:pPr>
              <w:spacing w:line="360" w:lineRule="exact"/>
              <w:rPr>
                <w:rFonts w:ascii="宋体" w:hAnsi="宋体" w:cs="仿宋"/>
                <w:color w:val="000000" w:themeColor="text1"/>
                <w:szCs w:val="21"/>
                <w14:textFill>
                  <w14:solidFill>
                    <w14:schemeClr w14:val="tx1"/>
                  </w14:solidFill>
                </w14:textFill>
              </w:rPr>
            </w:pPr>
            <w:r>
              <w:rPr>
                <w:rFonts w:hint="eastAsia" w:ascii="宋体" w:hAnsi="宋体" w:cs="仿宋"/>
                <w:color w:val="000000" w:themeColor="text1"/>
                <w:szCs w:val="21"/>
                <w14:textFill>
                  <w14:solidFill>
                    <w14:schemeClr w14:val="tx1"/>
                  </w14:solidFill>
                </w14:textFill>
              </w:rPr>
              <w:t>（3）填写量表时，应有“进度”、 “网络状态”提示，应有“上一题”、“下一题”等按钮。</w:t>
            </w:r>
          </w:p>
          <w:p w14:paraId="37DCFBDD">
            <w:pPr>
              <w:spacing w:line="360" w:lineRule="exact"/>
              <w:rPr>
                <w:rFonts w:ascii="宋体" w:hAnsi="宋体" w:cs="仿宋"/>
                <w:color w:val="000000" w:themeColor="text1"/>
                <w:szCs w:val="21"/>
                <w14:textFill>
                  <w14:solidFill>
                    <w14:schemeClr w14:val="tx1"/>
                  </w14:solidFill>
                </w14:textFill>
              </w:rPr>
            </w:pPr>
            <w:r>
              <w:rPr>
                <w:rFonts w:hint="eastAsia" w:ascii="宋体" w:hAnsi="宋体" w:cs="仿宋"/>
                <w:color w:val="000000" w:themeColor="text1"/>
                <w:szCs w:val="21"/>
                <w14:textFill>
                  <w14:solidFill>
                    <w14:schemeClr w14:val="tx1"/>
                  </w14:solidFill>
                </w14:textFill>
              </w:rPr>
              <w:t>（4）患者填写量表中途退出，可以自动保存进度，重新进入量表时应能继续填写。</w:t>
            </w:r>
          </w:p>
          <w:p w14:paraId="33B717B1">
            <w:pPr>
              <w:spacing w:line="360" w:lineRule="exact"/>
              <w:rPr>
                <w:rFonts w:ascii="宋体" w:hAnsi="宋体" w:cs="仿宋"/>
                <w:color w:val="000000" w:themeColor="text1"/>
                <w:szCs w:val="21"/>
                <w14:textFill>
                  <w14:solidFill>
                    <w14:schemeClr w14:val="tx1"/>
                  </w14:solidFill>
                </w14:textFill>
              </w:rPr>
            </w:pPr>
            <w:r>
              <w:rPr>
                <w:rFonts w:hint="eastAsia" w:ascii="宋体" w:hAnsi="宋体" w:cs="仿宋"/>
                <w:color w:val="000000" w:themeColor="text1"/>
                <w:szCs w:val="21"/>
                <w14:textFill>
                  <w14:solidFill>
                    <w14:schemeClr w14:val="tx1"/>
                  </w14:solidFill>
                </w14:textFill>
              </w:rPr>
              <w:t>（5）手机端可以查看评估列表、个人评估报告，用户个人评估报告应适应手机屏幕，有图表、结果解释及评估建议。</w:t>
            </w:r>
          </w:p>
          <w:p w14:paraId="1214A2F1">
            <w:pPr>
              <w:spacing w:line="360" w:lineRule="exact"/>
              <w:rPr>
                <w:rFonts w:ascii="宋体" w:hAnsi="宋体" w:cs="仿宋"/>
                <w:color w:val="000000" w:themeColor="text1"/>
                <w:szCs w:val="21"/>
                <w14:textFill>
                  <w14:solidFill>
                    <w14:schemeClr w14:val="tx1"/>
                  </w14:solidFill>
                </w14:textFill>
              </w:rPr>
            </w:pPr>
            <w:r>
              <w:rPr>
                <w:rFonts w:hint="eastAsia" w:ascii="宋体" w:hAnsi="宋体" w:cs="仿宋"/>
                <w:color w:val="000000" w:themeColor="text1"/>
                <w:szCs w:val="21"/>
                <w14:textFill>
                  <w14:solidFill>
                    <w14:schemeClr w14:val="tx1"/>
                  </w14:solidFill>
                </w14:textFill>
              </w:rPr>
              <w:t>▲（6）具备数字人辅助答题功能，可通过语音或文字信息让数字人与用户进行一对一的对话互动方式开展心理测评辅助答题，数字人需要生成真人形象的数字分身，要求口型精准、表情自然，采用的数字人须具备独立版权。（</w:t>
            </w:r>
            <w:commentRangeStart w:id="0"/>
            <w:r>
              <w:rPr>
                <w:rFonts w:hint="eastAsia" w:ascii="宋体" w:hAnsi="宋体" w:cs="仿宋"/>
                <w:color w:val="000000" w:themeColor="text1"/>
                <w:szCs w:val="21"/>
                <w14:textFill>
                  <w14:solidFill>
                    <w14:schemeClr w14:val="tx1"/>
                  </w14:solidFill>
                </w14:textFill>
              </w:rPr>
              <w:t>须提供由国家版权局认证的“数字人”作品登记证书及“中国版权登记查询服务平台”查询记录的截图证明并加盖公章</w:t>
            </w:r>
            <w:commentRangeEnd w:id="0"/>
            <w:r>
              <w:rPr>
                <w:rStyle w:val="8"/>
                <w:color w:val="000000" w:themeColor="text1"/>
                <w14:textFill>
                  <w14:solidFill>
                    <w14:schemeClr w14:val="tx1"/>
                  </w14:solidFill>
                </w14:textFill>
              </w:rPr>
              <w:commentReference w:id="0"/>
            </w:r>
            <w:r>
              <w:rPr>
                <w:rFonts w:hint="eastAsia" w:ascii="宋体" w:hAnsi="宋体" w:cs="仿宋"/>
                <w:color w:val="000000" w:themeColor="text1"/>
                <w:szCs w:val="21"/>
                <w14:textFill>
                  <w14:solidFill>
                    <w14:schemeClr w14:val="tx1"/>
                  </w14:solidFill>
                </w14:textFill>
              </w:rPr>
              <w:t>）</w:t>
            </w:r>
          </w:p>
          <w:p w14:paraId="3CBBAF86">
            <w:pPr>
              <w:spacing w:line="360" w:lineRule="exact"/>
              <w:rPr>
                <w:rFonts w:ascii="宋体" w:hAnsi="宋体" w:cs="仿宋"/>
                <w:color w:val="000000" w:themeColor="text1"/>
                <w:szCs w:val="21"/>
                <w14:textFill>
                  <w14:solidFill>
                    <w14:schemeClr w14:val="tx1"/>
                  </w14:solidFill>
                </w14:textFill>
              </w:rPr>
            </w:pPr>
            <w:r>
              <w:rPr>
                <w:rFonts w:hint="eastAsia" w:ascii="宋体" w:hAnsi="宋体" w:cs="仿宋"/>
                <w:color w:val="000000" w:themeColor="text1"/>
                <w:szCs w:val="21"/>
                <w14:textFill>
                  <w14:solidFill>
                    <w14:schemeClr w14:val="tx1"/>
                  </w14:solidFill>
                </w14:textFill>
              </w:rPr>
              <w:t>（7）应根据院方要求，满足心理测评工作人员的排班功能，具有人员新建排班、查看、修改、删除、人员信息管理、班次管理、施测地点管理等功能。（须提供由第三方评测机构出具的《软件产品测试报告》并加盖公章）</w:t>
            </w:r>
          </w:p>
          <w:p w14:paraId="07497576">
            <w:pPr>
              <w:spacing w:line="360" w:lineRule="exact"/>
              <w:rPr>
                <w:rFonts w:ascii="宋体" w:hAnsi="宋体" w:cs="仿宋"/>
                <w:color w:val="000000" w:themeColor="text1"/>
                <w:szCs w:val="21"/>
                <w14:textFill>
                  <w14:solidFill>
                    <w14:schemeClr w14:val="tx1"/>
                  </w14:solidFill>
                </w14:textFill>
              </w:rPr>
            </w:pPr>
            <w:r>
              <w:rPr>
                <w:rFonts w:hint="eastAsia" w:ascii="宋体" w:hAnsi="宋体" w:cs="仿宋"/>
                <w:color w:val="000000" w:themeColor="text1"/>
                <w:szCs w:val="21"/>
                <w14:textFill>
                  <w14:solidFill>
                    <w14:schemeClr w14:val="tx1"/>
                  </w14:solidFill>
                </w14:textFill>
              </w:rPr>
              <w:t>3、量表管理功能</w:t>
            </w:r>
          </w:p>
          <w:p w14:paraId="282BD1D0">
            <w:pPr>
              <w:spacing w:line="360" w:lineRule="exact"/>
              <w:rPr>
                <w:rFonts w:ascii="宋体" w:hAnsi="宋体" w:cs="仿宋"/>
                <w:color w:val="000000" w:themeColor="text1"/>
                <w:szCs w:val="21"/>
                <w14:textFill>
                  <w14:solidFill>
                    <w14:schemeClr w14:val="tx1"/>
                  </w14:solidFill>
                </w14:textFill>
              </w:rPr>
            </w:pPr>
            <w:r>
              <w:rPr>
                <w:rFonts w:hint="eastAsia" w:ascii="宋体" w:hAnsi="宋体" w:cs="仿宋"/>
                <w:color w:val="000000" w:themeColor="text1"/>
                <w:szCs w:val="21"/>
                <w14:textFill>
                  <w14:solidFill>
                    <w14:schemeClr w14:val="tx1"/>
                  </w14:solidFill>
                </w14:textFill>
              </w:rPr>
              <w:t>（1）应支持主试管理端自主添加量表名称、指导语、条目、因子计分、分数转换、临界值、结果解释、专家建议等，自动生成心理量表，支持量表编辑、预览及打印。</w:t>
            </w:r>
          </w:p>
          <w:p w14:paraId="341CD6E7">
            <w:pPr>
              <w:spacing w:line="360" w:lineRule="exact"/>
              <w:rPr>
                <w:rFonts w:ascii="宋体" w:hAnsi="宋体" w:cs="仿宋"/>
                <w:color w:val="000000" w:themeColor="text1"/>
                <w:szCs w:val="21"/>
                <w14:textFill>
                  <w14:solidFill>
                    <w14:schemeClr w14:val="tx1"/>
                  </w14:solidFill>
                </w14:textFill>
              </w:rPr>
            </w:pPr>
            <w:r>
              <w:rPr>
                <w:rFonts w:hint="eastAsia" w:ascii="宋体" w:hAnsi="宋体" w:cs="仿宋"/>
                <w:color w:val="000000" w:themeColor="text1"/>
                <w:szCs w:val="21"/>
                <w14:textFill>
                  <w14:solidFill>
                    <w14:schemeClr w14:val="tx1"/>
                  </w14:solidFill>
                </w14:textFill>
              </w:rPr>
              <w:t xml:space="preserve">（2） 量表库可包含≥300个常用心理量表：包括明尼苏达多项人格测验（MMPI）、瑞文标准智力测验、瑞文联合智力测验、儿科症状量表、Achenbach儿童行为量表、莱顿强迫问卷（儿童版）、学习障碍儿童筛查表、感觉统合发展评定量表、儿童自我意识量表、儿童孤独症筛查量表、儿童共情及系统化特质量表（EQ-SQ）、多伦多述情障碍量表（TAS-20）、儿童期创伤问卷（CTQ）、儿童焦虑情绪障碍筛查表、儿童抑郁障碍自评量表、数字划消测验、符号数字转换测验等。 </w:t>
            </w:r>
          </w:p>
          <w:p w14:paraId="516D3A8D">
            <w:pPr>
              <w:spacing w:line="360" w:lineRule="exact"/>
              <w:rPr>
                <w:rFonts w:ascii="宋体" w:hAnsi="宋体" w:cs="仿宋"/>
                <w:color w:val="000000" w:themeColor="text1"/>
                <w:szCs w:val="21"/>
                <w14:textFill>
                  <w14:solidFill>
                    <w14:schemeClr w14:val="tx1"/>
                  </w14:solidFill>
                </w14:textFill>
              </w:rPr>
            </w:pPr>
            <w:r>
              <w:rPr>
                <w:rFonts w:hint="eastAsia" w:ascii="宋体" w:hAnsi="宋体" w:cs="仿宋"/>
                <w:color w:val="000000" w:themeColor="text1"/>
                <w:szCs w:val="21"/>
                <w14:textFill>
                  <w14:solidFill>
                    <w14:schemeClr w14:val="tx1"/>
                  </w14:solidFill>
                </w14:textFill>
              </w:rPr>
              <w:t>▲（3）量表库应包含科赫（Kohs）立方体组合测验，测验包括16个立方体，每个立方体包含多种颜色，共18个目标图，支持在移动端、PC端等终端设备上自由旋转，以组合成目标图案。（此功能须提供10个以上目标及报告所需的移动扣分项、时间扣分项的</w:t>
            </w:r>
            <w:commentRangeStart w:id="1"/>
            <w:r>
              <w:rPr>
                <w:rFonts w:hint="eastAsia" w:ascii="宋体" w:hAnsi="宋体" w:cs="仿宋"/>
                <w:color w:val="000000" w:themeColor="text1"/>
                <w:szCs w:val="21"/>
                <w14:textFill>
                  <w14:solidFill>
                    <w14:schemeClr w14:val="tx1"/>
                  </w14:solidFill>
                </w14:textFill>
              </w:rPr>
              <w:t>截图证明</w:t>
            </w:r>
            <w:commentRangeEnd w:id="1"/>
            <w:r>
              <w:rPr>
                <w:rStyle w:val="8"/>
                <w:color w:val="000000" w:themeColor="text1"/>
                <w14:textFill>
                  <w14:solidFill>
                    <w14:schemeClr w14:val="tx1"/>
                  </w14:solidFill>
                </w14:textFill>
              </w:rPr>
              <w:commentReference w:id="1"/>
            </w:r>
            <w:r>
              <w:rPr>
                <w:rFonts w:hint="eastAsia" w:ascii="宋体" w:hAnsi="宋体" w:cs="仿宋"/>
                <w:color w:val="000000" w:themeColor="text1"/>
                <w:szCs w:val="21"/>
                <w14:textFill>
                  <w14:solidFill>
                    <w14:schemeClr w14:val="tx1"/>
                  </w14:solidFill>
                </w14:textFill>
              </w:rPr>
              <w:t>并加盖公章）</w:t>
            </w:r>
          </w:p>
          <w:p w14:paraId="666C1CDF">
            <w:pPr>
              <w:spacing w:line="360" w:lineRule="exact"/>
              <w:rPr>
                <w:rFonts w:ascii="宋体" w:hAnsi="宋体" w:cs="仿宋"/>
                <w:color w:val="000000" w:themeColor="text1"/>
                <w:szCs w:val="21"/>
                <w14:textFill>
                  <w14:solidFill>
                    <w14:schemeClr w14:val="tx1"/>
                  </w14:solidFill>
                </w14:textFill>
              </w:rPr>
            </w:pPr>
            <w:r>
              <w:rPr>
                <w:rFonts w:hint="eastAsia" w:ascii="宋体" w:hAnsi="宋体" w:cs="仿宋"/>
                <w:color w:val="000000" w:themeColor="text1"/>
                <w:szCs w:val="21"/>
                <w14:textFill>
                  <w14:solidFill>
                    <w14:schemeClr w14:val="tx1"/>
                  </w14:solidFill>
                </w14:textFill>
              </w:rPr>
              <w:t>（4）可集成各人群各病种的自评量表形成套餐,同时还可在不依赖工程师的情况下,实现根据客户需求定制评估套餐,包括但不限于：正常人群心理健康筛查、能力评估、抑郁症、焦虑症、躁狂症、强迫症、失眠症、酒精依赖等。</w:t>
            </w:r>
          </w:p>
          <w:p w14:paraId="5C9C7532">
            <w:pPr>
              <w:spacing w:line="360" w:lineRule="exact"/>
              <w:rPr>
                <w:rFonts w:ascii="宋体" w:hAnsi="宋体" w:cs="仿宋"/>
                <w:color w:val="000000" w:themeColor="text1"/>
                <w:szCs w:val="21"/>
                <w14:textFill>
                  <w14:solidFill>
                    <w14:schemeClr w14:val="tx1"/>
                  </w14:solidFill>
                </w14:textFill>
              </w:rPr>
            </w:pPr>
            <w:r>
              <w:rPr>
                <w:rFonts w:hint="eastAsia" w:ascii="宋体" w:hAnsi="宋体" w:cs="仿宋"/>
                <w:color w:val="000000" w:themeColor="text1"/>
                <w:szCs w:val="21"/>
                <w14:textFill>
                  <w14:solidFill>
                    <w14:schemeClr w14:val="tx1"/>
                  </w14:solidFill>
                </w14:textFill>
              </w:rPr>
              <w:t>（5）量表可以以WORD或其他格式文档形式导出，以便特殊情况如系统故障时人工填写。</w:t>
            </w:r>
          </w:p>
          <w:p w14:paraId="7948E55D">
            <w:pPr>
              <w:spacing w:line="360" w:lineRule="exact"/>
              <w:rPr>
                <w:rFonts w:ascii="宋体" w:hAnsi="宋体" w:cs="仿宋"/>
                <w:color w:val="000000" w:themeColor="text1"/>
                <w:szCs w:val="21"/>
                <w14:textFill>
                  <w14:solidFill>
                    <w14:schemeClr w14:val="tx1"/>
                  </w14:solidFill>
                </w14:textFill>
              </w:rPr>
            </w:pPr>
            <w:r>
              <w:rPr>
                <w:rFonts w:hint="eastAsia" w:ascii="宋体" w:hAnsi="宋体" w:cs="仿宋"/>
                <w:color w:val="000000" w:themeColor="text1"/>
                <w:szCs w:val="21"/>
                <w14:textFill>
                  <w14:solidFill>
                    <w14:schemeClr w14:val="tx1"/>
                  </w14:solidFill>
                </w14:textFill>
              </w:rPr>
              <w:t xml:space="preserve">4、测评功能 </w:t>
            </w:r>
          </w:p>
          <w:p w14:paraId="7C9417B1">
            <w:pPr>
              <w:spacing w:line="360" w:lineRule="exact"/>
              <w:rPr>
                <w:rFonts w:ascii="宋体" w:hAnsi="宋体" w:cs="仿宋"/>
                <w:color w:val="000000" w:themeColor="text1"/>
                <w:szCs w:val="21"/>
                <w14:textFill>
                  <w14:solidFill>
                    <w14:schemeClr w14:val="tx1"/>
                  </w14:solidFill>
                </w14:textFill>
              </w:rPr>
            </w:pPr>
            <w:r>
              <w:rPr>
                <w:rFonts w:hint="eastAsia" w:ascii="宋体" w:hAnsi="宋体" w:cs="仿宋"/>
                <w:color w:val="000000" w:themeColor="text1"/>
                <w:szCs w:val="21"/>
                <w14:textFill>
                  <w14:solidFill>
                    <w14:schemeClr w14:val="tx1"/>
                  </w14:solidFill>
                </w14:textFill>
              </w:rPr>
              <w:t xml:space="preserve">（1）可创建混合多个心理量表的评估问卷，并生成评估问卷专用二维码。 </w:t>
            </w:r>
          </w:p>
          <w:p w14:paraId="585DEBB1">
            <w:pPr>
              <w:spacing w:line="360" w:lineRule="exact"/>
              <w:rPr>
                <w:rFonts w:ascii="宋体" w:hAnsi="宋体" w:cs="仿宋"/>
                <w:color w:val="000000" w:themeColor="text1"/>
                <w:szCs w:val="21"/>
                <w14:textFill>
                  <w14:solidFill>
                    <w14:schemeClr w14:val="tx1"/>
                  </w14:solidFill>
                </w14:textFill>
              </w:rPr>
            </w:pPr>
            <w:r>
              <w:rPr>
                <w:rFonts w:hint="eastAsia" w:ascii="宋体" w:hAnsi="宋体" w:cs="仿宋"/>
                <w:color w:val="000000" w:themeColor="text1"/>
                <w:szCs w:val="21"/>
                <w14:textFill>
                  <w14:solidFill>
                    <w14:schemeClr w14:val="tx1"/>
                  </w14:solidFill>
                </w14:textFill>
              </w:rPr>
              <w:t>（2）答题端支持多种登录方式。</w:t>
            </w:r>
          </w:p>
          <w:p w14:paraId="2627D206">
            <w:pPr>
              <w:spacing w:line="360" w:lineRule="exact"/>
              <w:rPr>
                <w:rFonts w:ascii="宋体" w:hAnsi="宋体" w:cs="仿宋"/>
                <w:color w:val="000000" w:themeColor="text1"/>
                <w:szCs w:val="21"/>
                <w14:textFill>
                  <w14:solidFill>
                    <w14:schemeClr w14:val="tx1"/>
                  </w14:solidFill>
                </w14:textFill>
              </w:rPr>
            </w:pPr>
            <w:r>
              <w:rPr>
                <w:rFonts w:hint="eastAsia" w:ascii="宋体" w:hAnsi="宋体" w:cs="仿宋"/>
                <w:color w:val="000000" w:themeColor="text1"/>
                <w:szCs w:val="21"/>
                <w14:textFill>
                  <w14:solidFill>
                    <w14:schemeClr w14:val="tx1"/>
                  </w14:solidFill>
                </w14:textFill>
              </w:rPr>
              <w:t>（3）可根据问卷结果自动生成预警信息。</w:t>
            </w:r>
          </w:p>
          <w:p w14:paraId="60B0F928">
            <w:pPr>
              <w:spacing w:line="360" w:lineRule="exact"/>
              <w:rPr>
                <w:rFonts w:ascii="宋体" w:hAnsi="宋体" w:cs="仿宋"/>
                <w:color w:val="000000" w:themeColor="text1"/>
                <w:szCs w:val="21"/>
                <w14:textFill>
                  <w14:solidFill>
                    <w14:schemeClr w14:val="tx1"/>
                  </w14:solidFill>
                </w14:textFill>
              </w:rPr>
            </w:pPr>
            <w:r>
              <w:rPr>
                <w:rFonts w:hint="eastAsia" w:ascii="宋体" w:hAnsi="宋体" w:cs="仿宋"/>
                <w:color w:val="000000" w:themeColor="text1"/>
                <w:szCs w:val="21"/>
                <w14:textFill>
                  <w14:solidFill>
                    <w14:schemeClr w14:val="tx1"/>
                  </w14:solidFill>
                </w14:textFill>
              </w:rPr>
              <w:t>（4）支持批量导出报告和批量打印报告功能。</w:t>
            </w:r>
          </w:p>
          <w:p w14:paraId="00537097">
            <w:pPr>
              <w:spacing w:line="360" w:lineRule="exact"/>
              <w:rPr>
                <w:rFonts w:ascii="宋体" w:hAnsi="宋体" w:cs="仿宋"/>
                <w:color w:val="000000" w:themeColor="text1"/>
                <w:szCs w:val="21"/>
                <w14:textFill>
                  <w14:solidFill>
                    <w14:schemeClr w14:val="tx1"/>
                  </w14:solidFill>
                </w14:textFill>
              </w:rPr>
            </w:pPr>
            <w:r>
              <w:rPr>
                <w:rFonts w:hint="eastAsia" w:ascii="宋体" w:hAnsi="宋体" w:cs="仿宋"/>
                <w:color w:val="000000" w:themeColor="text1"/>
                <w:szCs w:val="21"/>
                <w14:textFill>
                  <w14:solidFill>
                    <w14:schemeClr w14:val="tx1"/>
                  </w14:solidFill>
                </w14:textFill>
              </w:rPr>
              <w:t>（5）支持自动生成心理评估报告，包括人口学信息分析，总分分析，因子分分析，报告包含数据表格、柱状图、饼状图。</w:t>
            </w:r>
          </w:p>
          <w:p w14:paraId="1C130A67">
            <w:pPr>
              <w:spacing w:line="360" w:lineRule="exact"/>
              <w:rPr>
                <w:rFonts w:ascii="宋体" w:hAnsi="宋体" w:cs="仿宋"/>
                <w:color w:val="000000" w:themeColor="text1"/>
                <w:szCs w:val="21"/>
                <w14:textFill>
                  <w14:solidFill>
                    <w14:schemeClr w14:val="tx1"/>
                  </w14:solidFill>
                </w14:textFill>
              </w:rPr>
            </w:pPr>
            <w:r>
              <w:rPr>
                <w:rFonts w:hint="eastAsia" w:ascii="宋体" w:hAnsi="宋体" w:cs="仿宋"/>
                <w:color w:val="000000" w:themeColor="text1"/>
                <w:szCs w:val="21"/>
                <w14:textFill>
                  <w14:solidFill>
                    <w14:schemeClr w14:val="tx1"/>
                  </w14:solidFill>
                </w14:textFill>
              </w:rPr>
              <w:t>（6）支持在微信公众号中进行测评。</w:t>
            </w:r>
          </w:p>
          <w:p w14:paraId="2182D814">
            <w:pPr>
              <w:spacing w:line="360" w:lineRule="exact"/>
              <w:rPr>
                <w:rFonts w:ascii="宋体" w:hAnsi="宋体" w:cs="仿宋"/>
                <w:color w:val="000000" w:themeColor="text1"/>
                <w:szCs w:val="21"/>
                <w14:textFill>
                  <w14:solidFill>
                    <w14:schemeClr w14:val="tx1"/>
                  </w14:solidFill>
                </w14:textFill>
              </w:rPr>
            </w:pPr>
            <w:r>
              <w:rPr>
                <w:rFonts w:hint="eastAsia" w:ascii="宋体" w:hAnsi="宋体" w:cs="仿宋"/>
                <w:color w:val="000000" w:themeColor="text1"/>
                <w:szCs w:val="21"/>
                <w14:textFill>
                  <w14:solidFill>
                    <w14:schemeClr w14:val="tx1"/>
                  </w14:solidFill>
                </w14:textFill>
              </w:rPr>
              <w:t>（7）支持多服务、多引擎扩容负载均衡设计，可满足并发访问</w:t>
            </w:r>
            <w:commentRangeStart w:id="2"/>
            <w:commentRangeStart w:id="3"/>
            <w:r>
              <w:rPr>
                <w:rFonts w:hint="eastAsia" w:ascii="宋体" w:hAnsi="宋体" w:cs="仿宋"/>
                <w:color w:val="000000" w:themeColor="text1"/>
                <w:szCs w:val="21"/>
                <w14:textFill>
                  <w14:solidFill>
                    <w14:schemeClr w14:val="tx1"/>
                  </w14:solidFill>
                </w14:textFill>
              </w:rPr>
              <w:t>千人以上</w:t>
            </w:r>
            <w:commentRangeEnd w:id="2"/>
            <w:r>
              <w:rPr>
                <w:rStyle w:val="8"/>
                <w:color w:val="000000" w:themeColor="text1"/>
                <w14:textFill>
                  <w14:solidFill>
                    <w14:schemeClr w14:val="tx1"/>
                  </w14:solidFill>
                </w14:textFill>
              </w:rPr>
              <w:commentReference w:id="2"/>
            </w:r>
            <w:commentRangeEnd w:id="3"/>
            <w:r>
              <w:rPr>
                <w:color w:val="000000" w:themeColor="text1"/>
                <w14:textFill>
                  <w14:solidFill>
                    <w14:schemeClr w14:val="tx1"/>
                  </w14:solidFill>
                </w14:textFill>
              </w:rPr>
              <w:commentReference w:id="3"/>
            </w:r>
            <w:r>
              <w:rPr>
                <w:rFonts w:hint="eastAsia" w:ascii="宋体" w:hAnsi="宋体" w:cs="仿宋"/>
                <w:color w:val="000000" w:themeColor="text1"/>
                <w:szCs w:val="21"/>
                <w14:textFill>
                  <w14:solidFill>
                    <w14:schemeClr w14:val="tx1"/>
                  </w14:solidFill>
                </w14:textFill>
              </w:rPr>
              <w:t>。</w:t>
            </w:r>
          </w:p>
          <w:p w14:paraId="33A84425">
            <w:pPr>
              <w:spacing w:line="360" w:lineRule="exact"/>
              <w:rPr>
                <w:rFonts w:ascii="宋体" w:hAnsi="宋体" w:cs="仿宋"/>
                <w:color w:val="000000" w:themeColor="text1"/>
                <w:szCs w:val="21"/>
                <w14:textFill>
                  <w14:solidFill>
                    <w14:schemeClr w14:val="tx1"/>
                  </w14:solidFill>
                </w14:textFill>
              </w:rPr>
            </w:pPr>
            <w:r>
              <w:rPr>
                <w:rFonts w:hint="eastAsia" w:ascii="宋体" w:hAnsi="宋体" w:cs="仿宋"/>
                <w:color w:val="000000" w:themeColor="text1"/>
                <w:szCs w:val="21"/>
                <w14:textFill>
                  <w14:solidFill>
                    <w14:schemeClr w14:val="tx1"/>
                  </w14:solidFill>
                </w14:textFill>
              </w:rPr>
              <w:t>▲（8）支持使用数码笔在标准A4纸上进行精神科常用连线、画钟等认知类测验操作，并在标准A4纸上保留原始笔迹，同时可将原始笔迹实时同步于评估界面中，测验结果可自动生成报告图片并存储于服务器。（</w:t>
            </w:r>
            <w:commentRangeStart w:id="4"/>
            <w:r>
              <w:rPr>
                <w:rFonts w:hint="eastAsia" w:ascii="宋体" w:hAnsi="宋体" w:cs="仿宋"/>
                <w:color w:val="000000" w:themeColor="text1"/>
                <w:szCs w:val="21"/>
                <w14:textFill>
                  <w14:solidFill>
                    <w14:schemeClr w14:val="tx1"/>
                  </w14:solidFill>
                </w14:textFill>
              </w:rPr>
              <w:t>须提供数码笔在标准A4纸上完成认知测验并保留原始笔迹，以及原始笔迹与系统实时同步证明</w:t>
            </w:r>
            <w:commentRangeEnd w:id="4"/>
            <w:r>
              <w:rPr>
                <w:rStyle w:val="8"/>
                <w:color w:val="000000" w:themeColor="text1"/>
                <w14:textFill>
                  <w14:solidFill>
                    <w14:schemeClr w14:val="tx1"/>
                  </w14:solidFill>
                </w14:textFill>
              </w:rPr>
              <w:commentReference w:id="4"/>
            </w:r>
            <w:r>
              <w:rPr>
                <w:rFonts w:hint="eastAsia" w:ascii="宋体" w:hAnsi="宋体" w:cs="仿宋"/>
                <w:color w:val="000000" w:themeColor="text1"/>
                <w:szCs w:val="21"/>
                <w14:textFill>
                  <w14:solidFill>
                    <w14:schemeClr w14:val="tx1"/>
                  </w14:solidFill>
                </w14:textFill>
              </w:rPr>
              <w:t>并加盖公章）</w:t>
            </w:r>
          </w:p>
          <w:p w14:paraId="594B00DA">
            <w:pPr>
              <w:spacing w:line="360" w:lineRule="exact"/>
              <w:rPr>
                <w:rFonts w:ascii="宋体" w:hAnsi="宋体" w:cs="仿宋"/>
                <w:color w:val="000000" w:themeColor="text1"/>
                <w:szCs w:val="21"/>
                <w14:textFill>
                  <w14:solidFill>
                    <w14:schemeClr w14:val="tx1"/>
                  </w14:solidFill>
                </w14:textFill>
              </w:rPr>
            </w:pPr>
            <w:r>
              <w:rPr>
                <w:rFonts w:hint="eastAsia" w:ascii="宋体" w:hAnsi="宋体" w:cs="仿宋"/>
                <w:color w:val="000000" w:themeColor="text1"/>
                <w:szCs w:val="21"/>
                <w14:textFill>
                  <w14:solidFill>
                    <w14:schemeClr w14:val="tx1"/>
                  </w14:solidFill>
                </w14:textFill>
              </w:rPr>
              <w:t>5、测评报告</w:t>
            </w:r>
          </w:p>
          <w:p w14:paraId="2D6C9AFD">
            <w:pPr>
              <w:spacing w:line="360" w:lineRule="exact"/>
              <w:rPr>
                <w:rFonts w:ascii="宋体" w:hAnsi="宋体" w:cs="仿宋"/>
                <w:color w:val="000000" w:themeColor="text1"/>
                <w:szCs w:val="21"/>
                <w14:textFill>
                  <w14:solidFill>
                    <w14:schemeClr w14:val="tx1"/>
                  </w14:solidFill>
                </w14:textFill>
              </w:rPr>
            </w:pPr>
            <w:r>
              <w:rPr>
                <w:rFonts w:hint="eastAsia" w:ascii="宋体" w:hAnsi="宋体" w:cs="仿宋"/>
                <w:color w:val="000000" w:themeColor="text1"/>
                <w:szCs w:val="21"/>
                <w14:textFill>
                  <w14:solidFill>
                    <w14:schemeClr w14:val="tx1"/>
                  </w14:solidFill>
                </w14:textFill>
              </w:rPr>
              <w:t>（1）测评报告格式应能支持自定义，支持显示图表、院徽和电子签名图片。</w:t>
            </w:r>
          </w:p>
          <w:p w14:paraId="3A82B60D">
            <w:pPr>
              <w:spacing w:line="360" w:lineRule="exact"/>
              <w:rPr>
                <w:rFonts w:ascii="宋体" w:hAnsi="宋体" w:cs="仿宋"/>
                <w:color w:val="000000" w:themeColor="text1"/>
                <w:szCs w:val="21"/>
                <w14:textFill>
                  <w14:solidFill>
                    <w14:schemeClr w14:val="tx1"/>
                  </w14:solidFill>
                </w14:textFill>
              </w:rPr>
            </w:pPr>
            <w:r>
              <w:rPr>
                <w:rFonts w:hint="eastAsia" w:ascii="宋体" w:hAnsi="宋体" w:cs="仿宋"/>
                <w:color w:val="000000" w:themeColor="text1"/>
                <w:szCs w:val="21"/>
                <w14:textFill>
                  <w14:solidFill>
                    <w14:schemeClr w14:val="tx1"/>
                  </w14:solidFill>
                </w14:textFill>
              </w:rPr>
              <w:t>（2）测评报告应提供三级审核机制，即初步报告医生、报告医生、审核医生。</w:t>
            </w:r>
          </w:p>
          <w:p w14:paraId="438ED7E8">
            <w:pPr>
              <w:spacing w:line="360" w:lineRule="exact"/>
              <w:rPr>
                <w:rFonts w:ascii="宋体" w:hAnsi="宋体" w:cs="仿宋"/>
                <w:color w:val="000000" w:themeColor="text1"/>
                <w:szCs w:val="21"/>
                <w14:textFill>
                  <w14:solidFill>
                    <w14:schemeClr w14:val="tx1"/>
                  </w14:solidFill>
                </w14:textFill>
              </w:rPr>
            </w:pPr>
            <w:r>
              <w:rPr>
                <w:rFonts w:hint="eastAsia" w:ascii="宋体" w:hAnsi="宋体" w:cs="仿宋"/>
                <w:color w:val="000000" w:themeColor="text1"/>
                <w:szCs w:val="21"/>
                <w14:textFill>
                  <w14:solidFill>
                    <w14:schemeClr w14:val="tx1"/>
                  </w14:solidFill>
                </w14:textFill>
              </w:rPr>
              <w:t>（3）测评报告应该有用户版和医生专业版，用户版为适合普通人群理解报告；医生专业版样式符合电子病历格式要求，结论及解释符合临床要求。</w:t>
            </w:r>
          </w:p>
          <w:p w14:paraId="59FDA82F">
            <w:pPr>
              <w:spacing w:line="360" w:lineRule="exact"/>
              <w:rPr>
                <w:rFonts w:ascii="宋体" w:hAnsi="宋体" w:cs="仿宋"/>
                <w:color w:val="000000" w:themeColor="text1"/>
                <w:szCs w:val="21"/>
                <w14:textFill>
                  <w14:solidFill>
                    <w14:schemeClr w14:val="tx1"/>
                  </w14:solidFill>
                </w14:textFill>
              </w:rPr>
            </w:pPr>
            <w:r>
              <w:rPr>
                <w:rFonts w:hint="eastAsia" w:ascii="宋体" w:hAnsi="宋体" w:cs="仿宋"/>
                <w:color w:val="000000" w:themeColor="text1"/>
                <w:szCs w:val="21"/>
                <w14:textFill>
                  <w14:solidFill>
                    <w14:schemeClr w14:val="tx1"/>
                  </w14:solidFill>
                </w14:textFill>
              </w:rPr>
              <w:t>6、心理健康档案</w:t>
            </w:r>
          </w:p>
          <w:p w14:paraId="732A0929">
            <w:pPr>
              <w:spacing w:line="360" w:lineRule="exact"/>
              <w:rPr>
                <w:rFonts w:ascii="宋体" w:hAnsi="宋体" w:cs="仿宋"/>
                <w:color w:val="000000" w:themeColor="text1"/>
                <w:szCs w:val="21"/>
                <w14:textFill>
                  <w14:solidFill>
                    <w14:schemeClr w14:val="tx1"/>
                  </w14:solidFill>
                </w14:textFill>
              </w:rPr>
            </w:pPr>
            <w:r>
              <w:rPr>
                <w:rFonts w:hint="eastAsia" w:ascii="宋体" w:hAnsi="宋体" w:cs="仿宋"/>
                <w:color w:val="000000" w:themeColor="text1"/>
                <w:szCs w:val="21"/>
                <w14:textFill>
                  <w14:solidFill>
                    <w14:schemeClr w14:val="tx1"/>
                  </w14:solidFill>
                </w14:textFill>
              </w:rPr>
              <w:t>（1）心理测评可以为健康人群提供心理健康评估及筛查项目。</w:t>
            </w:r>
          </w:p>
          <w:p w14:paraId="2EAE4DED">
            <w:pPr>
              <w:spacing w:line="360" w:lineRule="exact"/>
              <w:rPr>
                <w:rFonts w:ascii="宋体" w:hAnsi="宋体" w:cs="仿宋"/>
                <w:color w:val="000000" w:themeColor="text1"/>
                <w:szCs w:val="21"/>
                <w14:textFill>
                  <w14:solidFill>
                    <w14:schemeClr w14:val="tx1"/>
                  </w14:solidFill>
                </w14:textFill>
              </w:rPr>
            </w:pPr>
            <w:r>
              <w:rPr>
                <w:rFonts w:hint="eastAsia" w:ascii="宋体" w:hAnsi="宋体" w:cs="仿宋"/>
                <w:color w:val="000000" w:themeColor="text1"/>
                <w:szCs w:val="21"/>
                <w14:textFill>
                  <w14:solidFill>
                    <w14:schemeClr w14:val="tx1"/>
                  </w14:solidFill>
                </w14:textFill>
              </w:rPr>
              <w:t>（2）可以根据患者历次测量结果，生成总分及各个因子分曲线图，方便了解与管理患者心理健康发展趋势。允许医护人员对于他们的状况纵向跟踪评估。</w:t>
            </w:r>
          </w:p>
          <w:p w14:paraId="6FF04374">
            <w:pPr>
              <w:spacing w:line="360" w:lineRule="exact"/>
              <w:rPr>
                <w:rFonts w:ascii="宋体" w:hAnsi="宋体" w:cs="仿宋"/>
                <w:color w:val="000000" w:themeColor="text1"/>
                <w:szCs w:val="21"/>
                <w14:textFill>
                  <w14:solidFill>
                    <w14:schemeClr w14:val="tx1"/>
                  </w14:solidFill>
                </w14:textFill>
              </w:rPr>
            </w:pPr>
            <w:r>
              <w:rPr>
                <w:rFonts w:hint="eastAsia" w:ascii="宋体" w:hAnsi="宋体" w:cs="仿宋"/>
                <w:color w:val="000000" w:themeColor="text1"/>
                <w:szCs w:val="21"/>
                <w14:textFill>
                  <w14:solidFill>
                    <w14:schemeClr w14:val="tx1"/>
                  </w14:solidFill>
                </w14:textFill>
              </w:rPr>
              <w:t>7、数据处理</w:t>
            </w:r>
          </w:p>
          <w:p w14:paraId="6F58A87B">
            <w:pPr>
              <w:spacing w:line="360" w:lineRule="exact"/>
              <w:rPr>
                <w:rFonts w:ascii="宋体" w:hAnsi="宋体" w:cs="仿宋"/>
                <w:color w:val="000000" w:themeColor="text1"/>
                <w:szCs w:val="21"/>
                <w14:textFill>
                  <w14:solidFill>
                    <w14:schemeClr w14:val="tx1"/>
                  </w14:solidFill>
                </w14:textFill>
              </w:rPr>
            </w:pPr>
            <w:r>
              <w:rPr>
                <w:rFonts w:hint="eastAsia" w:ascii="宋体" w:hAnsi="宋体" w:cs="仿宋"/>
                <w:color w:val="000000" w:themeColor="text1"/>
                <w:szCs w:val="21"/>
                <w14:textFill>
                  <w14:solidFill>
                    <w14:schemeClr w14:val="tx1"/>
                  </w14:solidFill>
                </w14:textFill>
              </w:rPr>
              <w:t>（1）应能通过图表分析对比患者多次测评结果的数据。</w:t>
            </w:r>
          </w:p>
          <w:p w14:paraId="374473E4">
            <w:pPr>
              <w:spacing w:line="360" w:lineRule="exact"/>
              <w:rPr>
                <w:rFonts w:ascii="宋体" w:hAnsi="宋体" w:cs="仿宋"/>
                <w:color w:val="000000" w:themeColor="text1"/>
                <w:szCs w:val="21"/>
                <w14:textFill>
                  <w14:solidFill>
                    <w14:schemeClr w14:val="tx1"/>
                  </w14:solidFill>
                </w14:textFill>
              </w:rPr>
            </w:pPr>
            <w:r>
              <w:rPr>
                <w:rFonts w:hint="eastAsia" w:ascii="宋体" w:hAnsi="宋体" w:cs="仿宋"/>
                <w:color w:val="000000" w:themeColor="text1"/>
                <w:szCs w:val="21"/>
                <w14:textFill>
                  <w14:solidFill>
                    <w14:schemeClr w14:val="tx1"/>
                  </w14:solidFill>
                </w14:textFill>
              </w:rPr>
              <w:t>（2）应能通过图表分析对比团体测评结果的数据。</w:t>
            </w:r>
          </w:p>
          <w:p w14:paraId="581EB962">
            <w:pPr>
              <w:spacing w:line="360" w:lineRule="exact"/>
              <w:rPr>
                <w:rFonts w:ascii="宋体" w:hAnsi="宋体" w:cs="仿宋"/>
                <w:color w:val="000000" w:themeColor="text1"/>
                <w:szCs w:val="21"/>
                <w14:textFill>
                  <w14:solidFill>
                    <w14:schemeClr w14:val="tx1"/>
                  </w14:solidFill>
                </w14:textFill>
              </w:rPr>
            </w:pPr>
            <w:r>
              <w:rPr>
                <w:rFonts w:hint="eastAsia" w:ascii="宋体" w:hAnsi="宋体" w:cs="仿宋"/>
                <w:color w:val="000000" w:themeColor="text1"/>
                <w:szCs w:val="21"/>
                <w14:textFill>
                  <w14:solidFill>
                    <w14:schemeClr w14:val="tx1"/>
                  </w14:solidFill>
                </w14:textFill>
              </w:rPr>
              <w:t>（3）应能具体高级检索功能，包括时间段、量表、因子值区间、性别、年龄段等，支持与、或等方式。</w:t>
            </w:r>
          </w:p>
          <w:p w14:paraId="2DBAD05A">
            <w:pPr>
              <w:spacing w:line="360" w:lineRule="exact"/>
              <w:rPr>
                <w:rFonts w:ascii="宋体" w:hAnsi="宋体" w:cs="仿宋"/>
                <w:color w:val="000000" w:themeColor="text1"/>
                <w:szCs w:val="21"/>
                <w14:textFill>
                  <w14:solidFill>
                    <w14:schemeClr w14:val="tx1"/>
                  </w14:solidFill>
                </w14:textFill>
              </w:rPr>
            </w:pPr>
            <w:r>
              <w:rPr>
                <w:rFonts w:hint="eastAsia" w:ascii="宋体" w:hAnsi="宋体" w:cs="仿宋"/>
                <w:color w:val="000000" w:themeColor="text1"/>
                <w:szCs w:val="21"/>
                <w14:textFill>
                  <w14:solidFill>
                    <w14:schemeClr w14:val="tx1"/>
                  </w14:solidFill>
                </w14:textFill>
              </w:rPr>
              <w:t>（4）导出数据不仅包含量表各维度评分及总分，还应包含原始数据，即患者在该量表每一条项目的选择详情。</w:t>
            </w:r>
          </w:p>
          <w:p w14:paraId="72D7C7D0">
            <w:pPr>
              <w:spacing w:line="360" w:lineRule="exact"/>
              <w:rPr>
                <w:rFonts w:ascii="宋体" w:hAnsi="宋体" w:cs="仿宋"/>
                <w:color w:val="000000" w:themeColor="text1"/>
                <w:szCs w:val="21"/>
                <w14:textFill>
                  <w14:solidFill>
                    <w14:schemeClr w14:val="tx1"/>
                  </w14:solidFill>
                </w14:textFill>
              </w:rPr>
            </w:pPr>
            <w:r>
              <w:rPr>
                <w:rFonts w:hint="eastAsia" w:ascii="宋体" w:hAnsi="宋体" w:cs="仿宋"/>
                <w:color w:val="000000" w:themeColor="text1"/>
                <w:szCs w:val="21"/>
                <w14:textFill>
                  <w14:solidFill>
                    <w14:schemeClr w14:val="tx1"/>
                  </w14:solidFill>
                </w14:textFill>
              </w:rPr>
              <w:t>（5）能够自动对于所有测试结果进行分级预警，以便于医护人员快速对于患者情况进行有针对性的处理。</w:t>
            </w:r>
          </w:p>
          <w:p w14:paraId="5B195C77">
            <w:pPr>
              <w:spacing w:line="360" w:lineRule="exact"/>
              <w:rPr>
                <w:rFonts w:ascii="宋体" w:hAnsi="宋体" w:cs="仿宋"/>
                <w:color w:val="000000" w:themeColor="text1"/>
                <w:szCs w:val="21"/>
                <w14:textFill>
                  <w14:solidFill>
                    <w14:schemeClr w14:val="tx1"/>
                  </w14:solidFill>
                </w14:textFill>
              </w:rPr>
            </w:pPr>
            <w:r>
              <w:rPr>
                <w:rFonts w:hint="eastAsia" w:ascii="宋体" w:hAnsi="宋体" w:cs="仿宋"/>
                <w:color w:val="000000" w:themeColor="text1"/>
                <w:szCs w:val="21"/>
                <w14:textFill>
                  <w14:solidFill>
                    <w14:schemeClr w14:val="tx1"/>
                  </w14:solidFill>
                </w14:textFill>
              </w:rPr>
              <w:t>8、团体测评</w:t>
            </w:r>
          </w:p>
          <w:p w14:paraId="76FD1C44">
            <w:pPr>
              <w:spacing w:line="360" w:lineRule="exact"/>
              <w:rPr>
                <w:rFonts w:ascii="宋体" w:hAnsi="宋体" w:cs="仿宋"/>
                <w:color w:val="000000" w:themeColor="text1"/>
                <w:szCs w:val="21"/>
                <w14:textFill>
                  <w14:solidFill>
                    <w14:schemeClr w14:val="tx1"/>
                  </w14:solidFill>
                </w14:textFill>
              </w:rPr>
            </w:pPr>
            <w:r>
              <w:rPr>
                <w:rFonts w:hint="eastAsia" w:ascii="宋体" w:hAnsi="宋体" w:cs="仿宋"/>
                <w:color w:val="000000" w:themeColor="text1"/>
                <w:szCs w:val="21"/>
                <w14:textFill>
                  <w14:solidFill>
                    <w14:schemeClr w14:val="tx1"/>
                  </w14:solidFill>
                </w14:textFill>
              </w:rPr>
              <w:t>（1）支持团体心理测评，可根据不同的团体建立不同团体任务，设置不同量表，生成不同二维码，每个任务有自己的二维码供当前团体进行扫描登录答题。</w:t>
            </w:r>
          </w:p>
          <w:p w14:paraId="67325124">
            <w:pPr>
              <w:spacing w:line="360" w:lineRule="exact"/>
              <w:rPr>
                <w:rFonts w:ascii="宋体" w:hAnsi="宋体" w:cs="仿宋"/>
                <w:color w:val="000000" w:themeColor="text1"/>
                <w:szCs w:val="21"/>
                <w14:textFill>
                  <w14:solidFill>
                    <w14:schemeClr w14:val="tx1"/>
                  </w14:solidFill>
                </w14:textFill>
              </w:rPr>
            </w:pPr>
            <w:r>
              <w:rPr>
                <w:rFonts w:hint="eastAsia" w:ascii="宋体" w:hAnsi="宋体" w:cs="仿宋"/>
                <w:color w:val="000000" w:themeColor="text1"/>
                <w:szCs w:val="21"/>
                <w14:textFill>
                  <w14:solidFill>
                    <w14:schemeClr w14:val="tx1"/>
                  </w14:solidFill>
                </w14:textFill>
              </w:rPr>
              <w:t>（2）支持不同终端答题，如手机或电脑，为不同人群提供不同答题端口，如学生答题可使用电脑在PC端在机房内进行答题，成年人可使用手机扫描答题。</w:t>
            </w:r>
          </w:p>
          <w:p w14:paraId="105FB669">
            <w:pPr>
              <w:spacing w:line="360" w:lineRule="exact"/>
              <w:rPr>
                <w:rFonts w:ascii="宋体" w:hAnsi="宋体" w:cs="仿宋"/>
                <w:color w:val="000000" w:themeColor="text1"/>
                <w:szCs w:val="21"/>
                <w14:textFill>
                  <w14:solidFill>
                    <w14:schemeClr w14:val="tx1"/>
                  </w14:solidFill>
                </w14:textFill>
              </w:rPr>
            </w:pPr>
            <w:r>
              <w:rPr>
                <w:rFonts w:hint="eastAsia" w:ascii="宋体" w:hAnsi="宋体" w:cs="仿宋"/>
                <w:color w:val="000000" w:themeColor="text1"/>
                <w:szCs w:val="21"/>
                <w14:textFill>
                  <w14:solidFill>
                    <w14:schemeClr w14:val="tx1"/>
                  </w14:solidFill>
                </w14:textFill>
              </w:rPr>
              <w:t>（3）针对不同团体，用户可自定义每个团体的设置模块，如采用导入模板答题还是自助注册答题，自助注册答题可灵活配置注册信息，如性别、年龄、文化程度、婚姻状况等基础人口学信息。</w:t>
            </w:r>
          </w:p>
          <w:p w14:paraId="42E595F0">
            <w:pPr>
              <w:spacing w:line="360" w:lineRule="exact"/>
              <w:rPr>
                <w:rFonts w:ascii="宋体" w:hAnsi="宋体" w:cs="仿宋"/>
                <w:color w:val="000000" w:themeColor="text1"/>
                <w:szCs w:val="21"/>
                <w14:textFill>
                  <w14:solidFill>
                    <w14:schemeClr w14:val="tx1"/>
                  </w14:solidFill>
                </w14:textFill>
              </w:rPr>
            </w:pPr>
            <w:r>
              <w:rPr>
                <w:rFonts w:hint="eastAsia" w:ascii="宋体" w:hAnsi="宋体" w:cs="仿宋"/>
                <w:color w:val="000000" w:themeColor="text1"/>
                <w:szCs w:val="21"/>
                <w14:textFill>
                  <w14:solidFill>
                    <w14:schemeClr w14:val="tx1"/>
                  </w14:solidFill>
                </w14:textFill>
              </w:rPr>
              <w:t>（4）根据不同团体可生成该团体的团体心理报告，如有组织划分，可以按照不同组织或部门进行不同部门下的团体心理报告生成，可灵活根据客户需求进行报告的下载。</w:t>
            </w:r>
          </w:p>
          <w:p w14:paraId="7CB5F013">
            <w:pPr>
              <w:spacing w:line="360" w:lineRule="exact"/>
              <w:rPr>
                <w:rFonts w:ascii="宋体" w:hAnsi="宋体" w:cs="仿宋"/>
                <w:color w:val="000000" w:themeColor="text1"/>
                <w:szCs w:val="21"/>
                <w14:textFill>
                  <w14:solidFill>
                    <w14:schemeClr w14:val="tx1"/>
                  </w14:solidFill>
                </w14:textFill>
              </w:rPr>
            </w:pPr>
            <w:r>
              <w:rPr>
                <w:rFonts w:hint="eastAsia" w:ascii="宋体" w:hAnsi="宋体" w:cs="仿宋"/>
                <w:color w:val="000000" w:themeColor="text1"/>
                <w:szCs w:val="21"/>
                <w14:textFill>
                  <w14:solidFill>
                    <w14:schemeClr w14:val="tx1"/>
                  </w14:solidFill>
                </w14:textFill>
              </w:rPr>
              <w:t>（5）团体心理报告形式可分为word和pdf两个版本，用户可选择下载</w:t>
            </w:r>
            <w:commentRangeStart w:id="5"/>
            <w:commentRangeStart w:id="6"/>
            <w:r>
              <w:rPr>
                <w:rFonts w:hint="eastAsia" w:ascii="宋体" w:hAnsi="宋体" w:cs="仿宋"/>
                <w:color w:val="000000" w:themeColor="text1"/>
                <w:szCs w:val="21"/>
                <w14:textFill>
                  <w14:solidFill>
                    <w14:schemeClr w14:val="tx1"/>
                  </w14:solidFill>
                </w14:textFill>
              </w:rPr>
              <w:t>那个</w:t>
            </w:r>
            <w:commentRangeEnd w:id="5"/>
            <w:r>
              <w:rPr>
                <w:rStyle w:val="8"/>
                <w:color w:val="000000" w:themeColor="text1"/>
                <w14:textFill>
                  <w14:solidFill>
                    <w14:schemeClr w14:val="tx1"/>
                  </w14:solidFill>
                </w14:textFill>
              </w:rPr>
              <w:commentReference w:id="5"/>
            </w:r>
            <w:commentRangeEnd w:id="6"/>
            <w:r>
              <w:rPr>
                <w:color w:val="000000" w:themeColor="text1"/>
                <w14:textFill>
                  <w14:solidFill>
                    <w14:schemeClr w14:val="tx1"/>
                  </w14:solidFill>
                </w14:textFill>
              </w:rPr>
              <w:commentReference w:id="6"/>
            </w:r>
            <w:r>
              <w:rPr>
                <w:rFonts w:hint="eastAsia" w:ascii="宋体" w:hAnsi="宋体" w:cs="仿宋"/>
                <w:color w:val="000000" w:themeColor="text1"/>
                <w:szCs w:val="21"/>
                <w14:textFill>
                  <w14:solidFill>
                    <w14:schemeClr w14:val="tx1"/>
                  </w14:solidFill>
                </w14:textFill>
              </w:rPr>
              <w:t>格式，下载word版方便客户后期根据整体评估情况，自定义添加个性化的整体建议或评估结论，方便用户进行二次编辑。</w:t>
            </w:r>
          </w:p>
          <w:p w14:paraId="6AC80B93">
            <w:pPr>
              <w:spacing w:line="360" w:lineRule="exact"/>
              <w:rPr>
                <w:rFonts w:ascii="宋体" w:hAnsi="宋体" w:cs="仿宋"/>
                <w:color w:val="000000" w:themeColor="text1"/>
                <w:szCs w:val="21"/>
                <w14:textFill>
                  <w14:solidFill>
                    <w14:schemeClr w14:val="tx1"/>
                  </w14:solidFill>
                </w14:textFill>
              </w:rPr>
            </w:pPr>
            <w:r>
              <w:rPr>
                <w:rFonts w:hint="eastAsia" w:ascii="宋体" w:hAnsi="宋体" w:cs="仿宋"/>
                <w:color w:val="000000" w:themeColor="text1"/>
                <w:szCs w:val="21"/>
                <w14:textFill>
                  <w14:solidFill>
                    <w14:schemeClr w14:val="tx1"/>
                  </w14:solidFill>
                </w14:textFill>
              </w:rPr>
              <w:t>10、打印管理</w:t>
            </w:r>
          </w:p>
          <w:p w14:paraId="1770FE37">
            <w:pPr>
              <w:spacing w:line="360" w:lineRule="exact"/>
              <w:rPr>
                <w:rFonts w:ascii="宋体" w:hAnsi="宋体" w:cs="仿宋"/>
                <w:color w:val="000000" w:themeColor="text1"/>
                <w:szCs w:val="21"/>
                <w14:textFill>
                  <w14:solidFill>
                    <w14:schemeClr w14:val="tx1"/>
                  </w14:solidFill>
                </w14:textFill>
              </w:rPr>
            </w:pPr>
            <w:r>
              <w:rPr>
                <w:rFonts w:hint="eastAsia" w:ascii="宋体" w:hAnsi="宋体" w:cs="仿宋"/>
                <w:color w:val="000000" w:themeColor="text1"/>
                <w:szCs w:val="21"/>
                <w14:textFill>
                  <w14:solidFill>
                    <w14:schemeClr w14:val="tx1"/>
                  </w14:solidFill>
                </w14:textFill>
              </w:rPr>
              <w:t>（1）可对不同团体进行组织或部门的数据查询和查看及打印。</w:t>
            </w:r>
          </w:p>
          <w:p w14:paraId="64D5488A">
            <w:pPr>
              <w:spacing w:line="360" w:lineRule="exact"/>
              <w:rPr>
                <w:rFonts w:ascii="宋体" w:hAnsi="宋体" w:cs="仿宋"/>
                <w:color w:val="000000" w:themeColor="text1"/>
                <w:szCs w:val="21"/>
                <w14:textFill>
                  <w14:solidFill>
                    <w14:schemeClr w14:val="tx1"/>
                  </w14:solidFill>
                </w14:textFill>
              </w:rPr>
            </w:pPr>
            <w:r>
              <w:rPr>
                <w:rFonts w:hint="eastAsia" w:ascii="宋体" w:hAnsi="宋体" w:cs="仿宋"/>
                <w:color w:val="000000" w:themeColor="text1"/>
                <w:szCs w:val="21"/>
                <w14:textFill>
                  <w14:solidFill>
                    <w14:schemeClr w14:val="tx1"/>
                  </w14:solidFill>
                </w14:textFill>
              </w:rPr>
              <w:t>（2）可支持对不同团体任务的报告进行批量下载，下载格式为压缩包，团体里每个用户形成一个文件夹，方便客户直接一键下载后返给测试团体。</w:t>
            </w:r>
          </w:p>
          <w:p w14:paraId="654CB7B0">
            <w:pPr>
              <w:spacing w:line="360" w:lineRule="exact"/>
              <w:rPr>
                <w:rFonts w:ascii="宋体" w:hAnsi="宋体" w:cs="仿宋"/>
                <w:color w:val="000000" w:themeColor="text1"/>
                <w:szCs w:val="21"/>
                <w14:textFill>
                  <w14:solidFill>
                    <w14:schemeClr w14:val="tx1"/>
                  </w14:solidFill>
                </w14:textFill>
              </w:rPr>
            </w:pPr>
            <w:r>
              <w:rPr>
                <w:rFonts w:hint="eastAsia" w:ascii="宋体" w:hAnsi="宋体" w:cs="仿宋"/>
                <w:color w:val="000000" w:themeColor="text1"/>
                <w:szCs w:val="21"/>
                <w14:textFill>
                  <w14:solidFill>
                    <w14:schemeClr w14:val="tx1"/>
                  </w14:solidFill>
                </w14:textFill>
              </w:rPr>
              <w:t>11、其他服务</w:t>
            </w:r>
          </w:p>
          <w:p w14:paraId="4B2FC7CF">
            <w:pPr>
              <w:spacing w:line="360" w:lineRule="exact"/>
              <w:rPr>
                <w:rFonts w:ascii="宋体" w:hAnsi="宋体" w:cs="仿宋"/>
                <w:color w:val="000000" w:themeColor="text1"/>
                <w:szCs w:val="21"/>
                <w14:textFill>
                  <w14:solidFill>
                    <w14:schemeClr w14:val="tx1"/>
                  </w14:solidFill>
                </w14:textFill>
              </w:rPr>
            </w:pPr>
            <w:r>
              <w:rPr>
                <w:rFonts w:hint="eastAsia" w:ascii="宋体" w:hAnsi="宋体" w:cs="仿宋"/>
                <w:color w:val="000000" w:themeColor="text1"/>
                <w:szCs w:val="21"/>
                <w14:textFill>
                  <w14:solidFill>
                    <w14:schemeClr w14:val="tx1"/>
                  </w14:solidFill>
                </w14:textFill>
              </w:rPr>
              <w:t>（1）支持多模态心理健康检测，利用多模态融合算法，通过沉浸式的VR虚拟现实评估环境与被试进行人机交互测评，观测个体在刺激条件下的生理和行为反应。通过用户在虚拟现实场景中产生不同的情绪变化，</w:t>
            </w:r>
            <w:commentRangeStart w:id="7"/>
            <w:commentRangeStart w:id="8"/>
            <w:r>
              <w:rPr>
                <w:rFonts w:hint="eastAsia" w:ascii="宋体" w:hAnsi="宋体" w:cs="仿宋"/>
                <w:color w:val="000000" w:themeColor="text1"/>
                <w:szCs w:val="21"/>
                <w14:textFill>
                  <w14:solidFill>
                    <w14:schemeClr w14:val="tx1"/>
                  </w14:solidFill>
                </w14:textFill>
              </w:rPr>
              <w:t>将实时的将采集到</w:t>
            </w:r>
            <w:commentRangeEnd w:id="7"/>
            <w:r>
              <w:rPr>
                <w:rStyle w:val="8"/>
                <w:color w:val="000000" w:themeColor="text1"/>
                <w14:textFill>
                  <w14:solidFill>
                    <w14:schemeClr w14:val="tx1"/>
                  </w14:solidFill>
                </w14:textFill>
              </w:rPr>
              <w:commentReference w:id="7"/>
            </w:r>
            <w:commentRangeEnd w:id="8"/>
            <w:r>
              <w:rPr>
                <w:color w:val="000000" w:themeColor="text1"/>
                <w14:textFill>
                  <w14:solidFill>
                    <w14:schemeClr w14:val="tx1"/>
                  </w14:solidFill>
                </w14:textFill>
              </w:rPr>
              <w:commentReference w:id="8"/>
            </w:r>
            <w:r>
              <w:rPr>
                <w:rFonts w:hint="eastAsia" w:ascii="宋体" w:hAnsi="宋体" w:cs="仿宋"/>
                <w:color w:val="000000" w:themeColor="text1"/>
                <w:szCs w:val="21"/>
                <w14:textFill>
                  <w14:solidFill>
                    <w14:schemeClr w14:val="tx1"/>
                  </w14:solidFill>
                </w14:textFill>
              </w:rPr>
              <w:t>的用户心率、脑电等数据传送给医生，便于医生分析用户的综合心理健康情况。</w:t>
            </w:r>
          </w:p>
          <w:p w14:paraId="0311271F">
            <w:pPr>
              <w:spacing w:line="360" w:lineRule="exact"/>
              <w:rPr>
                <w:rFonts w:ascii="宋体" w:hAnsi="宋体" w:cs="仿宋"/>
                <w:color w:val="000000" w:themeColor="text1"/>
                <w:szCs w:val="21"/>
                <w14:textFill>
                  <w14:solidFill>
                    <w14:schemeClr w14:val="tx1"/>
                  </w14:solidFill>
                </w14:textFill>
              </w:rPr>
            </w:pPr>
            <w:r>
              <w:rPr>
                <w:rFonts w:hint="eastAsia" w:ascii="宋体" w:hAnsi="宋体" w:cs="仿宋"/>
                <w:color w:val="000000" w:themeColor="text1"/>
                <w:szCs w:val="21"/>
                <w14:textFill>
                  <w14:solidFill>
                    <w14:schemeClr w14:val="tx1"/>
                  </w14:solidFill>
                </w14:textFill>
              </w:rPr>
              <w:t>（2）结合医院实际情况，可连接自助报告打印终端，支持患者答题完毕后可通过刷诊疗卡或扫描条码方式，查询和自助打印个人心理测评报告。</w:t>
            </w:r>
          </w:p>
          <w:p w14:paraId="44167859">
            <w:pPr>
              <w:spacing w:line="360" w:lineRule="exact"/>
              <w:rPr>
                <w:rFonts w:ascii="宋体" w:hAnsi="宋体" w:cs="仿宋"/>
                <w:color w:val="000000" w:themeColor="text1"/>
                <w:szCs w:val="21"/>
                <w14:textFill>
                  <w14:solidFill>
                    <w14:schemeClr w14:val="tx1"/>
                  </w14:solidFill>
                </w14:textFill>
              </w:rPr>
            </w:pPr>
            <w:r>
              <w:rPr>
                <w:rFonts w:hint="eastAsia" w:ascii="宋体" w:hAnsi="宋体" w:cs="仿宋"/>
                <w:color w:val="000000" w:themeColor="text1"/>
                <w:kern w:val="0"/>
                <w:szCs w:val="21"/>
                <w:lang w:eastAsia="zh-Hans"/>
                <w14:textFill>
                  <w14:solidFill>
                    <w14:schemeClr w14:val="tx1"/>
                  </w14:solidFill>
                </w14:textFill>
              </w:rPr>
              <w:t>12</w:t>
            </w:r>
            <w:r>
              <w:rPr>
                <w:rFonts w:hint="eastAsia" w:ascii="宋体" w:hAnsi="宋体" w:cs="仿宋"/>
                <w:color w:val="000000" w:themeColor="text1"/>
                <w:szCs w:val="21"/>
                <w14:textFill>
                  <w14:solidFill>
                    <w14:schemeClr w14:val="tx1"/>
                  </w14:solidFill>
                </w14:textFill>
              </w:rPr>
              <w:t>、信息安全要求</w:t>
            </w:r>
          </w:p>
          <w:p w14:paraId="2D13CEFE">
            <w:pPr>
              <w:spacing w:line="360" w:lineRule="exact"/>
              <w:rPr>
                <w:rFonts w:ascii="宋体" w:hAnsi="宋体" w:cs="仿宋"/>
                <w:color w:val="000000" w:themeColor="text1"/>
                <w:szCs w:val="21"/>
                <w14:textFill>
                  <w14:solidFill>
                    <w14:schemeClr w14:val="tx1"/>
                  </w14:solidFill>
                </w14:textFill>
              </w:rPr>
            </w:pPr>
            <w:r>
              <w:rPr>
                <w:rFonts w:hint="eastAsia" w:ascii="宋体" w:hAnsi="宋体" w:cs="仿宋"/>
                <w:color w:val="000000" w:themeColor="text1"/>
                <w:szCs w:val="21"/>
                <w14:textFill>
                  <w14:solidFill>
                    <w14:schemeClr w14:val="tx1"/>
                  </w14:solidFill>
                </w14:textFill>
              </w:rPr>
              <w:t>（1）系统应能满足国家计算机网络安全等级保护测评三级的要求；</w:t>
            </w:r>
          </w:p>
          <w:p w14:paraId="6BF8BCE3">
            <w:pPr>
              <w:spacing w:line="360" w:lineRule="exact"/>
              <w:rPr>
                <w:rFonts w:ascii="宋体" w:hAnsi="宋体" w:cs="仿宋"/>
                <w:color w:val="000000" w:themeColor="text1"/>
                <w:szCs w:val="21"/>
                <w14:textFill>
                  <w14:solidFill>
                    <w14:schemeClr w14:val="tx1"/>
                  </w14:solidFill>
                </w14:textFill>
              </w:rPr>
            </w:pPr>
            <w:r>
              <w:rPr>
                <w:rFonts w:hint="eastAsia" w:ascii="宋体" w:hAnsi="宋体" w:cs="仿宋"/>
                <w:color w:val="000000" w:themeColor="text1"/>
                <w:szCs w:val="21"/>
                <w14:textFill>
                  <w14:solidFill>
                    <w14:schemeClr w14:val="tx1"/>
                  </w14:solidFill>
                </w14:textFill>
              </w:rPr>
              <w:t>（2）系统应搭建在医院信息科指定的服务器上。</w:t>
            </w:r>
          </w:p>
          <w:p w14:paraId="40734FC5">
            <w:pPr>
              <w:spacing w:line="360" w:lineRule="exact"/>
              <w:rPr>
                <w:rFonts w:ascii="宋体" w:hAnsi="宋体" w:cs="仿宋"/>
                <w:bCs/>
                <w:snapToGrid w:val="0"/>
                <w:color w:val="000000" w:themeColor="text1"/>
                <w:spacing w:val="4"/>
                <w:kern w:val="44"/>
                <w:szCs w:val="21"/>
                <w:shd w:val="clear" w:color="auto" w:fill="FFFFFF"/>
                <w14:textFill>
                  <w14:solidFill>
                    <w14:schemeClr w14:val="tx1"/>
                  </w14:solidFill>
                </w14:textFill>
              </w:rPr>
            </w:pPr>
            <w:r>
              <w:rPr>
                <w:rFonts w:hint="eastAsia" w:ascii="宋体" w:hAnsi="宋体" w:cs="仿宋"/>
                <w:color w:val="000000" w:themeColor="text1"/>
                <w:szCs w:val="21"/>
                <w14:textFill>
                  <w14:solidFill>
                    <w14:schemeClr w14:val="tx1"/>
                  </w14:solidFill>
                </w14:textFill>
              </w:rPr>
              <w:t>▲（3）应符合国产化应用要求：满足国产化操作系统通用兼容性、安全性要求，满足用户关键性应用需求，并与国产服务器操作系统适配。（须提供与国产化服务器操作系统软件的适配认证证书并加盖公章）</w:t>
            </w:r>
          </w:p>
        </w:tc>
      </w:tr>
      <w:tr w14:paraId="75F273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7" w:hRule="atLeast"/>
        </w:trPr>
        <w:tc>
          <w:tcPr>
            <w:tcW w:w="704" w:type="dxa"/>
            <w:vAlign w:val="center"/>
          </w:tcPr>
          <w:p w14:paraId="49AC1835">
            <w:pPr>
              <w:widowControl/>
              <w:shd w:val="clear" w:color="auto" w:fill="FFFFFF"/>
              <w:spacing w:line="320" w:lineRule="exact"/>
              <w:jc w:val="center"/>
              <w:outlineLvl w:val="0"/>
              <w:rPr>
                <w:rFonts w:ascii="宋体" w:hAnsi="宋体" w:cs="仿宋_GB2312"/>
                <w:bCs/>
                <w:color w:val="000000" w:themeColor="text1"/>
                <w:kern w:val="44"/>
                <w:szCs w:val="21"/>
                <w:shd w:val="clear" w:color="auto" w:fill="FFFFFF"/>
                <w14:textFill>
                  <w14:solidFill>
                    <w14:schemeClr w14:val="tx1"/>
                  </w14:solidFill>
                </w14:textFill>
              </w:rPr>
            </w:pPr>
            <w:r>
              <w:rPr>
                <w:rFonts w:hint="eastAsia" w:ascii="宋体" w:hAnsi="宋体" w:cs="仿宋_GB2312"/>
                <w:bCs/>
                <w:color w:val="000000" w:themeColor="text1"/>
                <w:kern w:val="44"/>
                <w:szCs w:val="21"/>
                <w:shd w:val="clear" w:color="auto" w:fill="FFFFFF"/>
                <w14:textFill>
                  <w14:solidFill>
                    <w14:schemeClr w14:val="tx1"/>
                  </w14:solidFill>
                </w14:textFill>
              </w:rPr>
              <w:t>2</w:t>
            </w:r>
          </w:p>
        </w:tc>
        <w:tc>
          <w:tcPr>
            <w:tcW w:w="1518" w:type="dxa"/>
            <w:vAlign w:val="center"/>
          </w:tcPr>
          <w:p w14:paraId="6E380B51">
            <w:pPr>
              <w:widowControl/>
              <w:shd w:val="clear" w:color="auto" w:fill="FFFFFF"/>
              <w:spacing w:line="320" w:lineRule="exact"/>
              <w:jc w:val="center"/>
              <w:outlineLvl w:val="0"/>
              <w:rPr>
                <w:rFonts w:ascii="宋体" w:hAnsi="宋体" w:cs="仿宋_GB2312"/>
                <w:bCs/>
                <w:color w:val="000000" w:themeColor="text1"/>
                <w:kern w:val="44"/>
                <w:szCs w:val="21"/>
                <w:shd w:val="clear" w:color="auto" w:fill="FFFFFF"/>
                <w14:textFill>
                  <w14:solidFill>
                    <w14:schemeClr w14:val="tx1"/>
                  </w14:solidFill>
                </w14:textFill>
              </w:rPr>
            </w:pPr>
            <w:r>
              <w:rPr>
                <w:rFonts w:ascii="宋体" w:hAnsi="宋体" w:cs="仿宋_GB2312"/>
                <w:bCs/>
                <w:color w:val="000000" w:themeColor="text1"/>
                <w:kern w:val="44"/>
                <w:szCs w:val="21"/>
                <w:shd w:val="clear" w:color="auto" w:fill="FFFFFF"/>
                <w14:textFill>
                  <w14:solidFill>
                    <w14:schemeClr w14:val="tx1"/>
                  </w14:solidFill>
                </w14:textFill>
              </w:rPr>
              <w:t>硬件设施要求</w:t>
            </w:r>
          </w:p>
        </w:tc>
        <w:tc>
          <w:tcPr>
            <w:tcW w:w="6337" w:type="dxa"/>
          </w:tcPr>
          <w:p w14:paraId="77170E65">
            <w:pPr>
              <w:adjustRightInd w:val="0"/>
              <w:snapToGrid w:val="0"/>
              <w:spacing w:line="360" w:lineRule="exact"/>
              <w:jc w:val="left"/>
              <w:rPr>
                <w:rFonts w:ascii="宋体" w:hAnsi="宋体" w:cs="仿宋"/>
                <w:bCs/>
                <w:color w:val="000000" w:themeColor="text1"/>
                <w:kern w:val="44"/>
                <w:szCs w:val="21"/>
                <w:shd w:val="clear" w:color="auto" w:fill="FFFFFF"/>
                <w14:textFill>
                  <w14:solidFill>
                    <w14:schemeClr w14:val="tx1"/>
                  </w14:solidFill>
                </w14:textFill>
              </w:rPr>
            </w:pPr>
            <w:r>
              <w:rPr>
                <w:rFonts w:hint="eastAsia" w:ascii="宋体" w:hAnsi="宋体" w:cs="仿宋"/>
                <w:bCs/>
                <w:color w:val="000000" w:themeColor="text1"/>
                <w:kern w:val="44"/>
                <w:szCs w:val="21"/>
                <w:shd w:val="clear" w:color="auto" w:fill="FFFFFF"/>
                <w14:textFill>
                  <w14:solidFill>
                    <w14:schemeClr w14:val="tx1"/>
                  </w14:solidFill>
                </w14:textFill>
              </w:rPr>
              <w:t>需配置硬件具体参数如下（硬件均由供应商提供，不产生额外费用）：</w:t>
            </w:r>
          </w:p>
          <w:p w14:paraId="4A902F27">
            <w:pPr>
              <w:spacing w:line="360" w:lineRule="exact"/>
              <w:rPr>
                <w:rFonts w:ascii="宋体" w:hAnsi="宋体" w:cs="仿宋"/>
                <w:color w:val="000000" w:themeColor="text1"/>
                <w:szCs w:val="21"/>
                <w14:textFill>
                  <w14:solidFill>
                    <w14:schemeClr w14:val="tx1"/>
                  </w14:solidFill>
                </w14:textFill>
              </w:rPr>
            </w:pPr>
            <w:r>
              <w:rPr>
                <w:rFonts w:hint="eastAsia" w:ascii="宋体" w:hAnsi="宋体" w:cs="仿宋"/>
                <w:color w:val="000000" w:themeColor="text1"/>
                <w:kern w:val="0"/>
                <w:szCs w:val="21"/>
                <w:lang w:eastAsia="zh-Hans"/>
                <w14:textFill>
                  <w14:solidFill>
                    <w14:schemeClr w14:val="tx1"/>
                  </w14:solidFill>
                </w14:textFill>
              </w:rPr>
              <w:t>1、</w:t>
            </w:r>
            <w:r>
              <w:rPr>
                <w:rFonts w:hint="eastAsia" w:ascii="宋体" w:hAnsi="宋体" w:cs="仿宋"/>
                <w:color w:val="000000" w:themeColor="text1"/>
                <w:kern w:val="0"/>
                <w:szCs w:val="21"/>
                <w14:textFill>
                  <w14:solidFill>
                    <w14:schemeClr w14:val="tx1"/>
                  </w14:solidFill>
                </w14:textFill>
              </w:rPr>
              <w:t>WEB服务</w:t>
            </w:r>
            <w:r>
              <w:rPr>
                <w:rFonts w:hint="eastAsia" w:ascii="宋体" w:hAnsi="宋体" w:cs="仿宋"/>
                <w:color w:val="000000" w:themeColor="text1"/>
                <w:kern w:val="0"/>
                <w:szCs w:val="21"/>
                <w:lang w:val="en-US" w:eastAsia="zh-CN"/>
                <w14:textFill>
                  <w14:solidFill>
                    <w14:schemeClr w14:val="tx1"/>
                  </w14:solidFill>
                </w14:textFill>
              </w:rPr>
              <w:t>终端</w:t>
            </w:r>
            <w:r>
              <w:rPr>
                <w:rFonts w:hint="eastAsia" w:ascii="宋体" w:hAnsi="宋体" w:cs="仿宋"/>
                <w:color w:val="000000" w:themeColor="text1"/>
                <w:szCs w:val="21"/>
                <w14:textFill>
                  <w14:solidFill>
                    <w14:schemeClr w14:val="tx1"/>
                  </w14:solidFill>
                </w14:textFill>
              </w:rPr>
              <w:t>2台：内存≥32G，企业级硬盘≥2TB, 支持RAID存储，适用于云计算的快速部署及高效维护。</w:t>
            </w:r>
          </w:p>
          <w:p w14:paraId="186DCBC1">
            <w:pPr>
              <w:spacing w:line="360" w:lineRule="exact"/>
              <w:rPr>
                <w:rFonts w:ascii="宋体" w:hAnsi="宋体" w:cs="仿宋"/>
                <w:color w:val="000000" w:themeColor="text1"/>
                <w:szCs w:val="21"/>
                <w14:textFill>
                  <w14:solidFill>
                    <w14:schemeClr w14:val="tx1"/>
                  </w14:solidFill>
                </w14:textFill>
              </w:rPr>
            </w:pPr>
            <w:r>
              <w:rPr>
                <w:rFonts w:hint="eastAsia" w:ascii="宋体" w:hAnsi="宋体" w:cs="仿宋"/>
                <w:color w:val="000000" w:themeColor="text1"/>
                <w:szCs w:val="21"/>
                <w14:textFill>
                  <w14:solidFill>
                    <w14:schemeClr w14:val="tx1"/>
                  </w14:solidFill>
                </w14:textFill>
              </w:rPr>
              <w:t>2、医生工作站1台：内存≥8GB，硬盘≥500G。</w:t>
            </w:r>
          </w:p>
          <w:p w14:paraId="472E63C2">
            <w:pPr>
              <w:spacing w:line="360" w:lineRule="exact"/>
              <w:rPr>
                <w:rFonts w:ascii="宋体" w:hAnsi="宋体" w:cs="仿宋"/>
                <w:color w:val="000000" w:themeColor="text1"/>
                <w:szCs w:val="21"/>
                <w14:textFill>
                  <w14:solidFill>
                    <w14:schemeClr w14:val="tx1"/>
                  </w14:solidFill>
                </w14:textFill>
              </w:rPr>
            </w:pPr>
            <w:r>
              <w:rPr>
                <w:rFonts w:hint="eastAsia" w:ascii="宋体" w:hAnsi="宋体" w:cs="仿宋"/>
                <w:color w:val="000000" w:themeColor="text1"/>
                <w:szCs w:val="21"/>
                <w14:textFill>
                  <w14:solidFill>
                    <w14:schemeClr w14:val="tx1"/>
                  </w14:solidFill>
                </w14:textFill>
              </w:rPr>
              <w:t>3、测评终端4台：≥23寸，处理器≥四核2.0GHz，内存≥4GB，存储≥16GB，支持B/S模式（浏览器访问），具有系统还原保护功能。</w:t>
            </w:r>
          </w:p>
          <w:p w14:paraId="59B5EF9A">
            <w:pPr>
              <w:spacing w:line="360" w:lineRule="exact"/>
              <w:rPr>
                <w:rFonts w:ascii="宋体" w:hAnsi="宋体" w:cs="仿宋"/>
                <w:color w:val="000000" w:themeColor="text1"/>
                <w:szCs w:val="21"/>
                <w14:textFill>
                  <w14:solidFill>
                    <w14:schemeClr w14:val="tx1"/>
                  </w14:solidFill>
                </w14:textFill>
              </w:rPr>
            </w:pPr>
            <w:r>
              <w:rPr>
                <w:rFonts w:hint="eastAsia" w:ascii="宋体" w:hAnsi="宋体" w:cs="仿宋"/>
                <w:color w:val="000000" w:themeColor="text1"/>
                <w:szCs w:val="21"/>
                <w14:textFill>
                  <w14:solidFill>
                    <w14:schemeClr w14:val="tx1"/>
                  </w14:solidFill>
                </w14:textFill>
              </w:rPr>
              <w:t>4、移动测评终端2台：处理器≥六核，屏幕尺寸≥10英寸，内存≥4G，存储≥128G。</w:t>
            </w:r>
          </w:p>
          <w:p w14:paraId="33B5D6E4">
            <w:pPr>
              <w:spacing w:line="360" w:lineRule="exact"/>
              <w:rPr>
                <w:rFonts w:ascii="宋体" w:hAnsi="宋体" w:cs="仿宋"/>
                <w:color w:val="000000" w:themeColor="text1"/>
                <w:szCs w:val="21"/>
                <w14:textFill>
                  <w14:solidFill>
                    <w14:schemeClr w14:val="tx1"/>
                  </w14:solidFill>
                </w14:textFill>
              </w:rPr>
            </w:pPr>
            <w:r>
              <w:rPr>
                <w:rFonts w:hint="eastAsia" w:ascii="宋体" w:hAnsi="宋体" w:cs="仿宋"/>
                <w:color w:val="000000" w:themeColor="text1"/>
                <w:szCs w:val="21"/>
                <w14:textFill>
                  <w14:solidFill>
                    <w14:schemeClr w14:val="tx1"/>
                  </w14:solidFill>
                </w14:textFill>
              </w:rPr>
              <w:t>5、专用数码笔1支：内存≥8MB支持离线存储；使用时间：可连续书写≥9小时；电池：内置锂离子电池3.7V/ 130mah；高速红外摄像头≥75P/S。</w:t>
            </w:r>
          </w:p>
          <w:p w14:paraId="6201AA8A">
            <w:pPr>
              <w:spacing w:line="360" w:lineRule="exact"/>
              <w:rPr>
                <w:rFonts w:ascii="宋体" w:hAnsi="宋体" w:cs="仿宋"/>
                <w:color w:val="000000" w:themeColor="text1"/>
                <w:szCs w:val="21"/>
                <w14:textFill>
                  <w14:solidFill>
                    <w14:schemeClr w14:val="tx1"/>
                  </w14:solidFill>
                </w14:textFill>
              </w:rPr>
            </w:pPr>
            <w:r>
              <w:rPr>
                <w:rFonts w:hint="eastAsia" w:ascii="宋体" w:hAnsi="宋体" w:cs="仿宋"/>
                <w:color w:val="000000" w:themeColor="text1"/>
                <w:szCs w:val="21"/>
                <w14:textFill>
                  <w14:solidFill>
                    <w14:schemeClr w14:val="tx1"/>
                  </w14:solidFill>
                </w14:textFill>
              </w:rPr>
              <w:t>6、多模态VR</w:t>
            </w:r>
            <w:r>
              <w:rPr>
                <w:rFonts w:hint="eastAsia" w:ascii="宋体" w:hAnsi="宋体" w:cs="仿宋"/>
                <w:color w:val="000000" w:themeColor="text1"/>
                <w:szCs w:val="21"/>
                <w:lang w:val="en-US" w:eastAsia="zh-CN"/>
                <w14:textFill>
                  <w14:solidFill>
                    <w14:schemeClr w14:val="tx1"/>
                  </w14:solidFill>
                </w14:textFill>
              </w:rPr>
              <w:t>终端</w:t>
            </w:r>
            <w:r>
              <w:rPr>
                <w:rFonts w:hint="eastAsia" w:ascii="宋体" w:hAnsi="宋体" w:cs="仿宋"/>
                <w:color w:val="000000" w:themeColor="text1"/>
                <w:szCs w:val="21"/>
                <w14:textFill>
                  <w14:solidFill>
                    <w14:schemeClr w14:val="tx1"/>
                  </w14:solidFill>
                </w14:textFill>
              </w:rPr>
              <w:t>1台：搭载VR开展多模态心理健康评估，支持可拆卸多功能智能面罩（内置前额EEG脑电检测传感器3个、PPG光学心率检测传感器1个，输入电压: ≥3.6v），屏幕分辨率≥3664*1920。</w:t>
            </w:r>
          </w:p>
          <w:p w14:paraId="74F8556F">
            <w:pPr>
              <w:spacing w:line="360" w:lineRule="exact"/>
              <w:rPr>
                <w:rFonts w:ascii="宋体" w:hAnsi="宋体" w:cs="仿宋"/>
                <w:bCs/>
                <w:color w:val="000000" w:themeColor="text1"/>
                <w:kern w:val="44"/>
                <w:szCs w:val="21"/>
                <w:shd w:val="clear" w:color="auto" w:fill="FFFFFF"/>
                <w14:textFill>
                  <w14:solidFill>
                    <w14:schemeClr w14:val="tx1"/>
                  </w14:solidFill>
                </w14:textFill>
              </w:rPr>
            </w:pPr>
            <w:r>
              <w:rPr>
                <w:rFonts w:hint="eastAsia" w:ascii="宋体" w:hAnsi="宋体" w:cs="仿宋"/>
                <w:color w:val="000000" w:themeColor="text1"/>
                <w:szCs w:val="21"/>
                <w14:textFill>
                  <w14:solidFill>
                    <w14:schemeClr w14:val="tx1"/>
                  </w14:solidFill>
                </w14:textFill>
              </w:rPr>
              <w:t>7、输出设备1台。</w:t>
            </w:r>
          </w:p>
        </w:tc>
      </w:tr>
      <w:tr w14:paraId="7CD5E3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4" w:hRule="atLeast"/>
        </w:trPr>
        <w:tc>
          <w:tcPr>
            <w:tcW w:w="704" w:type="dxa"/>
            <w:vAlign w:val="center"/>
          </w:tcPr>
          <w:p w14:paraId="54830DCE">
            <w:pPr>
              <w:widowControl/>
              <w:shd w:val="clear" w:color="auto" w:fill="FFFFFF"/>
              <w:spacing w:line="320" w:lineRule="exact"/>
              <w:jc w:val="center"/>
              <w:outlineLvl w:val="0"/>
              <w:rPr>
                <w:rFonts w:ascii="宋体" w:hAnsi="宋体" w:cs="仿宋_GB2312"/>
                <w:bCs/>
                <w:color w:val="000000" w:themeColor="text1"/>
                <w:kern w:val="44"/>
                <w:szCs w:val="21"/>
                <w:shd w:val="clear" w:color="auto" w:fill="FFFFFF"/>
                <w14:textFill>
                  <w14:solidFill>
                    <w14:schemeClr w14:val="tx1"/>
                  </w14:solidFill>
                </w14:textFill>
              </w:rPr>
            </w:pPr>
            <w:r>
              <w:rPr>
                <w:rFonts w:hint="eastAsia" w:ascii="宋体" w:hAnsi="宋体" w:cs="仿宋_GB2312"/>
                <w:bCs/>
                <w:color w:val="000000" w:themeColor="text1"/>
                <w:kern w:val="44"/>
                <w:szCs w:val="21"/>
                <w:shd w:val="clear" w:color="auto" w:fill="FFFFFF"/>
                <w14:textFill>
                  <w14:solidFill>
                    <w14:schemeClr w14:val="tx1"/>
                  </w14:solidFill>
                </w14:textFill>
              </w:rPr>
              <w:t>3</w:t>
            </w:r>
          </w:p>
        </w:tc>
        <w:tc>
          <w:tcPr>
            <w:tcW w:w="1518" w:type="dxa"/>
            <w:vAlign w:val="center"/>
          </w:tcPr>
          <w:p w14:paraId="713FBFB9">
            <w:pPr>
              <w:widowControl/>
              <w:shd w:val="clear" w:color="auto" w:fill="FFFFFF"/>
              <w:spacing w:line="320" w:lineRule="exact"/>
              <w:jc w:val="center"/>
              <w:outlineLvl w:val="0"/>
              <w:rPr>
                <w:rFonts w:ascii="宋体" w:hAnsi="宋体" w:cs="仿宋_GB2312"/>
                <w:bCs/>
                <w:color w:val="000000" w:themeColor="text1"/>
                <w:kern w:val="44"/>
                <w:szCs w:val="21"/>
                <w:shd w:val="clear" w:color="auto" w:fill="FFFFFF"/>
                <w14:textFill>
                  <w14:solidFill>
                    <w14:schemeClr w14:val="tx1"/>
                  </w14:solidFill>
                </w14:textFill>
              </w:rPr>
            </w:pPr>
            <w:r>
              <w:rPr>
                <w:rFonts w:ascii="宋体" w:hAnsi="宋体" w:cs="仿宋_GB2312"/>
                <w:bCs/>
                <w:color w:val="000000" w:themeColor="text1"/>
                <w:kern w:val="44"/>
                <w:szCs w:val="21"/>
                <w:shd w:val="clear" w:color="auto" w:fill="FFFFFF"/>
                <w14:textFill>
                  <w14:solidFill>
                    <w14:schemeClr w14:val="tx1"/>
                  </w14:solidFill>
                </w14:textFill>
              </w:rPr>
              <w:t>与其他系统的集成要求</w:t>
            </w:r>
          </w:p>
        </w:tc>
        <w:tc>
          <w:tcPr>
            <w:tcW w:w="6337" w:type="dxa"/>
            <w:vAlign w:val="center"/>
          </w:tcPr>
          <w:p w14:paraId="35AB046F">
            <w:pPr>
              <w:adjustRightInd w:val="0"/>
              <w:snapToGrid w:val="0"/>
              <w:spacing w:line="360" w:lineRule="exact"/>
              <w:rPr>
                <w:rFonts w:ascii="宋体" w:hAnsi="宋体" w:cs="仿宋"/>
                <w:bCs/>
                <w:color w:val="000000" w:themeColor="text1"/>
                <w:kern w:val="44"/>
                <w:szCs w:val="21"/>
                <w:shd w:val="clear" w:color="auto" w:fill="FFFFFF"/>
                <w14:textFill>
                  <w14:solidFill>
                    <w14:schemeClr w14:val="tx1"/>
                  </w14:solidFill>
                </w14:textFill>
              </w:rPr>
            </w:pPr>
            <w:r>
              <w:rPr>
                <w:rFonts w:hint="eastAsia" w:ascii="宋体" w:hAnsi="宋体" w:cs="仿宋"/>
                <w:bCs/>
                <w:color w:val="000000" w:themeColor="text1"/>
                <w:kern w:val="44"/>
                <w:szCs w:val="21"/>
                <w:shd w:val="clear" w:color="auto" w:fill="FFFFFF"/>
                <w14:textFill>
                  <w14:solidFill>
                    <w14:schemeClr w14:val="tx1"/>
                  </w14:solidFill>
                </w14:textFill>
              </w:rPr>
              <w:t>可与医院HIS系统对接。厂家免费提供对接技术服务费，与HIS系统厂家产生的费用由医院与HIS厂家协商。</w:t>
            </w:r>
          </w:p>
        </w:tc>
      </w:tr>
      <w:tr w14:paraId="1D5999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04" w:type="dxa"/>
            <w:vAlign w:val="center"/>
          </w:tcPr>
          <w:p w14:paraId="4791779A">
            <w:pPr>
              <w:widowControl/>
              <w:shd w:val="clear" w:color="auto" w:fill="FFFFFF"/>
              <w:spacing w:line="320" w:lineRule="exact"/>
              <w:jc w:val="center"/>
              <w:outlineLvl w:val="0"/>
              <w:rPr>
                <w:rFonts w:ascii="宋体" w:hAnsi="宋体" w:cs="仿宋_GB2312"/>
                <w:bCs/>
                <w:color w:val="000000" w:themeColor="text1"/>
                <w:kern w:val="44"/>
                <w:szCs w:val="21"/>
                <w:shd w:val="clear" w:color="auto" w:fill="FFFFFF"/>
                <w14:textFill>
                  <w14:solidFill>
                    <w14:schemeClr w14:val="tx1"/>
                  </w14:solidFill>
                </w14:textFill>
              </w:rPr>
            </w:pPr>
            <w:r>
              <w:rPr>
                <w:rFonts w:hint="eastAsia" w:ascii="宋体" w:hAnsi="宋体" w:cs="仿宋_GB2312"/>
                <w:bCs/>
                <w:color w:val="000000" w:themeColor="text1"/>
                <w:kern w:val="44"/>
                <w:szCs w:val="21"/>
                <w:shd w:val="clear" w:color="auto" w:fill="FFFFFF"/>
                <w14:textFill>
                  <w14:solidFill>
                    <w14:schemeClr w14:val="tx1"/>
                  </w14:solidFill>
                </w14:textFill>
              </w:rPr>
              <w:t>4</w:t>
            </w:r>
          </w:p>
        </w:tc>
        <w:tc>
          <w:tcPr>
            <w:tcW w:w="1518" w:type="dxa"/>
            <w:vAlign w:val="center"/>
          </w:tcPr>
          <w:p w14:paraId="347CE32D">
            <w:pPr>
              <w:widowControl/>
              <w:shd w:val="clear" w:color="auto" w:fill="FFFFFF"/>
              <w:spacing w:line="320" w:lineRule="exact"/>
              <w:jc w:val="center"/>
              <w:outlineLvl w:val="0"/>
              <w:rPr>
                <w:rFonts w:ascii="宋体" w:hAnsi="宋体" w:cs="仿宋_GB2312"/>
                <w:bCs/>
                <w:color w:val="000000" w:themeColor="text1"/>
                <w:kern w:val="44"/>
                <w:szCs w:val="21"/>
                <w:shd w:val="clear" w:color="auto" w:fill="FFFFFF"/>
                <w14:textFill>
                  <w14:solidFill>
                    <w14:schemeClr w14:val="tx1"/>
                  </w14:solidFill>
                </w14:textFill>
              </w:rPr>
            </w:pPr>
            <w:r>
              <w:rPr>
                <w:rFonts w:ascii="宋体" w:hAnsi="宋体" w:cs="仿宋_GB2312"/>
                <w:bCs/>
                <w:color w:val="000000" w:themeColor="text1"/>
                <w:kern w:val="44"/>
                <w:szCs w:val="21"/>
                <w:shd w:val="clear" w:color="auto" w:fill="FFFFFF"/>
                <w14:textFill>
                  <w14:solidFill>
                    <w14:schemeClr w14:val="tx1"/>
                  </w14:solidFill>
                </w14:textFill>
              </w:rPr>
              <w:t>安全性与权限控制要求</w:t>
            </w:r>
          </w:p>
        </w:tc>
        <w:tc>
          <w:tcPr>
            <w:tcW w:w="6337" w:type="dxa"/>
          </w:tcPr>
          <w:p w14:paraId="3623FACF">
            <w:pPr>
              <w:adjustRightInd w:val="0"/>
              <w:snapToGrid w:val="0"/>
              <w:spacing w:line="360" w:lineRule="exact"/>
              <w:jc w:val="left"/>
              <w:rPr>
                <w:rFonts w:ascii="宋体" w:hAnsi="宋体" w:cs="仿宋_GB2312"/>
                <w:color w:val="000000" w:themeColor="text1"/>
                <w:szCs w:val="21"/>
                <w14:textFill>
                  <w14:solidFill>
                    <w14:schemeClr w14:val="tx1"/>
                  </w14:solidFill>
                </w14:textFill>
              </w:rPr>
            </w:pPr>
            <w:r>
              <w:rPr>
                <w:rFonts w:hint="eastAsia" w:ascii="宋体" w:hAnsi="宋体" w:cs="仿宋"/>
                <w:bCs/>
                <w:color w:val="000000" w:themeColor="text1"/>
                <w:kern w:val="44"/>
                <w:szCs w:val="21"/>
                <w:shd w:val="clear" w:color="auto" w:fill="FFFFFF"/>
                <w14:textFill>
                  <w14:solidFill>
                    <w14:schemeClr w14:val="tx1"/>
                  </w14:solidFill>
                </w14:textFill>
              </w:rPr>
              <w:t>心理云CT 诊断系统为本地化部署，不涉及患者、医疗数据安全问题。需要在互联网上应用，具有网络安全三级等保证书。</w:t>
            </w:r>
            <w:bookmarkStart w:id="3" w:name="_GoBack"/>
            <w:bookmarkEnd w:id="3"/>
          </w:p>
        </w:tc>
      </w:tr>
      <w:tr w14:paraId="2844FD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4" w:hRule="atLeast"/>
        </w:trPr>
        <w:tc>
          <w:tcPr>
            <w:tcW w:w="704" w:type="dxa"/>
            <w:vAlign w:val="center"/>
          </w:tcPr>
          <w:p w14:paraId="2E06DB35">
            <w:pPr>
              <w:widowControl/>
              <w:shd w:val="clear" w:color="auto" w:fill="FFFFFF"/>
              <w:spacing w:line="320" w:lineRule="exact"/>
              <w:jc w:val="center"/>
              <w:outlineLvl w:val="0"/>
              <w:rPr>
                <w:rFonts w:ascii="宋体" w:hAnsi="宋体" w:cs="仿宋_GB2312"/>
                <w:bCs/>
                <w:color w:val="000000" w:themeColor="text1"/>
                <w:kern w:val="44"/>
                <w:szCs w:val="21"/>
                <w:shd w:val="clear" w:color="auto" w:fill="FFFFFF"/>
                <w14:textFill>
                  <w14:solidFill>
                    <w14:schemeClr w14:val="tx1"/>
                  </w14:solidFill>
                </w14:textFill>
              </w:rPr>
            </w:pPr>
            <w:r>
              <w:rPr>
                <w:rFonts w:hint="eastAsia" w:ascii="宋体" w:hAnsi="宋体" w:cs="仿宋_GB2312"/>
                <w:bCs/>
                <w:color w:val="000000" w:themeColor="text1"/>
                <w:kern w:val="44"/>
                <w:szCs w:val="21"/>
                <w:shd w:val="clear" w:color="auto" w:fill="FFFFFF"/>
                <w14:textFill>
                  <w14:solidFill>
                    <w14:schemeClr w14:val="tx1"/>
                  </w14:solidFill>
                </w14:textFill>
              </w:rPr>
              <w:t>5</w:t>
            </w:r>
          </w:p>
        </w:tc>
        <w:tc>
          <w:tcPr>
            <w:tcW w:w="1518" w:type="dxa"/>
            <w:vAlign w:val="center"/>
          </w:tcPr>
          <w:p w14:paraId="115A674E">
            <w:pPr>
              <w:widowControl/>
              <w:shd w:val="clear" w:color="auto" w:fill="FFFFFF"/>
              <w:spacing w:line="320" w:lineRule="exact"/>
              <w:jc w:val="center"/>
              <w:outlineLvl w:val="0"/>
              <w:rPr>
                <w:rFonts w:ascii="宋体" w:hAnsi="宋体" w:cs="仿宋_GB2312"/>
                <w:bCs/>
                <w:color w:val="000000" w:themeColor="text1"/>
                <w:kern w:val="44"/>
                <w:szCs w:val="21"/>
                <w:shd w:val="clear" w:color="auto" w:fill="FFFFFF"/>
                <w14:textFill>
                  <w14:solidFill>
                    <w14:schemeClr w14:val="tx1"/>
                  </w14:solidFill>
                </w14:textFill>
              </w:rPr>
            </w:pPr>
            <w:r>
              <w:rPr>
                <w:rFonts w:ascii="宋体" w:hAnsi="宋体" w:cs="仿宋_GB2312"/>
                <w:bCs/>
                <w:color w:val="000000" w:themeColor="text1"/>
                <w:kern w:val="44"/>
                <w:szCs w:val="21"/>
                <w:shd w:val="clear" w:color="auto" w:fill="FFFFFF"/>
                <w14:textFill>
                  <w14:solidFill>
                    <w14:schemeClr w14:val="tx1"/>
                  </w14:solidFill>
                </w14:textFill>
              </w:rPr>
              <w:t>实施及后续运维服务要求</w:t>
            </w:r>
          </w:p>
        </w:tc>
        <w:tc>
          <w:tcPr>
            <w:tcW w:w="6337" w:type="dxa"/>
          </w:tcPr>
          <w:p w14:paraId="1F9359EC">
            <w:pPr>
              <w:spacing w:line="360" w:lineRule="exact"/>
              <w:rPr>
                <w:rFonts w:ascii="宋体" w:hAnsi="宋体" w:cs="仿宋"/>
                <w:bCs/>
                <w:color w:val="000000" w:themeColor="text1"/>
                <w:szCs w:val="21"/>
                <w14:textFill>
                  <w14:solidFill>
                    <w14:schemeClr w14:val="tx1"/>
                  </w14:solidFill>
                </w14:textFill>
              </w:rPr>
            </w:pPr>
            <w:r>
              <w:rPr>
                <w:rFonts w:hint="eastAsia" w:ascii="宋体" w:hAnsi="宋体" w:cs="仿宋"/>
                <w:bCs/>
                <w:color w:val="000000" w:themeColor="text1"/>
                <w:szCs w:val="21"/>
                <w14:textFill>
                  <w14:solidFill>
                    <w14:schemeClr w14:val="tx1"/>
                  </w14:solidFill>
                </w14:textFill>
              </w:rPr>
              <w:t>日常系统维护：操作系统、数据库、应用软件的日常维护流程。系统及应用软件的日常监控，如数据库系统，则可能包括监控进程、实例、内存、磁盘空间、数据库日志是否报错、收集统计信息、死锁监控等,特别业务高峰期和执行跑批时的CPU、内存占用情况及原因分析。</w:t>
            </w:r>
          </w:p>
          <w:p w14:paraId="1C84A89B">
            <w:pPr>
              <w:spacing w:line="360" w:lineRule="exact"/>
              <w:rPr>
                <w:rFonts w:ascii="宋体" w:hAnsi="宋体" w:cs="仿宋_GB2312"/>
                <w:strike/>
                <w:color w:val="000000" w:themeColor="text1"/>
                <w:szCs w:val="21"/>
                <w14:textFill>
                  <w14:solidFill>
                    <w14:schemeClr w14:val="tx1"/>
                  </w14:solidFill>
                </w14:textFill>
              </w:rPr>
            </w:pPr>
            <w:r>
              <w:rPr>
                <w:rFonts w:hint="eastAsia" w:ascii="宋体" w:hAnsi="宋体" w:cs="仿宋"/>
                <w:bCs/>
                <w:color w:val="000000" w:themeColor="text1"/>
                <w:szCs w:val="21"/>
                <w14:textFill>
                  <w14:solidFill>
                    <w14:schemeClr w14:val="tx1"/>
                  </w14:solidFill>
                </w14:textFill>
              </w:rPr>
              <w:t>定期巡查：每半年厂家现场回访巡查。检测系统性能及运行指标；检测相关数据库系统的性能及运行指标；检测相关系统安全的性能指标。指导院方工程师进行数据备份、数据清理；日志备份、日志清理；数据库空间检查、清理；文件系统检查、清理等。在巡检过程中给出工作建议，包括：系统改进方案、数据库优化方案等，可由院方工程师记录巡检过程以备查。</w:t>
            </w:r>
          </w:p>
        </w:tc>
      </w:tr>
    </w:tbl>
    <w:p w14:paraId="6B2731B4">
      <w:pPr>
        <w:rPr>
          <w:rFonts w:ascii="宋体" w:hAnsi="宋体" w:cs="Arial"/>
          <w:szCs w:val="21"/>
        </w:rPr>
      </w:pPr>
    </w:p>
    <w:p w14:paraId="601D6289">
      <w:pPr>
        <w:rPr>
          <w:rFonts w:ascii="宋体" w:hAnsi="宋体" w:cs="Arial"/>
          <w:szCs w:val="21"/>
        </w:rPr>
      </w:pPr>
    </w:p>
    <w:p w14:paraId="03A6542E">
      <w:pPr>
        <w:rPr>
          <w:rFonts w:ascii="宋体" w:hAnsi="宋体" w:cs="Arial"/>
          <w:b/>
          <w:bCs/>
          <w:szCs w:val="21"/>
        </w:rPr>
      </w:pPr>
      <w:r>
        <w:rPr>
          <w:rFonts w:hint="eastAsia" w:ascii="宋体" w:hAnsi="宋体" w:cs="Arial"/>
          <w:b/>
          <w:bCs/>
          <w:szCs w:val="21"/>
        </w:rPr>
        <w:t>二、</w:t>
      </w:r>
      <w:r>
        <w:rPr>
          <w:szCs w:val="22"/>
        </w:rPr>
        <w:t>▲</w:t>
      </w:r>
      <w:commentRangeStart w:id="9"/>
      <w:r>
        <w:rPr>
          <w:rFonts w:hint="eastAsia" w:ascii="宋体" w:hAnsi="宋体" w:cs="Arial"/>
          <w:b/>
          <w:bCs/>
          <w:szCs w:val="21"/>
        </w:rPr>
        <w:t>商务要求</w:t>
      </w:r>
      <w:commentRangeEnd w:id="9"/>
      <w:r>
        <w:rPr>
          <w:rStyle w:val="8"/>
        </w:rPr>
        <w:commentReference w:id="9"/>
      </w:r>
    </w:p>
    <w:p w14:paraId="1264F9F7">
      <w:pPr>
        <w:spacing w:line="360" w:lineRule="exact"/>
        <w:rPr>
          <w:rFonts w:ascii="Calibri" w:hAnsi="Calibri"/>
          <w:szCs w:val="22"/>
        </w:rPr>
      </w:pPr>
      <w:r>
        <w:rPr>
          <w:rFonts w:ascii="Calibri" w:hAnsi="Calibri"/>
          <w:szCs w:val="22"/>
        </w:rPr>
        <w:t>1</w:t>
      </w:r>
      <w:r>
        <w:rPr>
          <w:rFonts w:hint="eastAsia" w:ascii="Calibri" w:hAnsi="Calibri"/>
          <w:szCs w:val="22"/>
        </w:rPr>
        <w:t>、合同签订日期：自成交通知书发出之日起</w:t>
      </w:r>
      <w:r>
        <w:rPr>
          <w:rFonts w:ascii="Calibri" w:hAnsi="Calibri"/>
          <w:szCs w:val="22"/>
        </w:rPr>
        <w:t>25</w:t>
      </w:r>
      <w:r>
        <w:rPr>
          <w:rFonts w:hint="eastAsia" w:ascii="Calibri" w:hAnsi="Calibri"/>
          <w:szCs w:val="22"/>
        </w:rPr>
        <w:t>日内。</w:t>
      </w:r>
    </w:p>
    <w:p w14:paraId="46D644DC">
      <w:pPr>
        <w:spacing w:line="360" w:lineRule="exact"/>
        <w:rPr>
          <w:rFonts w:ascii="Calibri" w:hAnsi="Calibri"/>
          <w:color w:val="000000" w:themeColor="text1"/>
          <w:szCs w:val="22"/>
          <w14:textFill>
            <w14:solidFill>
              <w14:schemeClr w14:val="tx1"/>
            </w14:solidFill>
          </w14:textFill>
        </w:rPr>
      </w:pPr>
      <w:r>
        <w:rPr>
          <w:rFonts w:ascii="Calibri" w:hAnsi="Calibri"/>
          <w:szCs w:val="22"/>
        </w:rPr>
        <w:t>2</w:t>
      </w:r>
      <w:r>
        <w:rPr>
          <w:rFonts w:hint="eastAsia" w:ascii="Calibri" w:hAnsi="Calibri"/>
          <w:szCs w:val="22"/>
        </w:rPr>
        <w:t>、报价要求：本次报价须为人民币报价，包含服务交付成果、设计、编绘、组织、策划、</w:t>
      </w:r>
      <w:r>
        <w:rPr>
          <w:rFonts w:hint="eastAsia" w:ascii="Calibri" w:hAnsi="Calibri"/>
          <w:color w:val="000000" w:themeColor="text1"/>
          <w:szCs w:val="22"/>
          <w14:textFill>
            <w14:solidFill>
              <w14:schemeClr w14:val="tx1"/>
            </w14:solidFill>
          </w14:textFill>
        </w:rPr>
        <w:t>开发、调研、接口接入费、安装、调试、技术协助、培训、维护、技术指导、税费等类似服务内容的全部费用。对于本文件中明确列明必须报价的货物或服务，供应商应分别报价。对于本文件中未列明，而供应商认为必需的费用也需列入总报价。在合同实施时，采购人将不予支付成交供应商没有列入的项目费用，并认为此项目的费用已包括在响应总报价中。</w:t>
      </w:r>
    </w:p>
    <w:p w14:paraId="251C7461">
      <w:pPr>
        <w:spacing w:line="360" w:lineRule="exact"/>
        <w:rPr>
          <w:rFonts w:ascii="Calibri" w:hAnsi="Calibri"/>
          <w:color w:val="000000" w:themeColor="text1"/>
          <w:szCs w:val="22"/>
          <w14:textFill>
            <w14:solidFill>
              <w14:schemeClr w14:val="tx1"/>
            </w14:solidFill>
          </w14:textFill>
        </w:rPr>
      </w:pPr>
      <w:r>
        <w:rPr>
          <w:rFonts w:ascii="Calibri" w:hAnsi="Calibri"/>
          <w:color w:val="000000" w:themeColor="text1"/>
          <w:szCs w:val="22"/>
          <w14:textFill>
            <w14:solidFill>
              <w14:schemeClr w14:val="tx1"/>
            </w14:solidFill>
          </w14:textFill>
        </w:rPr>
        <w:t>3</w:t>
      </w:r>
      <w:r>
        <w:rPr>
          <w:rFonts w:hint="eastAsia" w:ascii="Calibri" w:hAnsi="Calibri"/>
          <w:color w:val="000000" w:themeColor="text1"/>
          <w:szCs w:val="22"/>
          <w14:textFill>
            <w14:solidFill>
              <w14:schemeClr w14:val="tx1"/>
            </w14:solidFill>
          </w14:textFill>
        </w:rPr>
        <w:t>、交付期限：</w:t>
      </w:r>
      <w:r>
        <w:rPr>
          <w:rFonts w:hint="eastAsia" w:ascii="宋体" w:hAnsi="宋体" w:cs="仿宋"/>
          <w:bCs/>
          <w:color w:val="000000" w:themeColor="text1"/>
          <w:kern w:val="44"/>
          <w:szCs w:val="21"/>
          <w:shd w:val="clear" w:color="auto" w:fill="FFFFFF"/>
          <w14:textFill>
            <w14:solidFill>
              <w14:schemeClr w14:val="tx1"/>
            </w14:solidFill>
          </w14:textFill>
        </w:rPr>
        <w:t>自合同签订之日起软、硬件10日内安装部署（与第三方接口对接按实际情况交付）</w:t>
      </w:r>
      <w:r>
        <w:rPr>
          <w:rFonts w:hint="eastAsia" w:ascii="Calibri" w:hAnsi="Calibri"/>
          <w:color w:val="000000" w:themeColor="text1"/>
          <w:szCs w:val="22"/>
          <w14:textFill>
            <w14:solidFill>
              <w14:schemeClr w14:val="tx1"/>
            </w14:solidFill>
          </w14:textFill>
        </w:rPr>
        <w:t>。</w:t>
      </w:r>
    </w:p>
    <w:p w14:paraId="4FA97984">
      <w:pPr>
        <w:spacing w:line="360" w:lineRule="exact"/>
        <w:rPr>
          <w:rFonts w:ascii="Calibri" w:hAnsi="Calibri"/>
          <w:color w:val="000000" w:themeColor="text1"/>
          <w:szCs w:val="22"/>
          <w14:textFill>
            <w14:solidFill>
              <w14:schemeClr w14:val="tx1"/>
            </w14:solidFill>
          </w14:textFill>
        </w:rPr>
      </w:pPr>
      <w:r>
        <w:rPr>
          <w:rFonts w:ascii="Calibri" w:hAnsi="Calibri"/>
          <w:color w:val="000000" w:themeColor="text1"/>
          <w:szCs w:val="22"/>
          <w14:textFill>
            <w14:solidFill>
              <w14:schemeClr w14:val="tx1"/>
            </w14:solidFill>
          </w14:textFill>
        </w:rPr>
        <w:t>4</w:t>
      </w:r>
      <w:r>
        <w:rPr>
          <w:rFonts w:hint="eastAsia" w:ascii="Calibri" w:hAnsi="Calibri"/>
          <w:color w:val="000000" w:themeColor="text1"/>
          <w:szCs w:val="22"/>
          <w14:textFill>
            <w14:solidFill>
              <w14:schemeClr w14:val="tx1"/>
            </w14:solidFill>
          </w14:textFill>
        </w:rPr>
        <w:t>、服务地点：南宁市内由采购人指定地点。</w:t>
      </w:r>
    </w:p>
    <w:p w14:paraId="33A79359">
      <w:pPr>
        <w:spacing w:line="360" w:lineRule="exact"/>
        <w:rPr>
          <w:rFonts w:ascii="Calibri" w:hAnsi="Calibri"/>
          <w:color w:val="000000" w:themeColor="text1"/>
          <w:szCs w:val="22"/>
          <w14:textFill>
            <w14:solidFill>
              <w14:schemeClr w14:val="tx1"/>
            </w14:solidFill>
          </w14:textFill>
        </w:rPr>
      </w:pPr>
      <w:r>
        <w:rPr>
          <w:rFonts w:ascii="Calibri" w:hAnsi="Calibri"/>
          <w:color w:val="000000" w:themeColor="text1"/>
          <w:szCs w:val="22"/>
          <w14:textFill>
            <w14:solidFill>
              <w14:schemeClr w14:val="tx1"/>
            </w14:solidFill>
          </w14:textFill>
        </w:rPr>
        <w:t>5</w:t>
      </w:r>
      <w:r>
        <w:rPr>
          <w:rFonts w:hint="eastAsia" w:ascii="Calibri" w:hAnsi="Calibri"/>
          <w:color w:val="000000" w:themeColor="text1"/>
          <w:szCs w:val="22"/>
          <w14:textFill>
            <w14:solidFill>
              <w14:schemeClr w14:val="tx1"/>
            </w14:solidFill>
          </w14:textFill>
        </w:rPr>
        <w:t>、验收标准：</w:t>
      </w:r>
    </w:p>
    <w:p w14:paraId="3ECC815E">
      <w:pPr>
        <w:spacing w:line="360" w:lineRule="exact"/>
        <w:rPr>
          <w:rFonts w:ascii="Calibri" w:hAnsi="Calibri"/>
          <w:color w:val="000000" w:themeColor="text1"/>
          <w:szCs w:val="22"/>
          <w14:textFill>
            <w14:solidFill>
              <w14:schemeClr w14:val="tx1"/>
            </w14:solidFill>
          </w14:textFill>
        </w:rPr>
      </w:pPr>
      <w:bookmarkStart w:id="0" w:name="OLE_LINK5"/>
      <w:r>
        <w:rPr>
          <w:rFonts w:hint="eastAsia" w:ascii="Calibri" w:hAnsi="Calibri"/>
          <w:color w:val="000000" w:themeColor="text1"/>
          <w:szCs w:val="22"/>
          <w14:textFill>
            <w14:solidFill>
              <w14:schemeClr w14:val="tx1"/>
            </w14:solidFill>
          </w14:textFill>
        </w:rPr>
        <w:t>（</w:t>
      </w:r>
      <w:r>
        <w:rPr>
          <w:rFonts w:ascii="Calibri" w:hAnsi="Calibri"/>
          <w:color w:val="000000" w:themeColor="text1"/>
          <w:szCs w:val="22"/>
          <w14:textFill>
            <w14:solidFill>
              <w14:schemeClr w14:val="tx1"/>
            </w14:solidFill>
          </w14:textFill>
        </w:rPr>
        <w:t>1</w:t>
      </w:r>
      <w:r>
        <w:rPr>
          <w:rFonts w:hint="eastAsia" w:ascii="Calibri" w:hAnsi="Calibri"/>
          <w:color w:val="000000" w:themeColor="text1"/>
          <w:szCs w:val="22"/>
          <w14:textFill>
            <w14:solidFill>
              <w14:schemeClr w14:val="tx1"/>
            </w14:solidFill>
          </w14:textFill>
        </w:rPr>
        <w:t>）验收方式：由采购人组织验收。</w:t>
      </w:r>
    </w:p>
    <w:p w14:paraId="468BCA4A">
      <w:pPr>
        <w:spacing w:line="360" w:lineRule="exact"/>
        <w:rPr>
          <w:rFonts w:ascii="Calibri" w:hAnsi="Calibri"/>
          <w:color w:val="000000" w:themeColor="text1"/>
          <w:szCs w:val="22"/>
          <w14:textFill>
            <w14:solidFill>
              <w14:schemeClr w14:val="tx1"/>
            </w14:solidFill>
          </w14:textFill>
        </w:rPr>
      </w:pPr>
      <w:r>
        <w:rPr>
          <w:rFonts w:hint="eastAsia" w:ascii="Calibri" w:hAnsi="Calibri"/>
          <w:color w:val="000000" w:themeColor="text1"/>
          <w:szCs w:val="22"/>
          <w14:textFill>
            <w14:solidFill>
              <w14:schemeClr w14:val="tx1"/>
            </w14:solidFill>
          </w14:textFill>
        </w:rPr>
        <w:t>（</w:t>
      </w:r>
      <w:r>
        <w:rPr>
          <w:rFonts w:ascii="Calibri" w:hAnsi="Calibri"/>
          <w:color w:val="000000" w:themeColor="text1"/>
          <w:szCs w:val="22"/>
          <w14:textFill>
            <w14:solidFill>
              <w14:schemeClr w14:val="tx1"/>
            </w14:solidFill>
          </w14:textFill>
        </w:rPr>
        <w:t>2</w:t>
      </w:r>
      <w:r>
        <w:rPr>
          <w:rFonts w:hint="eastAsia" w:ascii="Calibri" w:hAnsi="Calibri"/>
          <w:color w:val="000000" w:themeColor="text1"/>
          <w:szCs w:val="22"/>
          <w14:textFill>
            <w14:solidFill>
              <w14:schemeClr w14:val="tx1"/>
            </w14:solidFill>
          </w14:textFill>
        </w:rPr>
        <w:t>）验收标准、规范及要求：符合现行国家相关标准、行业标准、地方标准或者其他标准、规范。</w:t>
      </w:r>
    </w:p>
    <w:bookmarkEnd w:id="0"/>
    <w:p w14:paraId="7BDC5C3C">
      <w:pPr>
        <w:spacing w:line="360" w:lineRule="exact"/>
        <w:rPr>
          <w:rFonts w:ascii="Calibri" w:hAnsi="Calibri"/>
          <w:color w:val="000000" w:themeColor="text1"/>
          <w:szCs w:val="22"/>
          <w14:textFill>
            <w14:solidFill>
              <w14:schemeClr w14:val="tx1"/>
            </w14:solidFill>
          </w14:textFill>
        </w:rPr>
      </w:pPr>
      <w:r>
        <w:rPr>
          <w:rFonts w:ascii="Calibri" w:hAnsi="Calibri"/>
          <w:color w:val="000000" w:themeColor="text1"/>
          <w:szCs w:val="22"/>
          <w14:textFill>
            <w14:solidFill>
              <w14:schemeClr w14:val="tx1"/>
            </w14:solidFill>
          </w14:textFill>
        </w:rPr>
        <w:t>6</w:t>
      </w:r>
      <w:r>
        <w:rPr>
          <w:rFonts w:hint="eastAsia" w:ascii="Calibri" w:hAnsi="Calibri"/>
          <w:color w:val="000000" w:themeColor="text1"/>
          <w:szCs w:val="22"/>
          <w14:textFill>
            <w14:solidFill>
              <w14:schemeClr w14:val="tx1"/>
            </w14:solidFill>
          </w14:textFill>
        </w:rPr>
        <w:t>、售后服务：</w:t>
      </w:r>
    </w:p>
    <w:p w14:paraId="4FCB6474">
      <w:pPr>
        <w:spacing w:line="360" w:lineRule="exact"/>
        <w:rPr>
          <w:rFonts w:ascii="Calibri" w:hAnsi="Calibri"/>
          <w:color w:val="000000" w:themeColor="text1"/>
          <w:szCs w:val="22"/>
          <w14:textFill>
            <w14:solidFill>
              <w14:schemeClr w14:val="tx1"/>
            </w14:solidFill>
          </w14:textFill>
        </w:rPr>
      </w:pPr>
      <w:r>
        <w:rPr>
          <w:rFonts w:hint="eastAsia" w:ascii="Calibri" w:hAnsi="Calibri"/>
          <w:color w:val="000000" w:themeColor="text1"/>
          <w:szCs w:val="22"/>
          <w14:textFill>
            <w14:solidFill>
              <w14:schemeClr w14:val="tx1"/>
            </w14:solidFill>
          </w14:textFill>
        </w:rPr>
        <w:t>（</w:t>
      </w:r>
      <w:r>
        <w:rPr>
          <w:rFonts w:ascii="Calibri" w:hAnsi="Calibri"/>
          <w:color w:val="000000" w:themeColor="text1"/>
          <w:szCs w:val="22"/>
          <w14:textFill>
            <w14:solidFill>
              <w14:schemeClr w14:val="tx1"/>
            </w14:solidFill>
          </w14:textFill>
        </w:rPr>
        <w:t>1</w:t>
      </w:r>
      <w:r>
        <w:rPr>
          <w:rFonts w:hint="eastAsia" w:ascii="Calibri" w:hAnsi="Calibri"/>
          <w:color w:val="000000" w:themeColor="text1"/>
          <w:szCs w:val="22"/>
          <w14:textFill>
            <w14:solidFill>
              <w14:schemeClr w14:val="tx1"/>
            </w14:solidFill>
          </w14:textFill>
        </w:rPr>
        <w:t>）产品质保期：自验收合格之日起不少于</w:t>
      </w:r>
      <w:r>
        <w:rPr>
          <w:rFonts w:ascii="Calibri" w:hAnsi="Calibri"/>
          <w:color w:val="000000" w:themeColor="text1"/>
          <w:szCs w:val="22"/>
          <w14:textFill>
            <w14:solidFill>
              <w14:schemeClr w14:val="tx1"/>
            </w14:solidFill>
          </w14:textFill>
        </w:rPr>
        <w:t>3</w:t>
      </w:r>
      <w:r>
        <w:rPr>
          <w:rFonts w:hint="eastAsia" w:ascii="Calibri" w:hAnsi="Calibri"/>
          <w:color w:val="000000" w:themeColor="text1"/>
          <w:szCs w:val="22"/>
          <w14:textFill>
            <w14:solidFill>
              <w14:schemeClr w14:val="tx1"/>
            </w14:solidFill>
          </w14:textFill>
        </w:rPr>
        <w:t>年。</w:t>
      </w:r>
      <w:bookmarkStart w:id="1" w:name="OLE_LINK3"/>
      <w:r>
        <w:rPr>
          <w:rFonts w:hint="eastAsia" w:ascii="Calibri" w:hAnsi="Calibri"/>
          <w:color w:val="000000" w:themeColor="text1"/>
          <w:szCs w:val="22"/>
          <w14:textFill>
            <w14:solidFill>
              <w14:schemeClr w14:val="tx1"/>
            </w14:solidFill>
          </w14:textFill>
        </w:rPr>
        <w:t>质保期内软硬件免维护费，终身对软件系统免维护费，质保期过后硬件损坏的仅收取硬件维修或更换成本费用。</w:t>
      </w:r>
      <w:bookmarkEnd w:id="1"/>
    </w:p>
    <w:p w14:paraId="48D99D51">
      <w:pPr>
        <w:spacing w:line="360" w:lineRule="exact"/>
        <w:rPr>
          <w:rFonts w:ascii="Calibri" w:hAnsi="Calibri"/>
          <w:color w:val="000000" w:themeColor="text1"/>
          <w:szCs w:val="22"/>
          <w14:textFill>
            <w14:solidFill>
              <w14:schemeClr w14:val="tx1"/>
            </w14:solidFill>
          </w14:textFill>
        </w:rPr>
      </w:pPr>
      <w:r>
        <w:rPr>
          <w:rFonts w:hint="eastAsia" w:ascii="Calibri" w:hAnsi="Calibri"/>
          <w:color w:val="000000" w:themeColor="text1"/>
          <w:szCs w:val="22"/>
          <w14:textFill>
            <w14:solidFill>
              <w14:schemeClr w14:val="tx1"/>
            </w14:solidFill>
          </w14:textFill>
        </w:rPr>
        <w:t>（</w:t>
      </w:r>
      <w:r>
        <w:rPr>
          <w:rFonts w:ascii="Calibri" w:hAnsi="Calibri"/>
          <w:color w:val="000000" w:themeColor="text1"/>
          <w:szCs w:val="22"/>
          <w14:textFill>
            <w14:solidFill>
              <w14:schemeClr w14:val="tx1"/>
            </w14:solidFill>
          </w14:textFill>
        </w:rPr>
        <w:t>2</w:t>
      </w:r>
      <w:r>
        <w:rPr>
          <w:rFonts w:hint="eastAsia" w:ascii="Calibri" w:hAnsi="Calibri"/>
          <w:color w:val="000000" w:themeColor="text1"/>
          <w:szCs w:val="22"/>
          <w14:textFill>
            <w14:solidFill>
              <w14:schemeClr w14:val="tx1"/>
            </w14:solidFill>
          </w14:textFill>
        </w:rPr>
        <w:t>）响应时间：供应商提供7×24小时电话技术支持，解决客户日常性技术咨询、对系统的询问、对终端操作的咨询、对系统设备运行情况的周期性询问等可以通过远程电话指导方式进行的日常性技术支持和服务，在南宁市区内随时提供免费上门维护服务。</w:t>
      </w:r>
    </w:p>
    <w:p w14:paraId="5F750AD5">
      <w:pPr>
        <w:spacing w:line="360" w:lineRule="exact"/>
        <w:rPr>
          <w:rFonts w:ascii="Calibri" w:hAnsi="Calibri"/>
          <w:szCs w:val="22"/>
        </w:rPr>
      </w:pPr>
      <w:r>
        <w:rPr>
          <w:rFonts w:hint="eastAsia" w:ascii="Calibri" w:hAnsi="Calibri"/>
          <w:szCs w:val="22"/>
        </w:rPr>
        <w:t>（</w:t>
      </w:r>
      <w:r>
        <w:rPr>
          <w:rFonts w:ascii="Calibri" w:hAnsi="Calibri"/>
          <w:szCs w:val="22"/>
        </w:rPr>
        <w:t>3</w:t>
      </w:r>
      <w:r>
        <w:rPr>
          <w:rFonts w:hint="eastAsia" w:ascii="Calibri" w:hAnsi="Calibri"/>
          <w:szCs w:val="22"/>
        </w:rPr>
        <w:t xml:space="preserve">）调试及运行：包括系统软件的安装、调试、连接网络、测试和硬件布置等，费用应包括在成交总价中。交付的软件应符合技术规格要求； </w:t>
      </w:r>
    </w:p>
    <w:p w14:paraId="282D887D">
      <w:pPr>
        <w:spacing w:line="360" w:lineRule="exact"/>
        <w:rPr>
          <w:rFonts w:ascii="Calibri" w:hAnsi="Calibri"/>
          <w:szCs w:val="22"/>
        </w:rPr>
      </w:pPr>
      <w:r>
        <w:rPr>
          <w:rFonts w:hint="eastAsia" w:ascii="Calibri" w:hAnsi="Calibri"/>
          <w:szCs w:val="22"/>
        </w:rPr>
        <w:t>（4）</w:t>
      </w:r>
      <w:bookmarkStart w:id="2" w:name="OLE_LINK4"/>
      <w:r>
        <w:rPr>
          <w:rFonts w:hint="eastAsia" w:ascii="Calibri" w:hAnsi="Calibri"/>
          <w:szCs w:val="22"/>
        </w:rPr>
        <w:t>为采购人提供专业化技术培训：成交供应商在软件安装调试合格后</w:t>
      </w:r>
      <w:r>
        <w:rPr>
          <w:rFonts w:ascii="Calibri" w:hAnsi="Calibri"/>
          <w:szCs w:val="22"/>
        </w:rPr>
        <w:t>1</w:t>
      </w:r>
      <w:r>
        <w:rPr>
          <w:rFonts w:hint="eastAsia" w:ascii="Calibri" w:hAnsi="Calibri"/>
          <w:szCs w:val="22"/>
        </w:rPr>
        <w:t>个月内，应安排有经验的技术人员到现场进行技术答疑。使用培训≥</w:t>
      </w:r>
      <w:r>
        <w:rPr>
          <w:rFonts w:ascii="Calibri" w:hAnsi="Calibri"/>
          <w:szCs w:val="22"/>
        </w:rPr>
        <w:t>2</w:t>
      </w:r>
      <w:r>
        <w:rPr>
          <w:rFonts w:hint="eastAsia" w:ascii="Calibri" w:hAnsi="Calibri"/>
          <w:szCs w:val="22"/>
        </w:rPr>
        <w:t>天。培训技术人员不少于</w:t>
      </w:r>
      <w:r>
        <w:rPr>
          <w:rFonts w:ascii="Calibri" w:hAnsi="Calibri"/>
          <w:szCs w:val="22"/>
        </w:rPr>
        <w:t>2</w:t>
      </w:r>
      <w:r>
        <w:rPr>
          <w:rFonts w:hint="eastAsia" w:ascii="Calibri" w:hAnsi="Calibri"/>
          <w:szCs w:val="22"/>
        </w:rPr>
        <w:t>人。响应文件中提供完善的技术培训方案，保证使用人员正常操作软件的各种功能。培训费用应包括在成交总价中。</w:t>
      </w:r>
    </w:p>
    <w:bookmarkEnd w:id="2"/>
    <w:p w14:paraId="7E7D8D2F">
      <w:pPr>
        <w:spacing w:line="360" w:lineRule="exact"/>
        <w:rPr>
          <w:rFonts w:ascii="Calibri" w:hAnsi="Calibri"/>
          <w:szCs w:val="22"/>
        </w:rPr>
      </w:pPr>
      <w:r>
        <w:rPr>
          <w:rFonts w:ascii="Calibri" w:hAnsi="Calibri"/>
          <w:szCs w:val="22"/>
        </w:rPr>
        <w:t>7</w:t>
      </w:r>
      <w:r>
        <w:rPr>
          <w:rFonts w:hint="eastAsia" w:ascii="Calibri" w:hAnsi="Calibri"/>
          <w:szCs w:val="22"/>
        </w:rPr>
        <w:t>、付款方式、时间及条件：</w:t>
      </w:r>
    </w:p>
    <w:p w14:paraId="73E5831E">
      <w:pPr>
        <w:spacing w:line="360" w:lineRule="exact"/>
        <w:ind w:firstLine="420" w:firstLineChars="200"/>
        <w:rPr>
          <w:rFonts w:ascii="宋体" w:hAnsi="宋体" w:cs="宋体"/>
          <w:szCs w:val="22"/>
        </w:rPr>
      </w:pPr>
      <w:r>
        <w:rPr>
          <w:rFonts w:hint="eastAsia" w:ascii="Calibri" w:hAnsi="Calibri"/>
          <w:szCs w:val="22"/>
        </w:rPr>
        <w:t>系统安装调试正常运行并验收合格，供应商凭双方签署验收合格文件，开具合法有效的全额增值税发票给采购人，采购人收到发票后</w:t>
      </w:r>
      <w:r>
        <w:rPr>
          <w:rFonts w:hint="eastAsia" w:ascii="Calibri" w:hAnsi="Calibri"/>
          <w:szCs w:val="22"/>
          <w:lang w:val="en-US" w:eastAsia="zh-CN"/>
        </w:rPr>
        <w:t>60天</w:t>
      </w:r>
      <w:r>
        <w:rPr>
          <w:rFonts w:hint="eastAsia" w:ascii="Calibri" w:hAnsi="Calibri"/>
          <w:szCs w:val="22"/>
        </w:rPr>
        <w:t>内一次性支付总合同金额的100%（不计利息）。</w:t>
      </w:r>
      <w:r>
        <w:rPr>
          <w:rFonts w:ascii="宋体" w:hAnsi="宋体" w:cs="宋体"/>
          <w:szCs w:val="22"/>
        </w:rPr>
        <w:t xml:space="preserve"> </w:t>
      </w:r>
    </w:p>
    <w:p w14:paraId="37814880">
      <w:pPr>
        <w:spacing w:line="360" w:lineRule="exact"/>
        <w:rPr>
          <w:rFonts w:ascii="Calibri" w:hAnsi="Calibri"/>
          <w:szCs w:val="22"/>
        </w:rPr>
      </w:pPr>
      <w:r>
        <w:rPr>
          <w:rFonts w:hint="eastAsia" w:ascii="Calibri" w:hAnsi="Calibri"/>
          <w:szCs w:val="22"/>
        </w:rPr>
        <w:t>8、其他要求：</w:t>
      </w:r>
    </w:p>
    <w:p w14:paraId="75C72685">
      <w:pPr>
        <w:spacing w:line="360" w:lineRule="exact"/>
        <w:rPr>
          <w:rFonts w:ascii="Calibri" w:hAnsi="Calibri"/>
          <w:szCs w:val="22"/>
        </w:rPr>
      </w:pPr>
      <w:r>
        <w:rPr>
          <w:rFonts w:hint="eastAsia" w:ascii="Calibri" w:hAnsi="Calibri"/>
          <w:szCs w:val="22"/>
        </w:rPr>
        <w:t>（</w:t>
      </w:r>
      <w:r>
        <w:rPr>
          <w:rFonts w:ascii="Calibri" w:hAnsi="Calibri"/>
          <w:szCs w:val="22"/>
        </w:rPr>
        <w:t>1</w:t>
      </w:r>
      <w:r>
        <w:rPr>
          <w:rFonts w:hint="eastAsia" w:ascii="Calibri" w:hAnsi="Calibri"/>
          <w:szCs w:val="22"/>
        </w:rPr>
        <w:t>）成交供应商应保证针对本项目的服务所涉及的知识产权和所提供的相关技术资料是合法取得，并享有完整的知识产权，不会因为采购人的使用而被责令停止使用、追偿或要求赔偿损失，如出现此情况，一切经济和法律责任均由供应商承担。</w:t>
      </w:r>
    </w:p>
    <w:p w14:paraId="741DBC37">
      <w:pPr>
        <w:spacing w:line="360" w:lineRule="exact"/>
        <w:rPr>
          <w:rFonts w:ascii="Calibri" w:hAnsi="Calibri"/>
          <w:szCs w:val="22"/>
        </w:rPr>
      </w:pPr>
      <w:r>
        <w:rPr>
          <w:rFonts w:hint="eastAsia" w:ascii="Calibri" w:hAnsi="Calibri"/>
          <w:szCs w:val="22"/>
        </w:rPr>
        <w:t>（</w:t>
      </w:r>
      <w:r>
        <w:rPr>
          <w:rFonts w:ascii="Calibri" w:hAnsi="Calibri"/>
          <w:szCs w:val="22"/>
        </w:rPr>
        <w:t>2</w:t>
      </w:r>
      <w:r>
        <w:rPr>
          <w:rFonts w:hint="eastAsia" w:ascii="Calibri" w:hAnsi="Calibri"/>
          <w:szCs w:val="22"/>
        </w:rPr>
        <w:t>）知识产权归属：本次服务成果归采购人所有，成交供应商不得擅自对外发表、出版。</w:t>
      </w:r>
    </w:p>
    <w:p w14:paraId="33CA8C95">
      <w:pPr>
        <w:spacing w:line="360" w:lineRule="exact"/>
        <w:rPr>
          <w:rFonts w:ascii="Calibri" w:hAnsi="Calibri"/>
          <w:szCs w:val="22"/>
        </w:rPr>
      </w:pPr>
      <w:r>
        <w:rPr>
          <w:rFonts w:hint="eastAsia" w:ascii="Calibri" w:hAnsi="Calibri"/>
          <w:szCs w:val="22"/>
        </w:rPr>
        <w:t>（</w:t>
      </w:r>
      <w:r>
        <w:rPr>
          <w:rFonts w:ascii="Calibri" w:hAnsi="Calibri"/>
          <w:szCs w:val="22"/>
        </w:rPr>
        <w:t>3</w:t>
      </w:r>
      <w:r>
        <w:rPr>
          <w:rFonts w:hint="eastAsia" w:ascii="Calibri" w:hAnsi="Calibri"/>
          <w:szCs w:val="22"/>
        </w:rPr>
        <w:t>）成交供应商有义务随时向采购人解释所有成果内容。</w:t>
      </w:r>
    </w:p>
    <w:p w14:paraId="62AC685A">
      <w:pPr>
        <w:spacing w:line="360" w:lineRule="exact"/>
        <w:rPr>
          <w:rFonts w:hint="eastAsia" w:eastAsia="宋体"/>
          <w:lang w:eastAsia="zh-CN"/>
        </w:rPr>
      </w:pPr>
      <w:r>
        <w:rPr>
          <w:rFonts w:hint="eastAsia" w:ascii="Calibri" w:hAnsi="Calibri"/>
          <w:szCs w:val="22"/>
        </w:rPr>
        <w:t>（</w:t>
      </w:r>
      <w:r>
        <w:rPr>
          <w:rFonts w:ascii="Calibri" w:hAnsi="Calibri"/>
          <w:szCs w:val="22"/>
        </w:rPr>
        <w:t>4</w:t>
      </w:r>
      <w:r>
        <w:rPr>
          <w:rFonts w:hint="eastAsia" w:ascii="Calibri" w:hAnsi="Calibri"/>
          <w:szCs w:val="22"/>
        </w:rPr>
        <w:t>）保密要求：工作人员应对本项目中接触到的采购人所有的知识产权、商业秘密、技术成果等信息负保密义务。未经采购人书面同意，不得向社会公众或第三方通过任何途径出示、泄露，不得许可使用，不得对上述信息进行复制、传播、销售；保证不向外泄漏任何相关数据，不向外泄漏任何保密的技术资料。如出现工作人员泄密事件，成交供应商应负有连带</w:t>
      </w:r>
      <w:r>
        <w:rPr>
          <w:rFonts w:hint="eastAsia" w:ascii="Calibri" w:hAnsi="Calibri"/>
          <w:szCs w:val="22"/>
          <w:lang w:val="en-US" w:eastAsia="zh-CN"/>
        </w:rPr>
        <w:t>责任</w:t>
      </w:r>
      <w:r>
        <w:rPr>
          <w:rFonts w:hint="eastAsia" w:ascii="Calibri" w:hAnsi="Calibri"/>
          <w:szCs w:val="22"/>
          <w:lang w:eastAsia="zh-CN"/>
        </w:rPr>
        <w:t>。</w:t>
      </w:r>
    </w:p>
    <w:sectPr>
      <w:pgSz w:w="11906" w:h="16838"/>
      <w:pgMar w:top="1440" w:right="1800" w:bottom="1440" w:left="1800" w:header="851" w:footer="992" w:gutter="0"/>
      <w:cols w:space="425" w:num="1"/>
      <w:docGrid w:type="lines" w:linePitch="312"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NTKO" w:date="2026-05-09T09:46:00Z" w:initials="a">
    <w:p w14:paraId="3A84C56A">
      <w:pPr>
        <w:pStyle w:val="2"/>
      </w:pPr>
      <w:r>
        <w:rPr>
          <w:rFonts w:hint="eastAsia"/>
        </w:rPr>
        <w:t>1、本项为实质性参数，是否有3个品牌满足</w:t>
      </w:r>
    </w:p>
    <w:p w14:paraId="1B1889CA">
      <w:pPr>
        <w:pStyle w:val="2"/>
      </w:pPr>
      <w:r>
        <w:t>2</w:t>
      </w:r>
      <w:r>
        <w:rPr>
          <w:rFonts w:hint="eastAsia"/>
        </w:rPr>
        <w:t>、名字就是“数字人”吗？</w:t>
      </w:r>
    </w:p>
    <w:p w14:paraId="5DAD1376">
      <w:pPr>
        <w:pStyle w:val="2"/>
      </w:pPr>
      <w:r>
        <w:rPr>
          <w:rFonts w:hint="eastAsia"/>
        </w:rPr>
        <w:t>3、证明材料是在响应文件中提供还是在签订合同前提供？建议全文统一明确。</w:t>
      </w:r>
    </w:p>
    <w:p w14:paraId="51CE1134">
      <w:pPr>
        <w:pStyle w:val="2"/>
      </w:pPr>
      <w:r>
        <w:t>4</w:t>
      </w:r>
      <w:r>
        <w:rPr>
          <w:rFonts w:hint="eastAsia"/>
        </w:rPr>
        <w:t>、公章是指供应商还是厂家的？建议全文统一为“并加盖供应商公章”</w:t>
      </w:r>
    </w:p>
  </w:comment>
  <w:comment w:id="1" w:author="NTKO" w:date="2026-05-09T09:49:00Z" w:initials="a">
    <w:p w14:paraId="7F8F41ED">
      <w:pPr>
        <w:pStyle w:val="2"/>
      </w:pPr>
      <w:r>
        <w:rPr>
          <w:rFonts w:hint="eastAsia"/>
        </w:rPr>
        <w:t>该截图是指系统截图是吗？</w:t>
      </w:r>
    </w:p>
  </w:comment>
  <w:comment w:id="2" w:author="NTKO" w:date="2026-05-09T09:50:00Z" w:initials="a">
    <w:p w14:paraId="1A5C02F1">
      <w:pPr>
        <w:pStyle w:val="2"/>
      </w:pPr>
      <w:r>
        <w:rPr>
          <w:rFonts w:hint="eastAsia"/>
        </w:rPr>
        <w:t>为避免歧义，1</w:t>
      </w:r>
      <w:r>
        <w:t>000</w:t>
      </w:r>
      <w:r>
        <w:rPr>
          <w:rFonts w:hint="eastAsia"/>
        </w:rPr>
        <w:t>人和1</w:t>
      </w:r>
      <w:r>
        <w:t>999</w:t>
      </w:r>
      <w:r>
        <w:rPr>
          <w:rFonts w:hint="eastAsia"/>
        </w:rPr>
        <w:t>人均为千人以上。建议改成：≥</w:t>
      </w:r>
      <w:r>
        <w:t>1000</w:t>
      </w:r>
      <w:r>
        <w:rPr>
          <w:rFonts w:hint="eastAsia"/>
        </w:rPr>
        <w:t>人</w:t>
      </w:r>
    </w:p>
  </w:comment>
  <w:comment w:id="3" w:author="微信用户" w:date="2026-05-20T08:55:27Z" w:initials="">
    <w:p w14:paraId="0581BA6A">
      <w:pPr>
        <w:pStyle w:val="2"/>
        <w:rPr>
          <w:rFonts w:hint="eastAsia" w:eastAsia="宋体"/>
          <w:lang w:val="en-US" w:eastAsia="zh-CN"/>
        </w:rPr>
      </w:pPr>
      <w:r>
        <w:rPr>
          <w:rFonts w:hint="eastAsia"/>
          <w:lang w:val="en-US" w:eastAsia="zh-CN"/>
        </w:rPr>
        <w:t>同意</w:t>
      </w:r>
    </w:p>
  </w:comment>
  <w:comment w:id="4" w:author="NTKO" w:date="2026-05-09T09:53:00Z" w:initials="a">
    <w:p w14:paraId="74E4C5EC">
      <w:pPr>
        <w:pStyle w:val="2"/>
      </w:pPr>
      <w:r>
        <w:rPr>
          <w:rFonts w:hint="eastAsia"/>
        </w:rPr>
        <w:t>这个证明需要提供的材料是什么？请确认。</w:t>
      </w:r>
    </w:p>
  </w:comment>
  <w:comment w:id="5" w:author="NTKO" w:date="2026-05-09T09:55:00Z" w:initials="a">
    <w:p w14:paraId="03B55384">
      <w:pPr>
        <w:pStyle w:val="2"/>
      </w:pPr>
      <w:r>
        <w:rPr>
          <w:rFonts w:hint="eastAsia"/>
        </w:rPr>
        <w:t>是否应为“哪个”</w:t>
      </w:r>
    </w:p>
  </w:comment>
  <w:comment w:id="6" w:author="微信用户" w:date="2026-05-20T08:54:44Z" w:initials="">
    <w:p w14:paraId="09A6CBA8">
      <w:pPr>
        <w:pStyle w:val="2"/>
        <w:rPr>
          <w:rFonts w:hint="eastAsia" w:eastAsia="宋体"/>
          <w:lang w:val="en-US" w:eastAsia="zh-CN"/>
        </w:rPr>
      </w:pPr>
      <w:r>
        <w:rPr>
          <w:rFonts w:hint="eastAsia"/>
          <w:lang w:val="en-US" w:eastAsia="zh-CN"/>
        </w:rPr>
        <w:t>修改为“可选择下载对应格式”</w:t>
      </w:r>
    </w:p>
  </w:comment>
  <w:comment w:id="7" w:author="NTKO" w:date="2026-05-09T09:56:00Z" w:initials="a">
    <w:p w14:paraId="5C2F35C1">
      <w:pPr>
        <w:pStyle w:val="2"/>
      </w:pPr>
      <w:r>
        <w:rPr>
          <w:rFonts w:hint="eastAsia"/>
        </w:rPr>
        <w:t>语句有些不通，建议改为：可实时的将采集到</w:t>
      </w:r>
    </w:p>
  </w:comment>
  <w:comment w:id="8" w:author="微信用户" w:date="2026-05-20T08:54:30Z" w:initials="">
    <w:p w14:paraId="721CF5E1">
      <w:pPr>
        <w:pStyle w:val="2"/>
        <w:rPr>
          <w:rFonts w:hint="eastAsia"/>
          <w:lang w:val="en-US" w:eastAsia="zh-CN"/>
        </w:rPr>
      </w:pPr>
      <w:r>
        <w:rPr>
          <w:rFonts w:hint="eastAsia"/>
          <w:lang w:val="en-US" w:eastAsia="zh-CN"/>
        </w:rPr>
        <w:t>同意修改</w:t>
      </w:r>
    </w:p>
  </w:comment>
  <w:comment w:id="9" w:author="NTKO" w:date="2026-05-09T09:59:00Z" w:initials="a">
    <w:p w14:paraId="14C0A863">
      <w:pPr>
        <w:pStyle w:val="2"/>
      </w:pPr>
      <w:r>
        <w:rPr>
          <w:rFonts w:hint="eastAsia"/>
        </w:rPr>
        <w:t>商务要求仅供参考，可根据实际需要修改。</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51CE1134" w15:done="0"/>
  <w15:commentEx w15:paraId="7F8F41ED" w15:done="0"/>
  <w15:commentEx w15:paraId="1A5C02F1" w15:done="0"/>
  <w15:commentEx w15:paraId="0581BA6A" w15:done="0" w15:paraIdParent="1A5C02F1"/>
  <w15:commentEx w15:paraId="74E4C5EC" w15:done="0"/>
  <w15:commentEx w15:paraId="03B55384" w15:done="0"/>
  <w15:commentEx w15:paraId="09A6CBA8" w15:done="0" w15:paraIdParent="03B55384"/>
  <w15:commentEx w15:paraId="5C2F35C1" w15:done="0"/>
  <w15:commentEx w15:paraId="721CF5E1" w15:done="0" w15:paraIdParent="5C2F35C1"/>
  <w15:commentEx w15:paraId="14C0A863"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微信用户">
    <w15:presenceInfo w15:providerId="WPS Office" w15:userId="5650584773"/>
  </w15:person>
  <w15:person w15:author="NTKO">
    <w15:presenceInfo w15:providerId="None" w15:userId="NTK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revisionView w:markup="0"/>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3EA0774"/>
    <w:rsid w:val="03EA07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99" w:semiHidden="0" w:name="annotation text"/>
    <w:lsdException w:qFormat="1"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99"/>
    <w:pPr>
      <w:jc w:val="left"/>
    </w:pPr>
  </w:style>
  <w:style w:type="paragraph" w:styleId="3">
    <w:name w:val="footer"/>
    <w:basedOn w:val="1"/>
    <w:uiPriority w:val="0"/>
    <w:pPr>
      <w:tabs>
        <w:tab w:val="center" w:pos="4153"/>
        <w:tab w:val="right" w:pos="8306"/>
      </w:tabs>
      <w:snapToGrid w:val="0"/>
      <w:jc w:val="left"/>
    </w:pPr>
    <w:rPr>
      <w:sz w:val="18"/>
    </w:rPr>
  </w:style>
  <w:style w:type="paragraph" w:styleId="4">
    <w:name w:val="header"/>
    <w:basedOn w:val="1"/>
    <w:qFormat/>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8">
    <w:name w:val="annotation reference"/>
    <w:qFormat/>
    <w:uiPriority w:val="0"/>
    <w:rPr>
      <w:sz w:val="21"/>
      <w:szCs w:val="21"/>
    </w:rPr>
  </w:style>
</w:style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openxmlformats.org/officeDocument/2006/relationships/theme" Target="theme/theme1.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中国土木</Company>
  <Pages>6</Pages>
  <Words>0</Words>
  <Characters>0</Characters>
  <Lines>0</Lines>
  <Paragraphs>0</Paragraphs>
  <TotalTime>6</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2026-05-20T01:04:00Z</dcterms:created>
  <dc:creator>微信用户</dc:creator>
  <cp:lastModifiedBy>微信用户</cp:lastModifiedBy>
  <dcterms:modified xsi:type="dcterms:W3CDTF">2026-05-20T01:12:18Z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A2BA002E958A4C46866EDE2023733288_11</vt:lpwstr>
  </property>
  <property fmtid="{D5CDD505-2E9C-101B-9397-08002B2CF9AE}" pid="4" name="KSOTemplateDocerSaveRecord">
    <vt:lpwstr>eyJoZGlkIjoiZTRiNjVhYTllYWUwMDIyODUxNzkzMTBjY2I5MDk3ZmUiLCJ1c2VySWQiOiIxMjczMDI1NTE1In0=</vt:lpwstr>
  </property>
</Properties>
</file>