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19C00">
      <w:pPr>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项目需求说明</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6419"/>
      </w:tblGrid>
      <w:tr w14:paraId="0DF7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3" w:type="dxa"/>
            <w:vAlign w:val="center"/>
          </w:tcPr>
          <w:p w14:paraId="1625C674">
            <w:pPr>
              <w:pStyle w:val="2"/>
              <w:widowControl/>
              <w:shd w:val="clear" w:color="auto" w:fill="FFFFFF"/>
              <w:spacing w:before="0" w:beforeAutospacing="0" w:after="0" w:afterAutospacing="0" w:line="23" w:lineRule="atLeast"/>
              <w:jc w:val="center"/>
              <w:outlineLvl w:val="0"/>
              <w:rPr>
                <w:rFonts w:hint="default" w:ascii="仿宋_GB2312" w:hAnsi="仿宋_GB2312" w:eastAsia="仿宋_GB2312" w:cs="仿宋_GB2312"/>
                <w:sz w:val="30"/>
                <w:szCs w:val="30"/>
              </w:rPr>
            </w:pPr>
            <w:r>
              <w:rPr>
                <w:rFonts w:ascii="仿宋_GB2312" w:hAnsi="仿宋_GB2312" w:eastAsia="仿宋_GB2312" w:cs="仿宋_GB2312"/>
                <w:b w:val="0"/>
                <w:sz w:val="30"/>
                <w:szCs w:val="30"/>
              </w:rPr>
              <w:t>项目名称</w:t>
            </w:r>
          </w:p>
        </w:tc>
        <w:tc>
          <w:tcPr>
            <w:tcW w:w="6419" w:type="dxa"/>
          </w:tcPr>
          <w:p w14:paraId="22030006">
            <w:pPr>
              <w:rPr>
                <w:rFonts w:ascii="仿宋_GB2312" w:hAnsi="仿宋_GB2312" w:eastAsia="仿宋_GB2312" w:cs="仿宋_GB2312"/>
                <w:sz w:val="30"/>
                <w:szCs w:val="30"/>
              </w:rPr>
            </w:pPr>
            <w:r>
              <w:rPr>
                <w:rFonts w:hint="eastAsia" w:ascii="仿宋_GB2312" w:hAnsi="仿宋_GB2312" w:eastAsia="仿宋_GB2312" w:cs="仿宋_GB2312"/>
                <w:sz w:val="30"/>
                <w:szCs w:val="30"/>
              </w:rPr>
              <w:t>在线作业</w:t>
            </w:r>
            <w:r>
              <w:rPr>
                <w:rFonts w:hint="eastAsia" w:ascii="仿宋_GB2312" w:hAnsi="仿宋_GB2312" w:eastAsia="仿宋_GB2312" w:cs="仿宋_GB2312"/>
                <w:sz w:val="30"/>
                <w:szCs w:val="30"/>
                <w:lang w:val="en-US" w:eastAsia="zh-CN"/>
              </w:rPr>
              <w:t>系统（审计信息系统升级）</w:t>
            </w:r>
          </w:p>
        </w:tc>
      </w:tr>
      <w:tr w14:paraId="4662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3" w:type="dxa"/>
            <w:shd w:val="clear" w:color="auto" w:fill="auto"/>
            <w:vAlign w:val="top"/>
          </w:tcPr>
          <w:p w14:paraId="0EF3900B">
            <w:pPr>
              <w:jc w:val="center"/>
              <w:rPr>
                <w:rFonts w:hint="default"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建设周期</w:t>
            </w:r>
          </w:p>
        </w:tc>
        <w:tc>
          <w:tcPr>
            <w:tcW w:w="6419" w:type="dxa"/>
            <w:shd w:val="clear" w:color="auto" w:fill="auto"/>
            <w:vAlign w:val="top"/>
          </w:tcPr>
          <w:p w14:paraId="5B9255E2">
            <w:pPr>
              <w:jc w:val="center"/>
              <w:rPr>
                <w:rFonts w:ascii="仿宋_GB2312" w:hAnsi="仿宋_GB2312" w:eastAsia="仿宋_GB2312" w:cs="仿宋_GB2312"/>
                <w:sz w:val="30"/>
                <w:szCs w:val="30"/>
              </w:rPr>
            </w:pPr>
            <w:r>
              <w:rPr>
                <w:rFonts w:hint="eastAsia" w:ascii="仿宋_GB2312" w:hAnsi="仿宋_GB2312" w:eastAsia="仿宋_GB2312" w:cs="仿宋_GB2312"/>
                <w:sz w:val="30"/>
                <w:szCs w:val="30"/>
              </w:rPr>
              <w:t>60天</w:t>
            </w:r>
          </w:p>
        </w:tc>
      </w:tr>
      <w:tr w14:paraId="4C31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7" w:hRule="atLeast"/>
        </w:trPr>
        <w:tc>
          <w:tcPr>
            <w:tcW w:w="2103" w:type="dxa"/>
            <w:vAlign w:val="center"/>
          </w:tcPr>
          <w:p w14:paraId="23836FDA">
            <w:pPr>
              <w:pStyle w:val="2"/>
              <w:widowControl/>
              <w:shd w:val="clear" w:color="auto" w:fill="FFFFFF"/>
              <w:spacing w:before="0" w:beforeAutospacing="0" w:after="0" w:afterAutospacing="0" w:line="23" w:lineRule="atLeast"/>
              <w:jc w:val="center"/>
              <w:outlineLvl w:val="0"/>
              <w:rPr>
                <w:rFonts w:hint="default" w:ascii="仿宋_GB2312" w:hAnsi="仿宋_GB2312" w:eastAsia="仿宋_GB2312" w:cs="仿宋_GB2312"/>
                <w:b w:val="0"/>
                <w:bCs/>
                <w:sz w:val="30"/>
                <w:szCs w:val="30"/>
                <w:shd w:val="clear" w:color="auto" w:fill="FFFFFF"/>
              </w:rPr>
            </w:pPr>
            <w:r>
              <w:rPr>
                <w:rFonts w:ascii="仿宋_GB2312" w:hAnsi="仿宋_GB2312" w:eastAsia="仿宋_GB2312" w:cs="仿宋_GB2312"/>
                <w:b w:val="0"/>
                <w:bCs/>
                <w:sz w:val="30"/>
                <w:szCs w:val="30"/>
                <w:shd w:val="clear" w:color="auto" w:fill="FFFFFF"/>
              </w:rPr>
              <w:t>用途及主要功能</w:t>
            </w:r>
          </w:p>
        </w:tc>
        <w:tc>
          <w:tcPr>
            <w:tcW w:w="6419" w:type="dxa"/>
          </w:tcPr>
          <w:p w14:paraId="24F7BD71">
            <w:pPr>
              <w:ind w:firstLine="315" w:firstLineChars="15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政策背景：随着数字化时代的到来，积极探索和创新新时代审计信息化建设的方式方法，是审计人员亟待解决的重要课题。2018年5月23日，习近平同志在中央审计委员会第一次会议上明确提出：要坚持科技强审，加强审计信息化建设。2021年，国家卫生健康委与国家中医药局联合印发该办法，要求医院内部控制以信息化为支撑，将内部控制流程和关键点嵌入医院信息系统。2022年，国家卫生健康委发布该意见，强调着力推动科技强审，运用大数据等现代信息技术，积极支持内部审计信息化建设，消除信息孤岛。探索建设集成化的内部审计信息系统，并与其他信息系统互联互通。</w:t>
            </w:r>
          </w:p>
          <w:p w14:paraId="719C4A8A">
            <w:pPr>
              <w:ind w:firstLine="315" w:firstLineChars="15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作用及当前管理的痛点：在医疗改革持续深化与医院业务不断拓展的背景下，医院的审计工作面临更高要求。传统审计模式依赖大量人工操作，效率低下且易出错，难以满足依法规范审计的严格标准，也不利于审计科室的现代化管理。构建审计信息系统成为提升医院审计效能、强化内部管控的迫切需求。审计处审计工作面临的审计对象多、审计类型复杂、审计范围广，审计人员也面临着海量数据的严峻挑战。审计机构肩负着大量的审计任务的同时，也负责对审计成果的统计运用等。因此，必须加强审计信息化建设，利用计算机和网络技术等信息手段，实现对审计日常工作的组织与管理。 </w:t>
            </w:r>
          </w:p>
          <w:p w14:paraId="624145C1">
            <w:pPr>
              <w:ind w:firstLine="315" w:firstLineChars="15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4、实际需求：根据市委巡察党委工作汇报中指出的审计工作信息化建设滞后的问题，2025年初步完成审计平台整改跟踪模块的搭建，初步解决了实时监控发现问题的整改落实情况。</w:t>
            </w:r>
            <w:r>
              <w:rPr>
                <w:rFonts w:hint="eastAsia" w:asciiTheme="minorEastAsia" w:hAnsiTheme="minorEastAsia" w:eastAsiaTheme="minorEastAsia" w:cstheme="minorEastAsia"/>
                <w:sz w:val="21"/>
                <w:szCs w:val="21"/>
                <w:lang w:val="en-US" w:eastAsia="zh-CN"/>
              </w:rPr>
              <w:t>还需</w:t>
            </w:r>
            <w:r>
              <w:rPr>
                <w:rFonts w:hint="eastAsia" w:asciiTheme="minorEastAsia" w:hAnsiTheme="minorEastAsia" w:eastAsiaTheme="minorEastAsia" w:cstheme="minorEastAsia"/>
                <w:sz w:val="21"/>
                <w:szCs w:val="21"/>
              </w:rPr>
              <w:t>购置现场审计作业模块，开展自动化数据处理、模拟预测异常情况提醒风险点等审计在线作业功能，将查出问题同步到整改跟踪系统，形成集成化的内部审计信息系统建设。</w:t>
            </w:r>
          </w:p>
          <w:p w14:paraId="649DAB95">
            <w:pPr>
              <w:ind w:firstLine="315" w:firstLineChars="15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功能点：在线作业系统是为审计项目实施作业人员提供的协同工作平台，方便审计项目组成员进行现场审计或远程审计，依据内审协会发布的审计指南，对审计项目进行全过程、流程化、规范化管理，适当引导审计作业人员按要求实施审计，将标准审计作业流程内置到系统中，以保证审计作业的规范化、降低审计风险，全面提升审计工作质量。内置标准化的审计事项库、审计实施方案库、问题分类库、文书模板等审计工作标准，统一审计基础工作水平；支持全文检索审计所需要的法规和医院内部规章制度文件，方便审计作业时便捷引用，提升审计问题定性依据准确性和审计工作效率；审计过程中发现的审计问题可以按照标准分类进行登记，方便审计发现汇总、统计；根据审计进展，对审计问题进行整改跟踪；按照工作方案模板规范档案目录，保证档案结构统一、资料完整；支持被审计单位在线进行持续整改反馈，为实现审计问题闭环管理提供便利。</w:t>
            </w:r>
          </w:p>
          <w:p w14:paraId="7F6C46CE">
            <w:pPr>
              <w:jc w:val="left"/>
              <w:rPr>
                <w:rFonts w:hint="eastAsia" w:asciiTheme="minorEastAsia" w:hAnsiTheme="minorEastAsia" w:eastAsiaTheme="minorEastAsia" w:cstheme="minorEastAsia"/>
                <w:sz w:val="21"/>
                <w:szCs w:val="21"/>
              </w:rPr>
            </w:pPr>
          </w:p>
        </w:tc>
      </w:tr>
      <w:tr w14:paraId="0EC0E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2103" w:type="dxa"/>
            <w:vAlign w:val="center"/>
          </w:tcPr>
          <w:p w14:paraId="3336F616">
            <w:pPr>
              <w:pStyle w:val="2"/>
              <w:widowControl/>
              <w:shd w:val="clear" w:color="auto" w:fill="FFFFFF"/>
              <w:spacing w:before="0" w:beforeAutospacing="0" w:after="0" w:afterAutospacing="0" w:line="23" w:lineRule="atLeast"/>
              <w:jc w:val="center"/>
              <w:outlineLvl w:val="0"/>
              <w:rPr>
                <w:rFonts w:hint="default" w:ascii="仿宋_GB2312" w:hAnsi="仿宋_GB2312" w:eastAsia="仿宋_GB2312" w:cs="仿宋_GB2312"/>
                <w:b w:val="0"/>
                <w:bCs/>
                <w:sz w:val="30"/>
                <w:szCs w:val="30"/>
                <w:shd w:val="clear" w:color="auto" w:fill="FFFFFF"/>
              </w:rPr>
            </w:pPr>
            <w:r>
              <w:rPr>
                <w:rFonts w:ascii="仿宋_GB2312" w:hAnsi="仿宋_GB2312" w:eastAsia="仿宋_GB2312" w:cs="仿宋_GB2312"/>
                <w:b w:val="0"/>
                <w:bCs/>
                <w:sz w:val="30"/>
                <w:szCs w:val="30"/>
                <w:shd w:val="clear" w:color="auto" w:fill="FFFFFF"/>
              </w:rPr>
              <w:t>预期效果</w:t>
            </w:r>
          </w:p>
        </w:tc>
        <w:tc>
          <w:tcPr>
            <w:tcW w:w="6419" w:type="dxa"/>
          </w:tcPr>
          <w:p w14:paraId="6CF68313">
            <w:p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iCs/>
                <w:sz w:val="21"/>
                <w:szCs w:val="21"/>
              </w:rPr>
              <w:br w:type="textWrapping"/>
            </w:r>
            <w:r>
              <w:rPr>
                <w:rFonts w:hint="eastAsia" w:asciiTheme="minorEastAsia" w:hAnsiTheme="minorEastAsia" w:eastAsiaTheme="minorEastAsia" w:cstheme="minorEastAsia"/>
                <w:b w:val="0"/>
                <w:bCs w:val="0"/>
                <w:i w:val="0"/>
                <w:iCs w:val="0"/>
                <w:sz w:val="21"/>
                <w:szCs w:val="21"/>
                <w:lang w:val="en-US" w:eastAsia="zh-CN"/>
              </w:rPr>
              <w:t>提</w:t>
            </w:r>
            <w:r>
              <w:rPr>
                <w:rFonts w:hint="eastAsia" w:asciiTheme="minorEastAsia" w:hAnsiTheme="minorEastAsia" w:eastAsiaTheme="minorEastAsia" w:cstheme="minorEastAsia"/>
                <w:sz w:val="21"/>
                <w:szCs w:val="21"/>
              </w:rPr>
              <w:t>高审计效率，提高审计的质量，审计部门人员人少，审计项目任务的繁重得以减轻，代替手工审计工作模式，审计经验分享容易，传递成本减少，利于审计队伍建设及审计人才培养，规范审计工作，审计知识经验的积累，提升审计管理水平</w:t>
            </w:r>
          </w:p>
        </w:tc>
      </w:tr>
      <w:tr w14:paraId="794A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8" w:hRule="atLeast"/>
        </w:trPr>
        <w:tc>
          <w:tcPr>
            <w:tcW w:w="2103" w:type="dxa"/>
            <w:vAlign w:val="center"/>
          </w:tcPr>
          <w:p w14:paraId="707CBD56">
            <w:pPr>
              <w:pStyle w:val="2"/>
              <w:widowControl/>
              <w:shd w:val="clear" w:color="auto" w:fill="FFFFFF"/>
              <w:spacing w:before="0" w:beforeAutospacing="0" w:after="0" w:afterAutospacing="0" w:line="23" w:lineRule="atLeast"/>
              <w:jc w:val="center"/>
              <w:outlineLvl w:val="0"/>
              <w:rPr>
                <w:rFonts w:hint="default" w:ascii="仿宋_GB2312" w:hAnsi="仿宋_GB2312" w:eastAsia="仿宋_GB2312" w:cs="仿宋_GB2312"/>
                <w:b w:val="0"/>
                <w:bCs/>
                <w:sz w:val="30"/>
                <w:szCs w:val="30"/>
                <w:shd w:val="clear" w:color="auto" w:fill="FFFFFF"/>
              </w:rPr>
            </w:pPr>
            <w:r>
              <w:rPr>
                <w:rFonts w:ascii="仿宋_GB2312" w:hAnsi="仿宋_GB2312" w:eastAsia="仿宋_GB2312" w:cs="仿宋_GB2312"/>
                <w:b w:val="0"/>
                <w:bCs/>
                <w:sz w:val="30"/>
                <w:szCs w:val="30"/>
                <w:shd w:val="clear" w:color="auto" w:fill="FFFFFF"/>
              </w:rPr>
              <w:t>建设内容</w:t>
            </w:r>
          </w:p>
          <w:p w14:paraId="4FC69070">
            <w:pPr>
              <w:pStyle w:val="2"/>
              <w:widowControl/>
              <w:shd w:val="clear" w:color="auto" w:fill="FFFFFF"/>
              <w:spacing w:before="0" w:beforeAutospacing="0" w:after="0" w:afterAutospacing="0" w:line="23" w:lineRule="atLeast"/>
              <w:jc w:val="center"/>
              <w:outlineLvl w:val="0"/>
              <w:rPr>
                <w:rFonts w:hint="default" w:ascii="仿宋_GB2312" w:hAnsi="仿宋_GB2312" w:eastAsia="仿宋_GB2312" w:cs="仿宋_GB2312"/>
                <w:b w:val="0"/>
                <w:bCs/>
                <w:sz w:val="30"/>
                <w:szCs w:val="30"/>
                <w:shd w:val="clear" w:color="auto" w:fill="FFFFFF"/>
              </w:rPr>
            </w:pPr>
            <w:r>
              <w:rPr>
                <w:rFonts w:ascii="仿宋_GB2312" w:hAnsi="仿宋_GB2312" w:eastAsia="仿宋_GB2312" w:cs="仿宋_GB2312"/>
                <w:b w:val="0"/>
                <w:bCs/>
                <w:sz w:val="30"/>
                <w:szCs w:val="30"/>
                <w:shd w:val="clear" w:color="auto" w:fill="FFFFFF"/>
              </w:rPr>
              <w:t>及功能技术要求</w:t>
            </w:r>
          </w:p>
        </w:tc>
        <w:tc>
          <w:tcPr>
            <w:tcW w:w="6419" w:type="dxa"/>
          </w:tcPr>
          <w:p w14:paraId="7B2AC726">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b/>
                <w:szCs w:val="21"/>
              </w:rPr>
              <w:t>我的项目</w:t>
            </w:r>
            <w:r>
              <w:rPr>
                <w:rFonts w:hint="eastAsia" w:asciiTheme="minorEastAsia" w:hAnsiTheme="minorEastAsia" w:eastAsiaTheme="minorEastAsia" w:cstheme="minorEastAsia"/>
                <w:szCs w:val="21"/>
              </w:rPr>
              <w:t>：统一展现审计人员本人参与的所有项目，展现项目基本信息及所处阶段信息。可直接穿透进入审计作业详情界面。</w:t>
            </w:r>
          </w:p>
          <w:p w14:paraId="15784F68">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b/>
                <w:szCs w:val="21"/>
              </w:rPr>
              <w:t>审计准备</w:t>
            </w:r>
            <w:r>
              <w:rPr>
                <w:rFonts w:hint="eastAsia" w:asciiTheme="minorEastAsia" w:hAnsiTheme="minorEastAsia" w:eastAsiaTheme="minorEastAsia" w:cstheme="minorEastAsia"/>
                <w:szCs w:val="21"/>
              </w:rPr>
              <w:t>：审计准备是由项目负责人处理的一系列需在项目实施（或进场）前完成的工作，是审计实施的前导阶段。可对审计项目组成员进行管理，添加成员时可以参考人才信息及人才状态。系统自动匹配该项目类型的审计方案可供选择，可以维护审计事项、所需资料及其对应的审计程序，并且能够按照审计事项进行审计分工。包括审计分组、成员管理、资料收集、审前关注点、审前调查、实施方案、审计分工、审计通知书、历史审计问题、历史审计报告等功能。</w:t>
            </w:r>
          </w:p>
          <w:p w14:paraId="27BB04C2">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b/>
                <w:szCs w:val="21"/>
              </w:rPr>
              <w:t>审计实施</w:t>
            </w:r>
            <w:r>
              <w:rPr>
                <w:rFonts w:hint="eastAsia" w:asciiTheme="minorEastAsia" w:hAnsiTheme="minorEastAsia" w:eastAsiaTheme="minorEastAsia" w:cstheme="minorEastAsia"/>
                <w:szCs w:val="21"/>
              </w:rPr>
              <w:t>：在审计实施阶段，审计项目组根据审计业务特点和审计标准流程要求，利用审计实施工具进行审计实施工作，系统提供审计流程指引、模板下载、底稿及证据归集；项目组成员在审计方案的指引下按照工作分工开展审计工作，可以撰写审计底稿、录入问题、新增审计取证记录，便于随时记录审计过程和成果。包括进点会议、事项进度、我的事项、审计疑点、取证记录、审计底稿、审计问题、交换意见、审计日志等功能。</w:t>
            </w:r>
          </w:p>
          <w:p w14:paraId="6EB48D28">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b/>
                <w:szCs w:val="21"/>
              </w:rPr>
              <w:t>审计报告</w:t>
            </w:r>
            <w:r>
              <w:rPr>
                <w:rFonts w:hint="eastAsia" w:asciiTheme="minorEastAsia" w:hAnsiTheme="minorEastAsia" w:eastAsiaTheme="minorEastAsia" w:cstheme="minorEastAsia"/>
                <w:szCs w:val="21"/>
              </w:rPr>
              <w:t>：审计报告阶段主要是根据实施阶段底稿复核情况，形成审计报告。审计报告初稿支持通过系统匹配的当前项目类型的报告模板和内置公式自动生成。支持依据业务需要配置审批流程进行审批，进行报告质量控制。包括报告初稿、征求意见、报告定稿。</w:t>
            </w:r>
          </w:p>
          <w:p w14:paraId="3C4D0F65">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b/>
                <w:szCs w:val="21"/>
              </w:rPr>
              <w:t>评价组员</w:t>
            </w:r>
            <w:r>
              <w:rPr>
                <w:rFonts w:hint="eastAsia" w:asciiTheme="minorEastAsia" w:hAnsiTheme="minorEastAsia" w:eastAsiaTheme="minorEastAsia" w:cstheme="minorEastAsia"/>
                <w:szCs w:val="21"/>
              </w:rPr>
              <w:t>：评价组员功能实现了整体组组长、主审对分组组长、参审，以及分组组长对本组参审进行满意度评价。</w:t>
            </w:r>
          </w:p>
          <w:p w14:paraId="3357D8BC">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 </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b/>
                <w:szCs w:val="21"/>
              </w:rPr>
              <w:t>项目归档</w:t>
            </w:r>
            <w:r>
              <w:rPr>
                <w:rFonts w:hint="eastAsia" w:asciiTheme="minorEastAsia" w:hAnsiTheme="minorEastAsia" w:eastAsiaTheme="minorEastAsia" w:cstheme="minorEastAsia"/>
                <w:szCs w:val="21"/>
              </w:rPr>
              <w:t>：审计项目的终结阶段结束后可进行项目归档，在审计项目准备阶段、实施阶段、终结阶段产生的文档按照结论性资料、证明性资料、立项性资料和备查性资料、其他资料分别展示。整体组项目组长、主审可以查看项目的文档情况，决定是否补充资料；项目归档经过预置的审批流程进行审批确认，归档后按照档案管理制度进行管理。</w:t>
            </w:r>
          </w:p>
          <w:p w14:paraId="4BDCB46C">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 </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b/>
                <w:szCs w:val="21"/>
              </w:rPr>
              <w:t>项目台账</w:t>
            </w:r>
            <w:r>
              <w:rPr>
                <w:rFonts w:hint="eastAsia" w:asciiTheme="minorEastAsia" w:hAnsiTheme="minorEastAsia" w:eastAsiaTheme="minorEastAsia" w:cstheme="minorEastAsia"/>
                <w:szCs w:val="21"/>
              </w:rPr>
              <w:t>：可以记录审计项目的全貌，为领导查询和报表统计提供数据来源。项目台账可以实现半自动化，数据可实现自动生成，也可手工填写。</w:t>
            </w:r>
          </w:p>
          <w:p w14:paraId="36D4A838">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 </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b/>
                <w:szCs w:val="21"/>
              </w:rPr>
              <w:t>审计整改</w:t>
            </w:r>
            <w:r>
              <w:rPr>
                <w:rFonts w:hint="eastAsia" w:asciiTheme="minorEastAsia" w:hAnsiTheme="minorEastAsia" w:eastAsiaTheme="minorEastAsia" w:cstheme="minorEastAsia"/>
                <w:szCs w:val="21"/>
              </w:rPr>
              <w:t>：即对整改问题进行管理，进行整改问题分发、整改设置，指定问题反馈人、业务部门跟踪评价人、审计部门跟踪评价人，分享典型性问题和普遍性问题给其他业务部门或单位。支持被审计单位在线进行反馈整改结果或分发问题给其他部门或单位反馈整改结果，业务部门、审计部门跟踪评价人可对整改结果进行跟踪评价。</w:t>
            </w:r>
          </w:p>
          <w:p w14:paraId="5D3BC02E">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b/>
                <w:szCs w:val="21"/>
              </w:rPr>
              <w:t>审计工具</w:t>
            </w:r>
            <w:r>
              <w:rPr>
                <w:rFonts w:hint="eastAsia" w:asciiTheme="minorEastAsia" w:hAnsiTheme="minorEastAsia" w:eastAsiaTheme="minorEastAsia" w:cstheme="minorEastAsia"/>
                <w:szCs w:val="21"/>
              </w:rPr>
              <w:t>：可在项目各阶段快捷进入查看项目基本信息、审计依据库、问题分类库、审计案例库、离线采集数据、成果共享设置、智能工具等。</w:t>
            </w:r>
          </w:p>
          <w:p w14:paraId="2D5B8B94">
            <w:pPr>
              <w:jc w:val="left"/>
              <w:rPr>
                <w:rFonts w:hint="eastAsia" w:asciiTheme="minorEastAsia" w:hAnsiTheme="minorEastAsia" w:eastAsiaTheme="minorEastAsia" w:cstheme="minorEastAsia"/>
                <w:szCs w:val="21"/>
              </w:rPr>
            </w:pPr>
          </w:p>
          <w:p w14:paraId="09CB4381">
            <w:pPr>
              <w:jc w:val="left"/>
              <w:rPr>
                <w:rFonts w:hint="eastAsia" w:asciiTheme="minorEastAsia" w:hAnsiTheme="minorEastAsia" w:eastAsiaTheme="minorEastAsia" w:cstheme="minorEastAsia"/>
                <w:szCs w:val="21"/>
              </w:rPr>
            </w:pPr>
          </w:p>
        </w:tc>
      </w:tr>
      <w:tr w14:paraId="43E5F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trPr>
        <w:tc>
          <w:tcPr>
            <w:tcW w:w="2103" w:type="dxa"/>
            <w:vAlign w:val="center"/>
          </w:tcPr>
          <w:p w14:paraId="0726245E">
            <w:pPr>
              <w:pStyle w:val="2"/>
              <w:widowControl/>
              <w:shd w:val="clear" w:color="auto" w:fill="FFFFFF"/>
              <w:spacing w:before="0" w:beforeAutospacing="0" w:after="0" w:afterAutospacing="0" w:line="23" w:lineRule="atLeast"/>
              <w:jc w:val="center"/>
              <w:outlineLvl w:val="0"/>
              <w:rPr>
                <w:rFonts w:hint="default" w:ascii="仿宋_GB2312" w:hAnsi="仿宋_GB2312" w:eastAsia="仿宋_GB2312" w:cs="仿宋_GB2312"/>
                <w:b w:val="0"/>
                <w:bCs/>
                <w:sz w:val="30"/>
                <w:szCs w:val="30"/>
                <w:shd w:val="clear" w:color="auto" w:fill="FFFFFF"/>
              </w:rPr>
            </w:pPr>
            <w:r>
              <w:rPr>
                <w:rFonts w:ascii="仿宋_GB2312" w:hAnsi="仿宋_GB2312" w:eastAsia="仿宋_GB2312" w:cs="仿宋_GB2312"/>
                <w:b w:val="0"/>
                <w:bCs/>
                <w:sz w:val="30"/>
                <w:szCs w:val="30"/>
                <w:shd w:val="clear" w:color="auto" w:fill="FFFFFF"/>
              </w:rPr>
              <w:t>安全性与权限控制要求</w:t>
            </w:r>
          </w:p>
        </w:tc>
        <w:tc>
          <w:tcPr>
            <w:tcW w:w="6419" w:type="dxa"/>
          </w:tcPr>
          <w:p w14:paraId="0B20F4E3">
            <w:pPr>
              <w:jc w:val="left"/>
              <w:rPr>
                <w:rFonts w:hint="eastAsia" w:asciiTheme="minorEastAsia" w:hAnsiTheme="minorEastAsia" w:eastAsiaTheme="minorEastAsia" w:cstheme="minorEastAsia"/>
                <w:szCs w:val="21"/>
              </w:rPr>
            </w:pPr>
          </w:p>
          <w:p w14:paraId="75A8D44F">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1、作业系统不涉及患者数据，</w:t>
            </w:r>
          </w:p>
          <w:p w14:paraId="28D48A21">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2、数据存储在客户提供的内网服务器上。</w:t>
            </w:r>
          </w:p>
        </w:tc>
      </w:tr>
      <w:tr w14:paraId="31C5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trPr>
        <w:tc>
          <w:tcPr>
            <w:tcW w:w="2103" w:type="dxa"/>
            <w:vAlign w:val="center"/>
          </w:tcPr>
          <w:p w14:paraId="01DA464A">
            <w:pPr>
              <w:pStyle w:val="2"/>
              <w:widowControl/>
              <w:shd w:val="clear" w:color="auto" w:fill="FFFFFF"/>
              <w:spacing w:before="0" w:beforeAutospacing="0" w:after="0" w:afterAutospacing="0" w:line="23" w:lineRule="atLeast"/>
              <w:jc w:val="center"/>
              <w:outlineLvl w:val="0"/>
              <w:rPr>
                <w:rFonts w:hint="default" w:ascii="仿宋_GB2312" w:hAnsi="仿宋_GB2312" w:eastAsia="仿宋_GB2312" w:cs="仿宋_GB2312"/>
                <w:b w:val="0"/>
                <w:bCs/>
                <w:sz w:val="30"/>
                <w:szCs w:val="30"/>
                <w:shd w:val="clear" w:color="auto" w:fill="FFFFFF"/>
              </w:rPr>
            </w:pPr>
            <w:r>
              <w:rPr>
                <w:rFonts w:ascii="仿宋_GB2312" w:hAnsi="仿宋_GB2312" w:eastAsia="仿宋_GB2312" w:cs="仿宋_GB2312"/>
                <w:b w:val="0"/>
                <w:bCs/>
                <w:sz w:val="30"/>
                <w:szCs w:val="30"/>
                <w:shd w:val="clear" w:color="auto" w:fill="FFFFFF"/>
              </w:rPr>
              <w:t>实施及后续运维服务要求</w:t>
            </w:r>
          </w:p>
        </w:tc>
        <w:tc>
          <w:tcPr>
            <w:tcW w:w="6419" w:type="dxa"/>
          </w:tcPr>
          <w:p w14:paraId="343CA349">
            <w:pPr>
              <w:jc w:val="left"/>
              <w:rPr>
                <w:rFonts w:hint="eastAsia" w:asciiTheme="minorEastAsia" w:hAnsiTheme="minorEastAsia" w:eastAsiaTheme="minorEastAsia" w:cstheme="minorEastAsia"/>
                <w:szCs w:val="21"/>
              </w:rPr>
            </w:pPr>
          </w:p>
          <w:p w14:paraId="7D8F4874">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1、自合同签订之日起 60 个工作日内开发、调试、安装完毕并交付使用。</w:t>
            </w:r>
          </w:p>
          <w:p w14:paraId="496DDEE5">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rPr>
              <w:t xml:space="preserve"> 实施</w:t>
            </w:r>
            <w:r>
              <w:rPr>
                <w:rFonts w:hint="eastAsia" w:asciiTheme="minorEastAsia" w:hAnsiTheme="minorEastAsia" w:eastAsiaTheme="minorEastAsia" w:cstheme="minorEastAsia"/>
                <w:szCs w:val="21"/>
              </w:rPr>
              <w:t>不需要长期驻场，实施经理到达现场安装部署好系统，培训客户使用操作系统，保证系统能上线试运行。（实施经理1人或1人以上，乙方会按具体的工作量安排）</w:t>
            </w:r>
          </w:p>
          <w:p w14:paraId="5E4623CA">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3、在系统试运行阶段，实施经理可撤离现场，有问题可直接线上沟通，远程协同解决相应的问题，有必要到达现场才能解决的问题，乙方会第一时间派人抵达甲方现场解决问题。</w:t>
            </w:r>
          </w:p>
          <w:p w14:paraId="21B32BEB">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4、运维不需要驻场，运维是本地服务人员，机动安排，有问题线上解决不了的，运维会直接到现场协助解决。（运维人员1人）</w:t>
            </w:r>
          </w:p>
          <w:p w14:paraId="56998068">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5、运维内容：</w:t>
            </w:r>
          </w:p>
          <w:p w14:paraId="71EC698B">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5.1、在线支持：</w:t>
            </w:r>
          </w:p>
          <w:p w14:paraId="6606B5AA">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应用指导：提供5x8工作时间使用问题远程指导，表现为普通用户的误操作、操作不当或不会使用相关软件操作而引起的问题。1.2）故障排查：单一审计系统的故障，非严重的系统平台故障。表现为某一台机器上的审计软件不能使用或无法连接到数据库，而其他软件能正常使用。</w:t>
            </w:r>
            <w:r>
              <w:rPr>
                <w:rFonts w:hint="eastAsia" w:asciiTheme="minorEastAsia" w:hAnsiTheme="minorEastAsia" w:eastAsiaTheme="minorEastAsia" w:cstheme="minorEastAsia"/>
                <w:szCs w:val="21"/>
                <w:lang w:val="en-US" w:eastAsia="zh-CN"/>
              </w:rPr>
              <w:t>由</w:t>
            </w:r>
            <w:bookmarkStart w:id="0" w:name="_GoBack"/>
            <w:bookmarkEnd w:id="0"/>
            <w:r>
              <w:rPr>
                <w:rFonts w:hint="eastAsia" w:asciiTheme="minorEastAsia" w:hAnsiTheme="minorEastAsia" w:eastAsiaTheme="minorEastAsia" w:cstheme="minorEastAsia"/>
                <w:szCs w:val="21"/>
              </w:rPr>
              <w:t>服务顾问或技术顾问远程解决；</w:t>
            </w:r>
          </w:p>
          <w:p w14:paraId="1B3C9367">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1.3）远程处理：经甲方授权同意，通过远程方式连接甲方的软件/服务器，进行查看、定位、诊断，提供解决方案及应用指导；</w:t>
            </w:r>
          </w:p>
          <w:p w14:paraId="07ACC18C">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1.4）Bug修改：指程序级别的Bug，引起系统报错，影响甲方操作，将在2个小时内以QQ、邮件、电话、传真响应，2个工作日内解决，问题解决后通过远程指导进行修复；</w:t>
            </w:r>
          </w:p>
          <w:p w14:paraId="705C86F4">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5.2、现场处理：由软件原因等的营机装者重要计能关法使用，通过热线，在线都无法解决的情况下，顾问确往现场，进行查看，定位，诊断，现场故障批除，如果系统数据查到播坏，系统数据恢复的程度取决于用户方系统管理员提供的备份数据。</w:t>
            </w:r>
          </w:p>
          <w:p w14:paraId="33B6D697">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5.3、信息获得：通过公众号或受邀参加新产品发布会、用户大会等，了解公司、产品、服务最新信息；</w:t>
            </w:r>
          </w:p>
          <w:p w14:paraId="5F777355">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5.4、满意度调查：通过回访、电话沟通等方式了解客户使用情况并根据客户使用情况给予不同的意见及建议；</w:t>
            </w:r>
          </w:p>
          <w:p w14:paraId="34845293">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5.5、客户投诉和建议受理服务。</w:t>
            </w:r>
          </w:p>
          <w:p w14:paraId="5332573F">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r>
              <w:rPr>
                <w:rFonts w:hint="eastAsia" w:asciiTheme="minorEastAsia" w:hAnsiTheme="minorEastAsia" w:eastAsiaTheme="minorEastAsia" w:cstheme="minorEastAsia"/>
              </w:rPr>
              <w:t xml:space="preserve"> 保质期1年。</w:t>
            </w:r>
          </w:p>
        </w:tc>
      </w:tr>
    </w:tbl>
    <w:p w14:paraId="57DB783F">
      <w:pPr>
        <w:rPr>
          <w:rFonts w:ascii="仿宋_GB2312" w:hAnsi="仿宋_GB2312" w:eastAsia="仿宋_GB2312" w:cs="仿宋_GB2312"/>
          <w:sz w:val="32"/>
          <w:szCs w:val="32"/>
        </w:rPr>
      </w:pPr>
    </w:p>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A132B">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D2BE60">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8D2BE60">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D04"/>
    <w:rsid w:val="0022251A"/>
    <w:rsid w:val="003418AF"/>
    <w:rsid w:val="003A64E8"/>
    <w:rsid w:val="004D6E32"/>
    <w:rsid w:val="00663F69"/>
    <w:rsid w:val="00783CAB"/>
    <w:rsid w:val="007F3D04"/>
    <w:rsid w:val="008941AD"/>
    <w:rsid w:val="00A317B4"/>
    <w:rsid w:val="00A406DC"/>
    <w:rsid w:val="00A60F95"/>
    <w:rsid w:val="00B47C25"/>
    <w:rsid w:val="00B6187E"/>
    <w:rsid w:val="00CD1532"/>
    <w:rsid w:val="00CE68BA"/>
    <w:rsid w:val="00DE29B0"/>
    <w:rsid w:val="00E40D1F"/>
    <w:rsid w:val="00F17F27"/>
    <w:rsid w:val="00F3008E"/>
    <w:rsid w:val="00FC467C"/>
    <w:rsid w:val="00FE7C1C"/>
    <w:rsid w:val="0D187F42"/>
    <w:rsid w:val="168313A0"/>
    <w:rsid w:val="16872922"/>
    <w:rsid w:val="192D5062"/>
    <w:rsid w:val="260E5F22"/>
    <w:rsid w:val="31AC057B"/>
    <w:rsid w:val="4D9532F1"/>
    <w:rsid w:val="4DD802BF"/>
    <w:rsid w:val="4E1C1427"/>
    <w:rsid w:val="50D64BB0"/>
    <w:rsid w:val="58F130E8"/>
    <w:rsid w:val="5AD45A11"/>
    <w:rsid w:val="69EA5DD9"/>
    <w:rsid w:val="6B705AE9"/>
    <w:rsid w:val="6DE03A44"/>
    <w:rsid w:val="790A57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Calibri" w:hAnsi="Calibri" w:eastAsia="宋体" w:cs="Times New Roman"/>
      <w:kern w:val="2"/>
      <w:sz w:val="21"/>
      <w:szCs w:val="24"/>
      <w:lang w:val="en-US" w:eastAsia="zh-CN" w:bidi="ar-SA"/>
    </w:rPr>
  </w:style>
  <w:style w:type="paragraph" w:styleId="2">
    <w:name w:val="heading 1"/>
    <w:basedOn w:val="1"/>
    <w:next w:val="1"/>
    <w:link w:val="10"/>
    <w:qFormat/>
    <w:uiPriority w:val="0"/>
    <w:pPr>
      <w:spacing w:before="100" w:beforeAutospacing="1" w:after="100" w:afterAutospacing="1"/>
      <w:jc w:val="left"/>
      <w:outlineLvl w:val="0"/>
    </w:pPr>
    <w:rPr>
      <w:rFonts w:hint="eastAsia" w:ascii="宋体" w:hAnsi="宋体"/>
      <w:b/>
      <w:kern w:val="44"/>
      <w:sz w:val="48"/>
      <w:szCs w:val="48"/>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qFormat/>
    <w:uiPriority w:val="0"/>
    <w:pPr>
      <w:tabs>
        <w:tab w:val="center" w:pos="4153"/>
        <w:tab w:val="right" w:pos="8306"/>
      </w:tabs>
      <w:snapToGrid w:val="0"/>
      <w:spacing w:line="240" w:lineRule="auto"/>
      <w:jc w:val="left"/>
    </w:pPr>
    <w:rPr>
      <w:sz w:val="18"/>
      <w:szCs w:val="18"/>
    </w:rPr>
  </w:style>
  <w:style w:type="paragraph" w:styleId="4">
    <w:name w:val="header"/>
    <w:basedOn w:val="1"/>
    <w:link w:val="8"/>
    <w:qFormat/>
    <w:uiPriority w:val="0"/>
    <w:pPr>
      <w:tabs>
        <w:tab w:val="center" w:pos="4153"/>
        <w:tab w:val="right" w:pos="8306"/>
      </w:tabs>
      <w:snapToGrid w:val="0"/>
      <w:spacing w:line="240" w:lineRule="auto"/>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眉 Char"/>
    <w:basedOn w:val="7"/>
    <w:link w:val="4"/>
    <w:qFormat/>
    <w:uiPriority w:val="0"/>
    <w:rPr>
      <w:rFonts w:ascii="Calibri" w:hAnsi="Calibri"/>
      <w:kern w:val="2"/>
      <w:sz w:val="18"/>
      <w:szCs w:val="18"/>
    </w:rPr>
  </w:style>
  <w:style w:type="character" w:customStyle="1" w:styleId="9">
    <w:name w:val="页脚 Char"/>
    <w:basedOn w:val="7"/>
    <w:link w:val="3"/>
    <w:qFormat/>
    <w:uiPriority w:val="0"/>
    <w:rPr>
      <w:rFonts w:ascii="Calibri" w:hAnsi="Calibri"/>
      <w:kern w:val="2"/>
      <w:sz w:val="18"/>
      <w:szCs w:val="18"/>
    </w:rPr>
  </w:style>
  <w:style w:type="character" w:customStyle="1" w:styleId="10">
    <w:name w:val="标题 1 Char"/>
    <w:basedOn w:val="7"/>
    <w:link w:val="2"/>
    <w:qFormat/>
    <w:uiPriority w:val="0"/>
    <w:rPr>
      <w:rFonts w:ascii="宋体" w:hAnsi="宋体"/>
      <w:b/>
      <w:kern w:val="44"/>
      <w:sz w:val="48"/>
      <w:szCs w:val="4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3082</Words>
  <Characters>3126</Characters>
  <Lines>28</Lines>
  <Paragraphs>7</Paragraphs>
  <TotalTime>17</TotalTime>
  <ScaleCrop>false</ScaleCrop>
  <LinksUpToDate>false</LinksUpToDate>
  <CharactersWithSpaces>3141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2025-08-28T05:18:00Z</dcterms:created>
  <dc:creator>Administrator</dc:creator>
  <cp:lastModifiedBy>微信用户</cp:lastModifiedBy>
  <cp:lastPrinted>2025-08-29T00:20:00Z</cp:lastPrinted>
  <dcterms:modified xsi:type="dcterms:W3CDTF">2026-07-27T09:24:27Z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eyJoZGlkIjoiZTRiNjVhYTllYWUwMDIyODUxNzkzMTBjY2I5MDk3ZmUiLCJ1c2VySWQiOiIxMjczMDI1NTE1In0=</vt:lpwstr>
  </property>
  <property fmtid="{D5CDD505-2E9C-101B-9397-08002B2CF9AE}" pid="4" name="ICV">
    <vt:lpwstr>418E858746784040BEF7E4E72F255B15_13</vt:lpwstr>
  </property>
</Properties>
</file>