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D62DA2">
      <w:pPr>
        <w:tabs>
          <w:tab w:val="left" w:pos="1710"/>
        </w:tabs>
        <w:spacing w:line="312" w:lineRule="auto"/>
        <w:rPr>
          <w:rFonts w:ascii="Arial" w:hAnsi="Arial" w:eastAsia="宋体" w:cs="Arial"/>
          <w:color w:val="auto"/>
          <w:highlight w:val="none"/>
        </w:rPr>
      </w:pPr>
    </w:p>
    <w:p w14:paraId="43A18E85">
      <w:pPr>
        <w:tabs>
          <w:tab w:val="left" w:pos="1710"/>
        </w:tabs>
        <w:spacing w:line="312" w:lineRule="auto"/>
        <w:rPr>
          <w:rFonts w:ascii="Arial" w:hAnsi="Arial" w:eastAsia="宋体" w:cs="Arial"/>
          <w:color w:val="auto"/>
          <w:highlight w:val="none"/>
        </w:rPr>
      </w:pPr>
    </w:p>
    <w:p w14:paraId="27E56906">
      <w:pPr>
        <w:tabs>
          <w:tab w:val="left" w:pos="1710"/>
        </w:tabs>
        <w:spacing w:line="312" w:lineRule="auto"/>
        <w:rPr>
          <w:rFonts w:ascii="Arial" w:hAnsi="Arial" w:eastAsia="宋体" w:cs="Arial"/>
          <w:color w:val="auto"/>
          <w:highlight w:val="none"/>
        </w:rPr>
      </w:pPr>
    </w:p>
    <w:p w14:paraId="26FAC374">
      <w:pPr>
        <w:tabs>
          <w:tab w:val="left" w:pos="1710"/>
        </w:tabs>
        <w:spacing w:line="312" w:lineRule="auto"/>
        <w:rPr>
          <w:rFonts w:ascii="Arial" w:hAnsi="Arial" w:eastAsia="宋体" w:cs="Arial"/>
          <w:color w:val="auto"/>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3"/>
        <w:gridCol w:w="6045"/>
      </w:tblGrid>
      <w:tr w14:paraId="2868B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7828" w:type="dxa"/>
            <w:gridSpan w:val="2"/>
            <w:tcBorders>
              <w:top w:val="nil"/>
              <w:left w:val="nil"/>
              <w:right w:val="nil"/>
            </w:tcBorders>
          </w:tcPr>
          <w:p w14:paraId="7D28FC6C">
            <w:pPr>
              <w:snapToGrid w:val="0"/>
              <w:spacing w:line="312" w:lineRule="auto"/>
              <w:jc w:val="center"/>
              <w:rPr>
                <w:rFonts w:ascii="Arial" w:hAnsi="Arial" w:eastAsia="宋体" w:cs="Arial"/>
                <w:b/>
                <w:color w:val="auto"/>
                <w:sz w:val="60"/>
                <w:szCs w:val="60"/>
                <w:highlight w:val="none"/>
              </w:rPr>
            </w:pPr>
            <w:r>
              <w:rPr>
                <w:rFonts w:ascii="Arial" w:hAnsi="Arial" w:eastAsia="宋体" w:cs="Arial"/>
                <w:b/>
                <w:color w:val="auto"/>
                <w:sz w:val="60"/>
                <w:szCs w:val="60"/>
                <w:highlight w:val="none"/>
              </w:rPr>
              <w:t>谈 判 文 件</w:t>
            </w:r>
          </w:p>
        </w:tc>
      </w:tr>
      <w:tr w14:paraId="5D88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783" w:type="dxa"/>
            <w:vAlign w:val="center"/>
          </w:tcPr>
          <w:p w14:paraId="559241EF">
            <w:pPr>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项目编号：</w:t>
            </w:r>
          </w:p>
        </w:tc>
        <w:tc>
          <w:tcPr>
            <w:tcW w:w="6045" w:type="dxa"/>
            <w:vAlign w:val="center"/>
          </w:tcPr>
          <w:p w14:paraId="66F84557">
            <w:pPr>
              <w:spacing w:line="312"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GXJD-25114CC031016</w:t>
            </w:r>
          </w:p>
        </w:tc>
      </w:tr>
      <w:tr w14:paraId="02A22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83" w:type="dxa"/>
            <w:vAlign w:val="center"/>
          </w:tcPr>
          <w:p w14:paraId="6AFC80BD">
            <w:pPr>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项目名称：</w:t>
            </w:r>
          </w:p>
        </w:tc>
        <w:tc>
          <w:tcPr>
            <w:tcW w:w="6045" w:type="dxa"/>
            <w:vAlign w:val="center"/>
          </w:tcPr>
          <w:p w14:paraId="73E3BBA2">
            <w:pPr>
              <w:spacing w:line="312" w:lineRule="auto"/>
              <w:rPr>
                <w:rFonts w:ascii="Arial" w:hAnsi="Arial" w:eastAsia="宋体" w:cs="Arial"/>
                <w:b/>
                <w:color w:val="auto"/>
                <w:sz w:val="32"/>
                <w:szCs w:val="32"/>
                <w:highlight w:val="none"/>
              </w:rPr>
            </w:pPr>
            <w:r>
              <w:rPr>
                <w:rFonts w:hint="eastAsia" w:ascii="Arial" w:hAnsi="Arial" w:eastAsia="宋体" w:cs="Arial"/>
                <w:b/>
                <w:color w:val="auto"/>
                <w:sz w:val="32"/>
                <w:szCs w:val="32"/>
                <w:highlight w:val="none"/>
              </w:rPr>
              <w:t xml:space="preserve">桂林理工大学实训楼A座机房设备升级改造项目 </w:t>
            </w:r>
          </w:p>
        </w:tc>
      </w:tr>
      <w:tr w14:paraId="54186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783" w:type="dxa"/>
            <w:vAlign w:val="center"/>
          </w:tcPr>
          <w:p w14:paraId="2103EB3C">
            <w:pPr>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联系电话：</w:t>
            </w:r>
          </w:p>
        </w:tc>
        <w:tc>
          <w:tcPr>
            <w:tcW w:w="6045" w:type="dxa"/>
            <w:vAlign w:val="center"/>
          </w:tcPr>
          <w:p w14:paraId="2E642CD3">
            <w:pPr>
              <w:spacing w:line="312" w:lineRule="auto"/>
              <w:rPr>
                <w:rFonts w:ascii="Arial" w:hAnsi="Arial" w:eastAsia="宋体" w:cs="Arial"/>
                <w:b/>
                <w:color w:val="auto"/>
                <w:sz w:val="32"/>
                <w:szCs w:val="32"/>
                <w:highlight w:val="none"/>
              </w:rPr>
            </w:pPr>
            <w:r>
              <w:rPr>
                <w:rFonts w:hint="eastAsia" w:ascii="Arial" w:hAnsi="Arial" w:eastAsia="宋体" w:cs="Arial"/>
                <w:b/>
                <w:color w:val="auto"/>
                <w:sz w:val="32"/>
                <w:szCs w:val="32"/>
                <w:highlight w:val="none"/>
              </w:rPr>
              <w:t>0773-3696789转2</w:t>
            </w:r>
          </w:p>
        </w:tc>
      </w:tr>
    </w:tbl>
    <w:p w14:paraId="46E11279">
      <w:pPr>
        <w:tabs>
          <w:tab w:val="left" w:pos="1710"/>
        </w:tabs>
        <w:spacing w:line="312" w:lineRule="auto"/>
        <w:rPr>
          <w:rFonts w:ascii="Arial" w:hAnsi="Arial" w:eastAsia="宋体" w:cs="Arial"/>
          <w:color w:val="auto"/>
          <w:highlight w:val="none"/>
        </w:rPr>
      </w:pPr>
    </w:p>
    <w:p w14:paraId="549A4772">
      <w:pPr>
        <w:spacing w:line="312" w:lineRule="auto"/>
        <w:rPr>
          <w:rFonts w:ascii="Arial" w:hAnsi="Arial" w:eastAsia="宋体" w:cs="Arial"/>
          <w:color w:val="auto"/>
          <w:highlight w:val="none"/>
        </w:rPr>
      </w:pPr>
    </w:p>
    <w:p w14:paraId="3DB3B635">
      <w:pPr>
        <w:spacing w:line="312" w:lineRule="auto"/>
        <w:rPr>
          <w:rFonts w:ascii="Arial" w:hAnsi="Arial" w:eastAsia="宋体" w:cs="Arial"/>
          <w:color w:val="auto"/>
          <w:highlight w:val="none"/>
        </w:rPr>
      </w:pPr>
    </w:p>
    <w:p w14:paraId="3261E845">
      <w:pPr>
        <w:spacing w:line="312" w:lineRule="auto"/>
        <w:rPr>
          <w:rFonts w:ascii="Arial" w:hAnsi="Arial" w:eastAsia="宋体" w:cs="Arial"/>
          <w:color w:val="auto"/>
          <w:highlight w:val="none"/>
        </w:rPr>
      </w:pPr>
    </w:p>
    <w:p w14:paraId="711870CF">
      <w:pPr>
        <w:spacing w:line="312" w:lineRule="auto"/>
        <w:rPr>
          <w:rFonts w:ascii="Arial" w:hAnsi="Arial" w:eastAsia="宋体" w:cs="Arial"/>
          <w:color w:val="auto"/>
          <w:highlight w:val="none"/>
        </w:rPr>
      </w:pPr>
    </w:p>
    <w:tbl>
      <w:tblPr>
        <w:tblStyle w:val="24"/>
        <w:tblW w:w="0" w:type="auto"/>
        <w:jc w:val="center"/>
        <w:tblLayout w:type="fixed"/>
        <w:tblCellMar>
          <w:top w:w="0" w:type="dxa"/>
          <w:left w:w="108" w:type="dxa"/>
          <w:bottom w:w="0" w:type="dxa"/>
          <w:right w:w="108" w:type="dxa"/>
        </w:tblCellMar>
      </w:tblPr>
      <w:tblGrid>
        <w:gridCol w:w="2707"/>
        <w:gridCol w:w="6"/>
        <w:gridCol w:w="5925"/>
      </w:tblGrid>
      <w:tr w14:paraId="4D28C1F9">
        <w:tblPrEx>
          <w:tblCellMar>
            <w:top w:w="0" w:type="dxa"/>
            <w:left w:w="108" w:type="dxa"/>
            <w:bottom w:w="0" w:type="dxa"/>
            <w:right w:w="108" w:type="dxa"/>
          </w:tblCellMar>
        </w:tblPrEx>
        <w:trPr>
          <w:trHeight w:val="703" w:hRule="atLeast"/>
          <w:jc w:val="center"/>
        </w:trPr>
        <w:tc>
          <w:tcPr>
            <w:tcW w:w="2707" w:type="dxa"/>
            <w:vAlign w:val="center"/>
          </w:tcPr>
          <w:p w14:paraId="51ACBBEB">
            <w:pPr>
              <w:autoSpaceDE w:val="0"/>
              <w:autoSpaceDN w:val="0"/>
              <w:adjustRightInd w:val="0"/>
              <w:spacing w:line="312" w:lineRule="auto"/>
              <w:jc w:val="right"/>
              <w:rPr>
                <w:rFonts w:ascii="Arial" w:hAnsi="Arial" w:eastAsia="宋体" w:cs="Arial"/>
                <w:b/>
                <w:color w:val="auto"/>
                <w:sz w:val="32"/>
                <w:szCs w:val="32"/>
                <w:highlight w:val="none"/>
              </w:rPr>
            </w:pPr>
            <w:r>
              <w:rPr>
                <w:rFonts w:ascii="Arial" w:hAnsi="Arial" w:eastAsia="宋体" w:cs="Arial"/>
                <w:b/>
                <w:color w:val="auto"/>
                <w:sz w:val="32"/>
                <w:szCs w:val="32"/>
                <w:highlight w:val="none"/>
              </w:rPr>
              <w:t xml:space="preserve">  采购人：</w:t>
            </w:r>
          </w:p>
        </w:tc>
        <w:tc>
          <w:tcPr>
            <w:tcW w:w="5931" w:type="dxa"/>
            <w:gridSpan w:val="2"/>
            <w:vAlign w:val="center"/>
          </w:tcPr>
          <w:p w14:paraId="6AB216FC">
            <w:pPr>
              <w:autoSpaceDE w:val="0"/>
              <w:autoSpaceDN w:val="0"/>
              <w:adjustRightInd w:val="0"/>
              <w:spacing w:line="312" w:lineRule="auto"/>
              <w:jc w:val="left"/>
              <w:rPr>
                <w:rFonts w:ascii="Arial" w:hAnsi="Arial" w:eastAsia="宋体" w:cs="Arial"/>
                <w:b/>
                <w:color w:val="auto"/>
                <w:sz w:val="32"/>
                <w:szCs w:val="32"/>
                <w:highlight w:val="none"/>
              </w:rPr>
            </w:pPr>
            <w:r>
              <w:rPr>
                <w:rFonts w:ascii="Arial" w:hAnsi="Arial" w:eastAsia="宋体" w:cs="Arial"/>
                <w:b/>
                <w:color w:val="auto"/>
                <w:sz w:val="32"/>
                <w:szCs w:val="32"/>
                <w:highlight w:val="none"/>
              </w:rPr>
              <w:t>桂林理工大学</w:t>
            </w:r>
          </w:p>
        </w:tc>
      </w:tr>
      <w:tr w14:paraId="6A7BF4F5">
        <w:tblPrEx>
          <w:tblCellMar>
            <w:top w:w="0" w:type="dxa"/>
            <w:left w:w="108" w:type="dxa"/>
            <w:bottom w:w="0" w:type="dxa"/>
            <w:right w:w="108" w:type="dxa"/>
          </w:tblCellMar>
        </w:tblPrEx>
        <w:trPr>
          <w:trHeight w:val="583" w:hRule="atLeast"/>
          <w:jc w:val="center"/>
        </w:trPr>
        <w:tc>
          <w:tcPr>
            <w:tcW w:w="2713" w:type="dxa"/>
            <w:gridSpan w:val="2"/>
          </w:tcPr>
          <w:p w14:paraId="2FA65409">
            <w:pPr>
              <w:autoSpaceDE w:val="0"/>
              <w:autoSpaceDN w:val="0"/>
              <w:adjustRightInd w:val="0"/>
              <w:spacing w:line="312" w:lineRule="auto"/>
              <w:jc w:val="right"/>
              <w:rPr>
                <w:rFonts w:ascii="Arial" w:hAnsi="Arial" w:eastAsia="宋体" w:cs="Arial"/>
                <w:b/>
                <w:color w:val="auto"/>
                <w:sz w:val="32"/>
                <w:szCs w:val="32"/>
                <w:highlight w:val="none"/>
              </w:rPr>
            </w:pPr>
            <w:r>
              <w:rPr>
                <w:rFonts w:ascii="Arial" w:hAnsi="Arial" w:eastAsia="宋体" w:cs="Arial"/>
                <w:b/>
                <w:color w:val="auto"/>
                <w:sz w:val="32"/>
                <w:szCs w:val="32"/>
                <w:highlight w:val="none"/>
              </w:rPr>
              <w:t>采购代理机构：</w:t>
            </w:r>
          </w:p>
        </w:tc>
        <w:tc>
          <w:tcPr>
            <w:tcW w:w="5925" w:type="dxa"/>
          </w:tcPr>
          <w:p w14:paraId="1AF2AA4C">
            <w:pPr>
              <w:autoSpaceDE w:val="0"/>
              <w:autoSpaceDN w:val="0"/>
              <w:adjustRightInd w:val="0"/>
              <w:spacing w:line="312" w:lineRule="auto"/>
              <w:rPr>
                <w:rFonts w:hint="eastAsia" w:ascii="Arial" w:hAnsi="Arial" w:eastAsia="宋体" w:cs="Arial"/>
                <w:b/>
                <w:color w:val="auto"/>
                <w:sz w:val="32"/>
                <w:szCs w:val="32"/>
                <w:highlight w:val="none"/>
                <w:u w:val="single"/>
                <w:lang w:eastAsia="zh-CN"/>
              </w:rPr>
            </w:pPr>
            <w:r>
              <w:rPr>
                <w:rFonts w:hint="eastAsia" w:ascii="Arial" w:hAnsi="Arial" w:eastAsia="宋体" w:cs="Arial"/>
                <w:b/>
                <w:color w:val="auto"/>
                <w:sz w:val="32"/>
                <w:szCs w:val="32"/>
                <w:highlight w:val="none"/>
                <w:lang w:eastAsia="zh-CN"/>
              </w:rPr>
              <w:t>广西机电设备招标有限公司</w:t>
            </w:r>
          </w:p>
        </w:tc>
      </w:tr>
    </w:tbl>
    <w:p w14:paraId="3071428E">
      <w:pPr>
        <w:autoSpaceDE w:val="0"/>
        <w:autoSpaceDN w:val="0"/>
        <w:adjustRightInd w:val="0"/>
        <w:spacing w:line="312" w:lineRule="auto"/>
        <w:jc w:val="center"/>
        <w:rPr>
          <w:rFonts w:ascii="Arial" w:hAnsi="Arial" w:eastAsia="宋体" w:cs="Arial"/>
          <w:b/>
          <w:color w:val="auto"/>
          <w:sz w:val="32"/>
          <w:szCs w:val="32"/>
          <w:highlight w:val="none"/>
        </w:rPr>
      </w:pPr>
    </w:p>
    <w:p w14:paraId="04131C7A">
      <w:pPr>
        <w:autoSpaceDE w:val="0"/>
        <w:autoSpaceDN w:val="0"/>
        <w:adjustRightInd w:val="0"/>
        <w:spacing w:line="312" w:lineRule="auto"/>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202</w:t>
      </w:r>
      <w:r>
        <w:rPr>
          <w:rFonts w:hint="eastAsia" w:ascii="Arial" w:hAnsi="Arial" w:eastAsia="宋体" w:cs="Arial"/>
          <w:b/>
          <w:color w:val="auto"/>
          <w:sz w:val="32"/>
          <w:szCs w:val="32"/>
          <w:highlight w:val="none"/>
        </w:rPr>
        <w:t>5</w:t>
      </w:r>
      <w:r>
        <w:rPr>
          <w:rFonts w:ascii="Arial" w:hAnsi="Arial" w:eastAsia="宋体" w:cs="Arial"/>
          <w:b/>
          <w:color w:val="auto"/>
          <w:sz w:val="32"/>
          <w:szCs w:val="32"/>
          <w:highlight w:val="none"/>
        </w:rPr>
        <w:t>年</w:t>
      </w:r>
      <w:r>
        <w:rPr>
          <w:rFonts w:hint="eastAsia" w:ascii="Arial" w:hAnsi="Arial" w:eastAsia="宋体" w:cs="Arial"/>
          <w:b/>
          <w:color w:val="auto"/>
          <w:sz w:val="32"/>
          <w:szCs w:val="32"/>
          <w:highlight w:val="none"/>
          <w:lang w:val="en-US" w:eastAsia="zh-CN"/>
        </w:rPr>
        <w:t>7</w:t>
      </w:r>
      <w:r>
        <w:rPr>
          <w:rFonts w:ascii="Arial" w:hAnsi="Arial" w:eastAsia="宋体" w:cs="Arial"/>
          <w:b/>
          <w:color w:val="auto"/>
          <w:sz w:val="32"/>
          <w:szCs w:val="32"/>
          <w:highlight w:val="none"/>
        </w:rPr>
        <w:t>月</w:t>
      </w:r>
    </w:p>
    <w:p w14:paraId="6C383475">
      <w:pPr>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434158ED">
      <w:pPr>
        <w:tabs>
          <w:tab w:val="left" w:pos="1080"/>
        </w:tabs>
        <w:spacing w:line="312" w:lineRule="auto"/>
        <w:jc w:val="center"/>
        <w:rPr>
          <w:rFonts w:ascii="Arial" w:hAnsi="Arial" w:eastAsia="宋体" w:cs="Arial"/>
          <w:b/>
          <w:color w:val="auto"/>
          <w:sz w:val="32"/>
          <w:szCs w:val="32"/>
          <w:highlight w:val="none"/>
        </w:rPr>
      </w:pPr>
    </w:p>
    <w:sdt>
      <w:sdtPr>
        <w:rPr>
          <w:rFonts w:ascii="Arial" w:hAnsi="Arial" w:eastAsia="宋体" w:cs="Arial"/>
          <w:b/>
          <w:bCs/>
          <w:color w:val="auto"/>
          <w:kern w:val="0"/>
          <w:sz w:val="24"/>
          <w:szCs w:val="32"/>
          <w:highlight w:val="none"/>
        </w:rPr>
        <w:id w:val="147472183"/>
        <w:docPartObj>
          <w:docPartGallery w:val="Table of Contents"/>
          <w:docPartUnique/>
        </w:docPartObj>
      </w:sdtPr>
      <w:sdtEndPr>
        <w:rPr>
          <w:rFonts w:ascii="Arial" w:hAnsi="Arial" w:eastAsia="宋体" w:cs="Arial"/>
          <w:b/>
          <w:bCs/>
          <w:color w:val="auto"/>
          <w:kern w:val="0"/>
          <w:sz w:val="28"/>
          <w:szCs w:val="28"/>
          <w:highlight w:val="none"/>
        </w:rPr>
      </w:sdtEndPr>
      <w:sdtContent>
        <w:p w14:paraId="3CFD4FA5">
          <w:pPr>
            <w:spacing w:line="312" w:lineRule="auto"/>
            <w:jc w:val="center"/>
            <w:rPr>
              <w:rFonts w:ascii="Arial" w:hAnsi="Arial" w:eastAsia="宋体" w:cs="Arial"/>
              <w:color w:val="auto"/>
              <w:sz w:val="96"/>
              <w:szCs w:val="160"/>
              <w:highlight w:val="none"/>
            </w:rPr>
          </w:pPr>
          <w:r>
            <w:rPr>
              <w:rFonts w:ascii="Arial" w:hAnsi="Arial" w:eastAsia="宋体" w:cs="Arial"/>
              <w:b/>
              <w:bCs/>
              <w:color w:val="auto"/>
              <w:kern w:val="0"/>
              <w:sz w:val="44"/>
              <w:szCs w:val="52"/>
              <w:highlight w:val="none"/>
            </w:rPr>
            <w:t>目  录</w:t>
          </w:r>
        </w:p>
        <w:p w14:paraId="5CE534B9">
          <w:pPr>
            <w:pStyle w:val="19"/>
            <w:tabs>
              <w:tab w:val="right" w:leader="dot" w:pos="9923"/>
            </w:tabs>
            <w:spacing w:line="312" w:lineRule="auto"/>
            <w:rPr>
              <w:rFonts w:ascii="Arial" w:hAnsi="Arial" w:eastAsia="宋体" w:cs="Arial"/>
              <w:color w:val="auto"/>
              <w:sz w:val="28"/>
              <w:szCs w:val="28"/>
              <w:highlight w:val="none"/>
            </w:rPr>
          </w:pPr>
          <w:r>
            <w:rPr>
              <w:rFonts w:ascii="Arial" w:hAnsi="Arial" w:eastAsia="宋体" w:cs="Arial"/>
              <w:color w:val="auto"/>
              <w:sz w:val="32"/>
              <w:szCs w:val="32"/>
              <w:highlight w:val="none"/>
            </w:rPr>
            <w:fldChar w:fldCharType="begin"/>
          </w:r>
          <w:r>
            <w:rPr>
              <w:rFonts w:ascii="Arial" w:hAnsi="Arial" w:eastAsia="宋体" w:cs="Arial"/>
              <w:color w:val="auto"/>
              <w:sz w:val="32"/>
              <w:szCs w:val="32"/>
              <w:highlight w:val="none"/>
            </w:rPr>
            <w:instrText xml:space="preserve">TOC \o "1-1" \h \u </w:instrText>
          </w:r>
          <w:r>
            <w:rPr>
              <w:rFonts w:ascii="Arial" w:hAnsi="Arial" w:eastAsia="宋体" w:cs="Arial"/>
              <w:color w:val="auto"/>
              <w:sz w:val="32"/>
              <w:szCs w:val="32"/>
              <w:highlight w:val="none"/>
            </w:rPr>
            <w:fldChar w:fldCharType="separate"/>
          </w:r>
          <w:r>
            <w:rPr>
              <w:color w:val="auto"/>
              <w:highlight w:val="none"/>
            </w:rPr>
            <w:fldChar w:fldCharType="begin"/>
          </w:r>
          <w:r>
            <w:rPr>
              <w:color w:val="auto"/>
              <w:highlight w:val="none"/>
            </w:rPr>
            <w:instrText xml:space="preserve"> HYPERLINK \l "_Toc11589" </w:instrText>
          </w:r>
          <w:r>
            <w:rPr>
              <w:color w:val="auto"/>
              <w:highlight w:val="none"/>
            </w:rPr>
            <w:fldChar w:fldCharType="separate"/>
          </w:r>
          <w:r>
            <w:rPr>
              <w:rFonts w:ascii="Arial" w:hAnsi="Arial" w:eastAsia="宋体" w:cs="Arial"/>
              <w:color w:val="auto"/>
              <w:sz w:val="28"/>
              <w:szCs w:val="28"/>
              <w:highlight w:val="none"/>
            </w:rPr>
            <w:t>第一章 竞争性谈判公告</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_Toc11589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1</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6024777E">
          <w:pPr>
            <w:pStyle w:val="19"/>
            <w:tabs>
              <w:tab w:val="right" w:leader="dot" w:pos="9923"/>
            </w:tabs>
            <w:spacing w:line="312" w:lineRule="auto"/>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"_Toc20458" </w:instrText>
          </w:r>
          <w:r>
            <w:rPr>
              <w:color w:val="auto"/>
              <w:highlight w:val="none"/>
            </w:rPr>
            <w:fldChar w:fldCharType="separate"/>
          </w:r>
          <w:r>
            <w:rPr>
              <w:rFonts w:ascii="Arial" w:hAnsi="Arial" w:eastAsia="宋体" w:cs="Arial"/>
              <w:bCs/>
              <w:color w:val="auto"/>
              <w:kern w:val="44"/>
              <w:sz w:val="28"/>
              <w:szCs w:val="28"/>
              <w:highlight w:val="none"/>
            </w:rPr>
            <w:t xml:space="preserve">第二章 </w:t>
          </w:r>
          <w:r>
            <w:rPr>
              <w:rFonts w:ascii="Arial" w:hAnsi="Arial" w:eastAsia="宋体" w:cs="Arial"/>
              <w:bCs/>
              <w:color w:val="auto"/>
              <w:sz w:val="28"/>
              <w:szCs w:val="28"/>
              <w:highlight w:val="none"/>
            </w:rPr>
            <w:t>供应商须知</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_Toc20458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3</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72091841">
          <w:pPr>
            <w:pStyle w:val="19"/>
            <w:tabs>
              <w:tab w:val="right" w:leader="dot" w:pos="9923"/>
            </w:tabs>
            <w:spacing w:line="312" w:lineRule="auto"/>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"_Toc8686" </w:instrText>
          </w:r>
          <w:r>
            <w:rPr>
              <w:color w:val="auto"/>
              <w:highlight w:val="none"/>
            </w:rPr>
            <w:fldChar w:fldCharType="separate"/>
          </w:r>
          <w:r>
            <w:rPr>
              <w:rFonts w:ascii="Arial" w:hAnsi="Arial" w:eastAsia="宋体" w:cs="Arial"/>
              <w:color w:val="auto"/>
              <w:sz w:val="28"/>
              <w:szCs w:val="28"/>
              <w:highlight w:val="none"/>
            </w:rPr>
            <w:t>第三章  项目采购需求</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_Toc8686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17</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61F45CA3">
          <w:pPr>
            <w:pStyle w:val="19"/>
            <w:tabs>
              <w:tab w:val="right" w:leader="dot" w:pos="9923"/>
            </w:tabs>
            <w:spacing w:line="312" w:lineRule="auto"/>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"_Toc16632" </w:instrText>
          </w:r>
          <w:r>
            <w:rPr>
              <w:color w:val="auto"/>
              <w:highlight w:val="none"/>
            </w:rPr>
            <w:fldChar w:fldCharType="separate"/>
          </w:r>
          <w:r>
            <w:rPr>
              <w:rFonts w:ascii="Arial" w:hAnsi="Arial" w:eastAsia="宋体" w:cs="Arial"/>
              <w:color w:val="auto"/>
              <w:sz w:val="28"/>
              <w:szCs w:val="28"/>
              <w:highlight w:val="none"/>
            </w:rPr>
            <w:t>第四章  评审办法</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_Toc16632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21</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7692D01F">
          <w:pPr>
            <w:pStyle w:val="19"/>
            <w:tabs>
              <w:tab w:val="right" w:leader="dot" w:pos="9923"/>
            </w:tabs>
            <w:spacing w:line="312" w:lineRule="auto"/>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"_Toc7117" </w:instrText>
          </w:r>
          <w:r>
            <w:rPr>
              <w:color w:val="auto"/>
              <w:highlight w:val="none"/>
            </w:rPr>
            <w:fldChar w:fldCharType="separate"/>
          </w:r>
          <w:r>
            <w:rPr>
              <w:rFonts w:ascii="Arial" w:hAnsi="Arial" w:eastAsia="宋体" w:cs="Arial"/>
              <w:color w:val="auto"/>
              <w:sz w:val="28"/>
              <w:szCs w:val="28"/>
              <w:highlight w:val="none"/>
            </w:rPr>
            <w:t>第五章  采购合同（合同主要条款及格式）</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_Toc7117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22</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79473F94">
          <w:pPr>
            <w:pStyle w:val="19"/>
            <w:tabs>
              <w:tab w:val="right" w:leader="dot" w:pos="9923"/>
            </w:tabs>
            <w:spacing w:line="312" w:lineRule="auto"/>
            <w:rPr>
              <w:color w:val="auto"/>
              <w:highlight w:val="none"/>
            </w:rPr>
          </w:pPr>
          <w:r>
            <w:rPr>
              <w:color w:val="auto"/>
              <w:highlight w:val="none"/>
            </w:rPr>
            <w:fldChar w:fldCharType="begin"/>
          </w:r>
          <w:r>
            <w:rPr>
              <w:color w:val="auto"/>
              <w:highlight w:val="none"/>
            </w:rPr>
            <w:instrText xml:space="preserve"> HYPERLINK \l "_Toc15843" </w:instrText>
          </w:r>
          <w:r>
            <w:rPr>
              <w:color w:val="auto"/>
              <w:highlight w:val="none"/>
            </w:rPr>
            <w:fldChar w:fldCharType="separate"/>
          </w:r>
          <w:r>
            <w:rPr>
              <w:rFonts w:ascii="Arial" w:hAnsi="Arial" w:eastAsia="宋体" w:cs="Arial"/>
              <w:color w:val="auto"/>
              <w:sz w:val="28"/>
              <w:szCs w:val="28"/>
              <w:highlight w:val="none"/>
            </w:rPr>
            <w:t>第六章 响应文件（格式）</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_Toc15843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28</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409F5EAB">
          <w:pPr>
            <w:pStyle w:val="5"/>
            <w:spacing w:line="312" w:lineRule="auto"/>
            <w:rPr>
              <w:rFonts w:ascii="Arial" w:hAnsi="Arial" w:eastAsia="宋体" w:cs="Arial"/>
              <w:color w:val="auto"/>
              <w:highlight w:val="none"/>
            </w:rPr>
            <w:sectPr>
              <w:headerReference r:id="rId5" w:type="default"/>
              <w:footerReference r:id="rId6" w:type="default"/>
              <w:pgSz w:w="11906" w:h="16838"/>
              <w:pgMar w:top="1134" w:right="1669" w:bottom="1134" w:left="1417" w:header="720" w:footer="720" w:gutter="0"/>
              <w:pgNumType w:start="0"/>
              <w:cols w:space="720" w:num="1"/>
              <w:titlePg/>
              <w:docGrid w:type="linesAndChars" w:linePitch="331" w:charSpace="0"/>
            </w:sectPr>
          </w:pPr>
          <w:r>
            <w:rPr>
              <w:rFonts w:ascii="Arial" w:hAnsi="Arial" w:eastAsia="宋体" w:cs="Arial"/>
              <w:color w:val="auto"/>
              <w:szCs w:val="48"/>
              <w:highlight w:val="none"/>
            </w:rPr>
            <w:fldChar w:fldCharType="end"/>
          </w:r>
          <w:bookmarkStart w:id="66" w:name="_GoBack"/>
          <w:bookmarkEnd w:id="66"/>
        </w:p>
      </w:sdtContent>
    </w:sdt>
    <w:p w14:paraId="3CFFAE0C">
      <w:pPr>
        <w:pStyle w:val="2"/>
        <w:snapToGrid w:val="0"/>
        <w:spacing w:before="0" w:after="0" w:line="312" w:lineRule="auto"/>
        <w:jc w:val="center"/>
        <w:rPr>
          <w:color w:val="auto"/>
          <w:highlight w:val="none"/>
        </w:rPr>
      </w:pPr>
      <w:bookmarkStart w:id="0" w:name="_Toc25419"/>
      <w:bookmarkStart w:id="1" w:name="_Toc11589"/>
      <w:r>
        <w:rPr>
          <w:color w:val="auto"/>
          <w:highlight w:val="none"/>
        </w:rPr>
        <w:t>第一章 竞争性谈判</w:t>
      </w:r>
      <w:bookmarkEnd w:id="0"/>
      <w:r>
        <w:rPr>
          <w:color w:val="auto"/>
          <w:highlight w:val="none"/>
        </w:rPr>
        <w:t>公告</w:t>
      </w:r>
      <w:bookmarkEnd w:id="1"/>
    </w:p>
    <w:p w14:paraId="37C4D9BA">
      <w:pPr>
        <w:pBdr>
          <w:top w:val="single" w:color="auto" w:sz="4" w:space="1"/>
          <w:left w:val="single" w:color="auto" w:sz="4" w:space="4"/>
          <w:bottom w:val="single" w:color="auto" w:sz="4" w:space="1"/>
          <w:right w:val="single" w:color="auto" w:sz="4" w:space="4"/>
        </w:pBdr>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项目概况</w:t>
      </w:r>
    </w:p>
    <w:p w14:paraId="15E18678">
      <w:pPr>
        <w:pBdr>
          <w:top w:val="single" w:color="auto" w:sz="4" w:space="1"/>
          <w:left w:val="single" w:color="auto" w:sz="4" w:space="4"/>
          <w:bottom w:val="single" w:color="auto" w:sz="4" w:space="1"/>
          <w:right w:val="single" w:color="auto" w:sz="4" w:space="4"/>
        </w:pBdr>
        <w:spacing w:line="312" w:lineRule="auto"/>
        <w:ind w:firstLine="420" w:firstLineChars="200"/>
        <w:rPr>
          <w:rFonts w:ascii="Arial" w:hAnsi="Arial" w:eastAsia="宋体" w:cs="Arial"/>
          <w:color w:val="auto"/>
          <w:highlight w:val="none"/>
        </w:rPr>
      </w:pPr>
      <w:r>
        <w:rPr>
          <w:rFonts w:hint="eastAsia" w:ascii="Arial" w:hAnsi="Arial" w:eastAsia="宋体" w:cs="Arial"/>
          <w:bCs/>
          <w:color w:val="auto"/>
          <w:highlight w:val="none"/>
          <w:u w:val="single"/>
        </w:rPr>
        <w:t xml:space="preserve">桂林理工大学实训楼A座机房设备升级改造项目 </w:t>
      </w:r>
      <w:r>
        <w:rPr>
          <w:rFonts w:ascii="Arial" w:hAnsi="Arial" w:eastAsia="宋体" w:cs="Arial"/>
          <w:bCs/>
          <w:color w:val="auto"/>
          <w:highlight w:val="none"/>
          <w:u w:val="single"/>
        </w:rPr>
        <w:t>（项目编号：</w:t>
      </w:r>
      <w:r>
        <w:rPr>
          <w:rFonts w:hint="eastAsia" w:ascii="Arial" w:hAnsi="Arial" w:eastAsia="宋体" w:cs="Arial"/>
          <w:bCs/>
          <w:color w:val="auto"/>
          <w:highlight w:val="none"/>
          <w:u w:val="single"/>
          <w:lang w:eastAsia="zh-CN"/>
        </w:rPr>
        <w:t>GXJD-25114CC031016</w:t>
      </w:r>
      <w:r>
        <w:rPr>
          <w:rFonts w:ascii="Arial" w:hAnsi="Arial" w:eastAsia="宋体" w:cs="Arial"/>
          <w:bCs/>
          <w:color w:val="auto"/>
          <w:highlight w:val="none"/>
          <w:u w:val="single"/>
        </w:rPr>
        <w:t>）</w:t>
      </w:r>
      <w:r>
        <w:rPr>
          <w:rFonts w:ascii="Arial" w:hAnsi="Arial" w:eastAsia="宋体" w:cs="Arial"/>
          <w:color w:val="auto"/>
          <w:highlight w:val="none"/>
        </w:rPr>
        <w:t>的潜在供应商应登录中国招标投标公共服务平台网（www.cebpubservice.com），从网上下载竞争性谈判文件电子版，并于</w:t>
      </w:r>
      <w:r>
        <w:rPr>
          <w:rFonts w:hint="eastAsia" w:ascii="Arial" w:hAnsi="Arial" w:eastAsia="宋体" w:cs="Arial"/>
          <w:color w:val="auto"/>
          <w:highlight w:val="none"/>
          <w:u w:val="single"/>
        </w:rPr>
        <w:t>2025年</w:t>
      </w:r>
      <w:r>
        <w:rPr>
          <w:rFonts w:hint="eastAsia" w:ascii="Arial" w:hAnsi="Arial" w:eastAsia="宋体" w:cs="Arial"/>
          <w:color w:val="auto"/>
          <w:highlight w:val="none"/>
          <w:u w:val="single"/>
          <w:lang w:val="en-US" w:eastAsia="zh-CN"/>
        </w:rPr>
        <w:t>7</w:t>
      </w:r>
      <w:r>
        <w:rPr>
          <w:rFonts w:ascii="Arial" w:hAnsi="Arial" w:eastAsia="宋体" w:cs="Arial"/>
          <w:color w:val="auto"/>
          <w:highlight w:val="none"/>
          <w:u w:val="single"/>
        </w:rPr>
        <w:t>月</w:t>
      </w:r>
      <w:r>
        <w:rPr>
          <w:rFonts w:hint="eastAsia" w:ascii="Arial" w:hAnsi="Arial" w:eastAsia="宋体" w:cs="Arial"/>
          <w:color w:val="auto"/>
          <w:highlight w:val="none"/>
          <w:u w:val="single"/>
          <w:lang w:val="en-US" w:eastAsia="zh-CN"/>
        </w:rPr>
        <w:t>8</w:t>
      </w:r>
      <w:r>
        <w:rPr>
          <w:rFonts w:ascii="Arial" w:hAnsi="Arial" w:eastAsia="宋体" w:cs="Arial"/>
          <w:color w:val="auto"/>
          <w:highlight w:val="none"/>
          <w:u w:val="single"/>
        </w:rPr>
        <w:t>日</w:t>
      </w:r>
      <w:r>
        <w:rPr>
          <w:rFonts w:ascii="Arial" w:hAnsi="Arial" w:eastAsia="宋体" w:cs="Arial"/>
          <w:bCs/>
          <w:color w:val="auto"/>
          <w:highlight w:val="none"/>
          <w:u w:val="single"/>
        </w:rPr>
        <w:t>09：30</w:t>
      </w:r>
      <w:r>
        <w:rPr>
          <w:rFonts w:ascii="Arial" w:hAnsi="Arial" w:eastAsia="宋体" w:cs="Arial"/>
          <w:bCs/>
          <w:color w:val="auto"/>
          <w:highlight w:val="none"/>
        </w:rPr>
        <w:t>（北京时间）前提交响应文件</w:t>
      </w:r>
      <w:r>
        <w:rPr>
          <w:rFonts w:ascii="Arial" w:hAnsi="Arial" w:eastAsia="宋体" w:cs="Arial"/>
          <w:color w:val="auto"/>
          <w:highlight w:val="none"/>
        </w:rPr>
        <w:t>。</w:t>
      </w:r>
    </w:p>
    <w:p w14:paraId="07F07187">
      <w:pPr>
        <w:snapToGrid w:val="0"/>
        <w:spacing w:after="0"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一、项目基本情况</w:t>
      </w:r>
    </w:p>
    <w:p w14:paraId="2E4009E8">
      <w:pPr>
        <w:snapToGrid w:val="0"/>
        <w:spacing w:after="0" w:line="312" w:lineRule="auto"/>
        <w:ind w:firstLine="420" w:firstLineChars="200"/>
        <w:rPr>
          <w:rFonts w:hint="eastAsia" w:ascii="Arial" w:hAnsi="Arial" w:eastAsia="宋体" w:cs="Arial"/>
          <w:color w:val="auto"/>
          <w:szCs w:val="21"/>
          <w:highlight w:val="none"/>
          <w:lang w:eastAsia="zh-CN"/>
        </w:rPr>
      </w:pPr>
      <w:r>
        <w:rPr>
          <w:rFonts w:ascii="Arial" w:hAnsi="Arial" w:eastAsia="宋体" w:cs="Arial"/>
          <w:color w:val="auto"/>
          <w:highlight w:val="none"/>
        </w:rPr>
        <w:t>项目编号：</w:t>
      </w:r>
      <w:r>
        <w:rPr>
          <w:rFonts w:hint="eastAsia" w:ascii="Arial" w:hAnsi="Arial" w:eastAsia="宋体" w:cs="Arial"/>
          <w:color w:val="auto"/>
          <w:szCs w:val="21"/>
          <w:highlight w:val="none"/>
          <w:lang w:eastAsia="zh-CN"/>
        </w:rPr>
        <w:t>GXJD-25114CC031016</w:t>
      </w:r>
    </w:p>
    <w:p w14:paraId="69C8D628">
      <w:pPr>
        <w:snapToGrid w:val="0"/>
        <w:spacing w:after="0" w:line="312" w:lineRule="auto"/>
        <w:ind w:firstLine="420" w:firstLineChars="200"/>
        <w:rPr>
          <w:rFonts w:ascii="Arial" w:hAnsi="Arial" w:eastAsia="宋体" w:cs="Arial"/>
          <w:color w:val="auto"/>
          <w:highlight w:val="none"/>
          <w:u w:val="single"/>
        </w:rPr>
      </w:pPr>
      <w:r>
        <w:rPr>
          <w:rFonts w:ascii="Arial" w:hAnsi="Arial" w:eastAsia="宋体" w:cs="Arial"/>
          <w:color w:val="auto"/>
          <w:highlight w:val="none"/>
        </w:rPr>
        <w:t>项目名称：</w:t>
      </w:r>
      <w:r>
        <w:rPr>
          <w:rFonts w:hint="eastAsia" w:ascii="Arial" w:hAnsi="Arial" w:eastAsia="宋体" w:cs="Arial"/>
          <w:color w:val="auto"/>
          <w:highlight w:val="none"/>
        </w:rPr>
        <w:t xml:space="preserve">桂林理工大学实训楼A座机房设备升级改造项目 </w:t>
      </w:r>
    </w:p>
    <w:p w14:paraId="58CCA44E">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采购方式：竞争性谈判</w:t>
      </w:r>
    </w:p>
    <w:p w14:paraId="3DC83421">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采购预算金额：</w:t>
      </w:r>
      <w:r>
        <w:rPr>
          <w:rFonts w:hint="eastAsia" w:ascii="Arial" w:hAnsi="Arial" w:eastAsia="宋体" w:cs="Arial"/>
          <w:color w:val="auto"/>
          <w:highlight w:val="none"/>
        </w:rPr>
        <w:t>人民币玖拾肆万伍仟元整（¥ 945000.00）</w:t>
      </w:r>
    </w:p>
    <w:p w14:paraId="4484B021">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项目采购需求：</w:t>
      </w:r>
      <w:r>
        <w:rPr>
          <w:rFonts w:hint="eastAsia" w:ascii="Arial" w:hAnsi="Arial" w:eastAsia="宋体" w:cs="Arial"/>
          <w:color w:val="auto"/>
          <w:highlight w:val="none"/>
        </w:rPr>
        <w:t>核心交换机2台、本部校区态势感知系统维保1套、南宁分校态势感知系统维保1套</w:t>
      </w:r>
      <w:r>
        <w:rPr>
          <w:rFonts w:ascii="Arial" w:hAnsi="Arial" w:eastAsia="宋体" w:cs="Arial"/>
          <w:color w:val="auto"/>
          <w:szCs w:val="21"/>
          <w:highlight w:val="none"/>
        </w:rPr>
        <w:t>，</w:t>
      </w:r>
      <w:r>
        <w:rPr>
          <w:rFonts w:ascii="Arial" w:hAnsi="Arial" w:eastAsia="宋体" w:cs="Arial"/>
          <w:color w:val="auto"/>
          <w:highlight w:val="none"/>
        </w:rPr>
        <w:t>如需进一步了解，具体详见谈判文件。</w:t>
      </w:r>
    </w:p>
    <w:p w14:paraId="3165A92C">
      <w:pPr>
        <w:snapToGrid w:val="0"/>
        <w:spacing w:after="0"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二、供应商的资格条件：</w:t>
      </w:r>
    </w:p>
    <w:p w14:paraId="2417C5E4">
      <w:pPr>
        <w:snapToGrid w:val="0"/>
        <w:spacing w:after="0" w:line="312" w:lineRule="auto"/>
        <w:ind w:firstLine="420" w:firstLineChars="200"/>
        <w:rPr>
          <w:rFonts w:ascii="Arial" w:hAnsi="Arial" w:eastAsia="宋体" w:cs="Arial"/>
          <w:color w:val="auto"/>
          <w:highlight w:val="none"/>
        </w:rPr>
      </w:pPr>
      <w:bookmarkStart w:id="2" w:name="_Toc28359091"/>
      <w:bookmarkStart w:id="3" w:name="_Toc28359014"/>
      <w:r>
        <w:rPr>
          <w:rFonts w:ascii="Arial" w:hAnsi="Arial" w:eastAsia="宋体" w:cs="Arial"/>
          <w:color w:val="auto"/>
          <w:highlight w:val="none"/>
        </w:rPr>
        <w:t>1.符合《中华人民共和国政府采购法》第二十二条规定。</w:t>
      </w:r>
    </w:p>
    <w:p w14:paraId="3F0F8B8D">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2.供应商的特定资格要求：</w:t>
      </w:r>
      <w:r>
        <w:rPr>
          <w:rFonts w:hint="eastAsia" w:ascii="Arial" w:hAnsi="Arial" w:eastAsia="宋体" w:cs="Arial"/>
          <w:b/>
          <w:bCs/>
          <w:color w:val="auto"/>
          <w:highlight w:val="none"/>
        </w:rPr>
        <w:t>本项目非专门面向中小微企业采购</w:t>
      </w:r>
      <w:r>
        <w:rPr>
          <w:rFonts w:ascii="Arial" w:hAnsi="Arial" w:eastAsia="宋体" w:cs="Arial"/>
          <w:b/>
          <w:bCs/>
          <w:color w:val="auto"/>
          <w:highlight w:val="none"/>
        </w:rPr>
        <w:t>。</w:t>
      </w:r>
    </w:p>
    <w:p w14:paraId="52698440">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3.单位负责人为同一人或者存在直接控股、管理关系的不同供应商，不得参加同一合同项下的采购活动。为本项目提供过整体设计、规范编制或者项目管理、监理、检测等服务的供应商，不得再参加本项目上述服务以外的其他采购活动。</w:t>
      </w:r>
    </w:p>
    <w:p w14:paraId="350377E6">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14:paraId="611B7491">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5.本项目不接受联合体参与谈判。</w:t>
      </w:r>
    </w:p>
    <w:bookmarkEnd w:id="2"/>
    <w:bookmarkEnd w:id="3"/>
    <w:p w14:paraId="7553B97C">
      <w:pPr>
        <w:snapToGrid w:val="0"/>
        <w:spacing w:after="0"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三、获取采购文件</w:t>
      </w:r>
    </w:p>
    <w:p w14:paraId="27FFCFF2">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获取竞争性谈判文件方式：潜在供应商登陆中国招标投标公共服务平台网（www.cebpubservice.com），从网上下载竞争性谈判文件电子版；并根据竞争性谈判文件规定的响应文件递交截止时间和地点直接提交响应文件参与谈判。</w:t>
      </w:r>
    </w:p>
    <w:p w14:paraId="1BD9412C">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售价(元)：0元。</w:t>
      </w:r>
    </w:p>
    <w:p w14:paraId="78A5E8AF">
      <w:pPr>
        <w:snapToGrid w:val="0"/>
        <w:spacing w:after="0"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四、谈判保证金的金额（人民币）：</w:t>
      </w:r>
      <w:r>
        <w:rPr>
          <w:rFonts w:hint="eastAsia" w:ascii="Arial" w:hAnsi="Arial" w:eastAsia="宋体" w:cs="Arial"/>
          <w:b/>
          <w:bCs/>
          <w:color w:val="auto"/>
          <w:szCs w:val="21"/>
          <w:highlight w:val="none"/>
        </w:rPr>
        <w:t>玖仟元整（¥9000.00）</w:t>
      </w:r>
      <w:r>
        <w:rPr>
          <w:rFonts w:ascii="Arial" w:hAnsi="Arial" w:eastAsia="宋体" w:cs="Arial"/>
          <w:b/>
          <w:bCs/>
          <w:color w:val="auto"/>
          <w:szCs w:val="21"/>
          <w:highlight w:val="none"/>
        </w:rPr>
        <w:t>；（须足额缴纳）</w:t>
      </w:r>
    </w:p>
    <w:p w14:paraId="0FDC6828">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供应商应于截标时间前将谈判保证金以电汇、转账形式从供应商账户一次性足额交纳至以下账号。本项目谈判保证金交纳账号信息如下：</w:t>
      </w:r>
    </w:p>
    <w:p w14:paraId="15946D46">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开户银行：</w:t>
      </w:r>
      <w:r>
        <w:rPr>
          <w:rFonts w:hint="eastAsia" w:ascii="Arial" w:hAnsi="Arial" w:eastAsia="宋体" w:cs="Arial"/>
          <w:color w:val="auto"/>
          <w:highlight w:val="none"/>
        </w:rPr>
        <w:t>平安银行南宁分行营业部</w:t>
      </w:r>
    </w:p>
    <w:p w14:paraId="7A30C661">
      <w:pPr>
        <w:snapToGrid w:val="0"/>
        <w:spacing w:after="0" w:line="312" w:lineRule="auto"/>
        <w:ind w:firstLine="420" w:firstLineChars="200"/>
        <w:rPr>
          <w:rFonts w:hint="eastAsia" w:ascii="Arial" w:hAnsi="Arial" w:eastAsia="宋体" w:cs="Arial"/>
          <w:color w:val="auto"/>
          <w:highlight w:val="none"/>
          <w:lang w:eastAsia="zh-CN"/>
        </w:rPr>
      </w:pPr>
      <w:r>
        <w:rPr>
          <w:rFonts w:ascii="Arial" w:hAnsi="Arial" w:eastAsia="宋体" w:cs="Arial"/>
          <w:color w:val="auto"/>
          <w:highlight w:val="none"/>
        </w:rPr>
        <w:t>开户名称：</w:t>
      </w:r>
      <w:r>
        <w:rPr>
          <w:rFonts w:hint="eastAsia" w:ascii="Arial" w:hAnsi="Arial" w:eastAsia="宋体" w:cs="Arial"/>
          <w:color w:val="auto"/>
          <w:highlight w:val="none"/>
          <w:lang w:eastAsia="zh-CN"/>
        </w:rPr>
        <w:t>广西机电设备招标有限公司</w:t>
      </w:r>
    </w:p>
    <w:p w14:paraId="3C378108">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开户账户：</w:t>
      </w:r>
      <w:r>
        <w:rPr>
          <w:rFonts w:hint="eastAsia" w:ascii="Arial" w:hAnsi="Arial" w:eastAsia="宋体" w:cs="Arial"/>
          <w:color w:val="auto"/>
          <w:highlight w:val="none"/>
        </w:rPr>
        <w:t>30210485072328</w:t>
      </w:r>
    </w:p>
    <w:p w14:paraId="385DEB3F">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特别说明：本项目保证金退还时将采用原路返回的方式，因此本项目不接受现金、支付宝、微信等第三方支付形式递交的保证金。凡未在规定时间内足额交纳或以其它方式交纳的谈判保证金均视为无效，其响应文件一律作无效处理。</w:t>
      </w:r>
    </w:p>
    <w:p w14:paraId="0616937A">
      <w:pPr>
        <w:snapToGrid w:val="0"/>
        <w:spacing w:after="0"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五、响应文件提交</w:t>
      </w:r>
    </w:p>
    <w:p w14:paraId="2B245CA7">
      <w:pPr>
        <w:adjustRightInd w:val="0"/>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首次响应文件提交截止时间：</w:t>
      </w:r>
      <w:r>
        <w:rPr>
          <w:rFonts w:hint="eastAsia" w:ascii="Arial" w:hAnsi="Arial" w:eastAsia="宋体" w:cs="Arial"/>
          <w:color w:val="auto"/>
          <w:szCs w:val="21"/>
          <w:highlight w:val="none"/>
        </w:rPr>
        <w:t>2025年</w:t>
      </w:r>
      <w:r>
        <w:rPr>
          <w:rFonts w:hint="eastAsia" w:ascii="Arial" w:hAnsi="Arial" w:eastAsia="宋体" w:cs="Arial"/>
          <w:color w:val="auto"/>
          <w:szCs w:val="21"/>
          <w:highlight w:val="none"/>
          <w:lang w:eastAsia="zh-CN"/>
        </w:rPr>
        <w:t>7月8日</w:t>
      </w:r>
      <w:r>
        <w:rPr>
          <w:rFonts w:ascii="Arial" w:hAnsi="Arial" w:eastAsia="宋体" w:cs="Arial"/>
          <w:bCs/>
          <w:color w:val="auto"/>
          <w:szCs w:val="21"/>
          <w:highlight w:val="none"/>
        </w:rPr>
        <w:t>上午9时30分</w:t>
      </w:r>
    </w:p>
    <w:p w14:paraId="2D034863">
      <w:pPr>
        <w:adjustRightInd w:val="0"/>
        <w:snapToGrid w:val="0"/>
        <w:spacing w:after="0" w:line="312" w:lineRule="auto"/>
        <w:ind w:firstLine="420" w:firstLineChars="200"/>
        <w:rPr>
          <w:rFonts w:ascii="Arial" w:hAnsi="Arial" w:eastAsia="宋体" w:cs="Arial"/>
          <w:bCs/>
          <w:color w:val="auto"/>
          <w:szCs w:val="21"/>
          <w:highlight w:val="none"/>
        </w:rPr>
      </w:pPr>
      <w:r>
        <w:rPr>
          <w:rFonts w:ascii="Arial" w:hAnsi="Arial" w:eastAsia="宋体" w:cs="Arial"/>
          <w:bCs/>
          <w:color w:val="auto"/>
          <w:szCs w:val="21"/>
          <w:highlight w:val="none"/>
        </w:rPr>
        <w:t>首次响应文件提交起止时间：</w:t>
      </w:r>
      <w:r>
        <w:rPr>
          <w:rFonts w:hint="eastAsia" w:ascii="Arial" w:hAnsi="Arial" w:eastAsia="宋体" w:cs="Arial"/>
          <w:color w:val="auto"/>
          <w:szCs w:val="21"/>
          <w:highlight w:val="none"/>
        </w:rPr>
        <w:t>2025年</w:t>
      </w:r>
      <w:r>
        <w:rPr>
          <w:rFonts w:hint="eastAsia" w:ascii="Arial" w:hAnsi="Arial" w:eastAsia="宋体" w:cs="Arial"/>
          <w:color w:val="auto"/>
          <w:szCs w:val="21"/>
          <w:highlight w:val="none"/>
          <w:lang w:eastAsia="zh-CN"/>
        </w:rPr>
        <w:t>7月8日</w:t>
      </w:r>
      <w:r>
        <w:rPr>
          <w:rFonts w:ascii="Arial" w:hAnsi="Arial" w:eastAsia="宋体" w:cs="Arial"/>
          <w:bCs/>
          <w:color w:val="auto"/>
          <w:szCs w:val="21"/>
          <w:highlight w:val="none"/>
        </w:rPr>
        <w:t>上午8时30分起至9时30分止</w:t>
      </w:r>
    </w:p>
    <w:p w14:paraId="71FCD002">
      <w:pPr>
        <w:adjustRightInd w:val="0"/>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首次响应文件提交地点：</w:t>
      </w:r>
      <w:r>
        <w:rPr>
          <w:rFonts w:hint="eastAsia" w:ascii="Arial" w:hAnsi="Arial" w:eastAsia="宋体" w:cs="Arial"/>
          <w:color w:val="auto"/>
          <w:szCs w:val="21"/>
          <w:highlight w:val="none"/>
        </w:rPr>
        <w:t>广西机电设备招标有限公司桂林分公司</w:t>
      </w:r>
      <w:r>
        <w:rPr>
          <w:rFonts w:hint="eastAsia" w:ascii="Arial" w:hAnsi="Arial" w:eastAsia="宋体" w:cs="Arial"/>
          <w:color w:val="auto"/>
          <w:szCs w:val="21"/>
          <w:highlight w:val="none"/>
          <w:lang w:val="en-US" w:eastAsia="zh-CN"/>
        </w:rPr>
        <w:t>开标室</w:t>
      </w:r>
    </w:p>
    <w:p w14:paraId="0AC4D8F6">
      <w:pPr>
        <w:adjustRightInd w:val="0"/>
        <w:snapToGrid w:val="0"/>
        <w:spacing w:after="0" w:line="312" w:lineRule="auto"/>
        <w:ind w:firstLine="420" w:firstLineChars="200"/>
        <w:rPr>
          <w:rFonts w:ascii="Arial" w:hAnsi="Arial" w:eastAsia="宋体" w:cs="Arial"/>
          <w:bCs/>
          <w:color w:val="auto"/>
          <w:szCs w:val="21"/>
          <w:highlight w:val="none"/>
        </w:rPr>
      </w:pPr>
      <w:r>
        <w:rPr>
          <w:rFonts w:ascii="Arial" w:hAnsi="Arial" w:eastAsia="宋体" w:cs="Arial"/>
          <w:bCs/>
          <w:color w:val="auto"/>
          <w:szCs w:val="21"/>
          <w:highlight w:val="none"/>
        </w:rPr>
        <w:t>注：供应商应当在首次响应文件提交截止时间前，</w:t>
      </w:r>
      <w:r>
        <w:rPr>
          <w:rFonts w:ascii="Arial" w:hAnsi="Arial" w:eastAsia="宋体" w:cs="Arial"/>
          <w:b/>
          <w:color w:val="auto"/>
          <w:szCs w:val="21"/>
          <w:highlight w:val="none"/>
        </w:rPr>
        <w:t>授权代表</w:t>
      </w:r>
      <w:r>
        <w:rPr>
          <w:rFonts w:ascii="Arial" w:hAnsi="Arial" w:eastAsia="宋体" w:cs="Arial"/>
          <w:b/>
          <w:bCs/>
          <w:color w:val="auto"/>
          <w:kern w:val="0"/>
          <w:szCs w:val="21"/>
          <w:highlight w:val="none"/>
        </w:rPr>
        <w:t>携带授权委托书及身份证原件（法定代表人携带法定代表人身份证原件与法定代表人身份证明原件）</w:t>
      </w:r>
      <w:r>
        <w:rPr>
          <w:rFonts w:ascii="Arial" w:hAnsi="Arial" w:eastAsia="宋体" w:cs="Arial"/>
          <w:bCs/>
          <w:color w:val="auto"/>
          <w:szCs w:val="21"/>
          <w:highlight w:val="none"/>
        </w:rPr>
        <w:t>将响应文件密封送达首次响应文件提交地点。在首次响应文件提交截止时间后送达的响应文件为无效文件，采购代理机构应当拒收。</w:t>
      </w:r>
    </w:p>
    <w:p w14:paraId="3CC40F23">
      <w:pPr>
        <w:adjustRightInd w:val="0"/>
        <w:snapToGrid w:val="0"/>
        <w:spacing w:after="0" w:line="312" w:lineRule="auto"/>
        <w:ind w:firstLine="422" w:firstLineChars="200"/>
        <w:rPr>
          <w:rFonts w:ascii="Arial" w:hAnsi="Arial" w:eastAsia="宋体" w:cs="Arial"/>
          <w:b/>
          <w:bCs/>
          <w:color w:val="auto"/>
          <w:szCs w:val="21"/>
          <w:highlight w:val="none"/>
        </w:rPr>
      </w:pPr>
      <w:bookmarkStart w:id="4" w:name="_Toc28359093"/>
      <w:bookmarkStart w:id="5" w:name="_Toc28359016"/>
      <w:bookmarkStart w:id="6" w:name="_Toc35393802"/>
      <w:bookmarkStart w:id="7" w:name="_Toc35393633"/>
      <w:r>
        <w:rPr>
          <w:rFonts w:ascii="Arial" w:hAnsi="Arial" w:eastAsia="宋体" w:cs="Arial"/>
          <w:b/>
          <w:bCs/>
          <w:color w:val="auto"/>
          <w:szCs w:val="21"/>
          <w:highlight w:val="none"/>
        </w:rPr>
        <w:t>六、</w:t>
      </w:r>
      <w:bookmarkEnd w:id="4"/>
      <w:bookmarkEnd w:id="5"/>
      <w:bookmarkEnd w:id="6"/>
      <w:bookmarkEnd w:id="7"/>
      <w:r>
        <w:rPr>
          <w:rFonts w:ascii="Arial" w:hAnsi="Arial" w:eastAsia="宋体" w:cs="Arial"/>
          <w:b/>
          <w:bCs/>
          <w:color w:val="auto"/>
          <w:szCs w:val="21"/>
          <w:highlight w:val="none"/>
        </w:rPr>
        <w:t>响应文件开启时间、谈判时间及地点</w:t>
      </w:r>
    </w:p>
    <w:p w14:paraId="48858D47">
      <w:pPr>
        <w:adjustRightInd w:val="0"/>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bCs/>
          <w:color w:val="auto"/>
          <w:szCs w:val="21"/>
          <w:highlight w:val="none"/>
        </w:rPr>
        <w:t>响应文件开启时间</w:t>
      </w:r>
      <w:r>
        <w:rPr>
          <w:rFonts w:ascii="Arial" w:hAnsi="Arial" w:eastAsia="宋体" w:cs="Arial"/>
          <w:color w:val="auto"/>
          <w:szCs w:val="21"/>
          <w:highlight w:val="none"/>
        </w:rPr>
        <w:t>：首次响应文件提交截止时间后</w:t>
      </w:r>
    </w:p>
    <w:p w14:paraId="4689B549">
      <w:pPr>
        <w:adjustRightInd w:val="0"/>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bCs/>
          <w:color w:val="auto"/>
          <w:szCs w:val="21"/>
          <w:highlight w:val="none"/>
        </w:rPr>
        <w:t>谈判时间：</w:t>
      </w:r>
      <w:r>
        <w:rPr>
          <w:rFonts w:ascii="Arial" w:hAnsi="Arial" w:eastAsia="宋体" w:cs="Arial"/>
          <w:color w:val="auto"/>
          <w:szCs w:val="21"/>
          <w:highlight w:val="none"/>
        </w:rPr>
        <w:t>首次响应文件提交截止时间后（具体时间由采购代理机构另行通知）</w:t>
      </w:r>
    </w:p>
    <w:p w14:paraId="2BFC78DA">
      <w:pPr>
        <w:adjustRightInd w:val="0"/>
        <w:snapToGrid w:val="0"/>
        <w:spacing w:after="0" w:line="312" w:lineRule="auto"/>
        <w:ind w:firstLine="420" w:firstLineChars="200"/>
        <w:rPr>
          <w:rFonts w:ascii="Arial" w:hAnsi="Arial" w:eastAsia="宋体" w:cs="Arial"/>
          <w:bCs/>
          <w:color w:val="auto"/>
          <w:szCs w:val="21"/>
          <w:highlight w:val="none"/>
        </w:rPr>
      </w:pPr>
      <w:r>
        <w:rPr>
          <w:rFonts w:ascii="Arial" w:hAnsi="Arial" w:eastAsia="宋体" w:cs="Arial"/>
          <w:color w:val="auto"/>
          <w:szCs w:val="21"/>
          <w:highlight w:val="none"/>
        </w:rPr>
        <w:t>地点：</w:t>
      </w:r>
      <w:r>
        <w:rPr>
          <w:rFonts w:hint="eastAsia" w:ascii="Arial" w:hAnsi="Arial" w:eastAsia="宋体" w:cs="Arial"/>
          <w:color w:val="auto"/>
          <w:szCs w:val="21"/>
          <w:highlight w:val="none"/>
        </w:rPr>
        <w:t>广西机电设备招标有限公司桂林分公司评标室</w:t>
      </w:r>
    </w:p>
    <w:p w14:paraId="0FB51A0A">
      <w:pPr>
        <w:adjustRightInd w:val="0"/>
        <w:snapToGrid w:val="0"/>
        <w:spacing w:after="0" w:line="312" w:lineRule="auto"/>
        <w:ind w:firstLine="422" w:firstLineChars="200"/>
        <w:rPr>
          <w:rFonts w:ascii="Arial" w:hAnsi="Arial" w:eastAsia="宋体" w:cs="Arial"/>
          <w:b/>
          <w:bCs/>
          <w:color w:val="auto"/>
          <w:szCs w:val="21"/>
          <w:highlight w:val="none"/>
        </w:rPr>
      </w:pPr>
      <w:bookmarkStart w:id="8" w:name="_Toc28359094"/>
      <w:bookmarkStart w:id="9" w:name="_Toc35393803"/>
      <w:bookmarkStart w:id="10" w:name="_Toc35393634"/>
      <w:bookmarkStart w:id="11" w:name="_Toc28359017"/>
      <w:r>
        <w:rPr>
          <w:rFonts w:ascii="Arial" w:hAnsi="Arial" w:eastAsia="宋体" w:cs="Arial"/>
          <w:b/>
          <w:bCs/>
          <w:color w:val="auto"/>
          <w:szCs w:val="21"/>
          <w:highlight w:val="none"/>
        </w:rPr>
        <w:t>七、公告期限</w:t>
      </w:r>
      <w:bookmarkEnd w:id="8"/>
      <w:bookmarkEnd w:id="9"/>
      <w:bookmarkEnd w:id="10"/>
      <w:bookmarkEnd w:id="11"/>
    </w:p>
    <w:p w14:paraId="31B4B91E">
      <w:pPr>
        <w:adjustRightInd w:val="0"/>
        <w:snapToGrid w:val="0"/>
        <w:spacing w:after="0" w:line="312" w:lineRule="auto"/>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自本公告发布之日起3个工作日。</w:t>
      </w:r>
    </w:p>
    <w:p w14:paraId="7D2E724F">
      <w:pPr>
        <w:adjustRightInd w:val="0"/>
        <w:snapToGrid w:val="0"/>
        <w:spacing w:after="0"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八、其他补充事宜</w:t>
      </w:r>
    </w:p>
    <w:p w14:paraId="79E44CA9">
      <w:pPr>
        <w:tabs>
          <w:tab w:val="left" w:pos="410"/>
        </w:tabs>
        <w:snapToGrid w:val="0"/>
        <w:spacing w:after="0" w:line="312" w:lineRule="auto"/>
        <w:ind w:firstLine="420" w:firstLineChars="200"/>
        <w:rPr>
          <w:rFonts w:ascii="Arial" w:hAnsi="Arial" w:eastAsia="宋体" w:cs="Arial"/>
          <w:color w:val="auto"/>
          <w:kern w:val="0"/>
          <w:szCs w:val="21"/>
          <w:highlight w:val="none"/>
        </w:rPr>
      </w:pPr>
      <w:bookmarkStart w:id="12" w:name="_Toc35393636"/>
      <w:bookmarkStart w:id="13" w:name="_Toc28359018"/>
      <w:bookmarkStart w:id="14" w:name="_Toc35393805"/>
      <w:bookmarkStart w:id="15" w:name="_Toc28359095"/>
      <w:r>
        <w:rPr>
          <w:rFonts w:ascii="Arial" w:hAnsi="Arial" w:eastAsia="宋体" w:cs="Arial"/>
          <w:color w:val="auto"/>
          <w:kern w:val="0"/>
          <w:szCs w:val="21"/>
          <w:highlight w:val="none"/>
        </w:rPr>
        <w:t>公告媒体：中国招标投标公共服务平台（http://www.cebpubservice.com/）。</w:t>
      </w:r>
    </w:p>
    <w:p w14:paraId="465DFB49">
      <w:pPr>
        <w:adjustRightInd w:val="0"/>
        <w:snapToGrid w:val="0"/>
        <w:spacing w:after="0"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九、凡对本次采购提出询问，请按以下方式联系</w:t>
      </w:r>
      <w:bookmarkEnd w:id="12"/>
      <w:bookmarkEnd w:id="13"/>
      <w:bookmarkEnd w:id="14"/>
      <w:bookmarkEnd w:id="15"/>
      <w:r>
        <w:rPr>
          <w:rFonts w:ascii="Arial" w:hAnsi="Arial" w:eastAsia="宋体" w:cs="Arial"/>
          <w:b/>
          <w:bCs/>
          <w:color w:val="auto"/>
          <w:szCs w:val="21"/>
          <w:highlight w:val="none"/>
        </w:rPr>
        <w:t>：</w:t>
      </w:r>
    </w:p>
    <w:p w14:paraId="1E7DFE28">
      <w:pPr>
        <w:adjustRightInd w:val="0"/>
        <w:snapToGrid w:val="0"/>
        <w:spacing w:after="0" w:line="312" w:lineRule="auto"/>
        <w:ind w:firstLine="420" w:firstLineChars="200"/>
        <w:rPr>
          <w:rFonts w:ascii="Arial" w:hAnsi="Arial" w:eastAsia="宋体" w:cs="Arial"/>
          <w:color w:val="auto"/>
          <w:szCs w:val="21"/>
          <w:highlight w:val="none"/>
        </w:rPr>
      </w:pPr>
      <w:bookmarkStart w:id="16" w:name="_Toc35393637"/>
      <w:bookmarkStart w:id="17" w:name="_Toc28359096"/>
      <w:bookmarkStart w:id="18" w:name="_Toc35393806"/>
      <w:bookmarkStart w:id="19" w:name="_Toc28359019"/>
      <w:r>
        <w:rPr>
          <w:rFonts w:ascii="Arial" w:hAnsi="Arial" w:eastAsia="宋体" w:cs="Arial"/>
          <w:color w:val="auto"/>
          <w:szCs w:val="21"/>
          <w:highlight w:val="none"/>
        </w:rPr>
        <w:t>1.采购人信息</w:t>
      </w:r>
      <w:bookmarkEnd w:id="16"/>
      <w:bookmarkEnd w:id="17"/>
      <w:bookmarkEnd w:id="18"/>
      <w:bookmarkEnd w:id="19"/>
    </w:p>
    <w:p w14:paraId="628C07D1">
      <w:pPr>
        <w:adjustRightInd w:val="0"/>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名称：桂林理工大学</w:t>
      </w:r>
    </w:p>
    <w:p w14:paraId="3114BB1D">
      <w:pPr>
        <w:adjustRightInd w:val="0"/>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地址：广西桂林市建干路12号</w:t>
      </w:r>
    </w:p>
    <w:p w14:paraId="035B0761">
      <w:pPr>
        <w:adjustRightInd w:val="0"/>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联系方式：0773-5895090</w:t>
      </w:r>
    </w:p>
    <w:p w14:paraId="5636BE6C">
      <w:pPr>
        <w:adjustRightInd w:val="0"/>
        <w:snapToGrid w:val="0"/>
        <w:spacing w:after="0" w:line="312" w:lineRule="auto"/>
        <w:ind w:firstLine="420" w:firstLineChars="200"/>
        <w:rPr>
          <w:rFonts w:ascii="Arial" w:hAnsi="Arial" w:eastAsia="宋体" w:cs="Arial"/>
          <w:color w:val="auto"/>
          <w:szCs w:val="21"/>
          <w:highlight w:val="none"/>
        </w:rPr>
      </w:pPr>
      <w:bookmarkStart w:id="20" w:name="_Toc35393638"/>
      <w:bookmarkStart w:id="21" w:name="_Toc28359020"/>
      <w:bookmarkStart w:id="22" w:name="_Toc28359097"/>
      <w:bookmarkStart w:id="23" w:name="_Toc35393807"/>
      <w:r>
        <w:rPr>
          <w:rFonts w:ascii="Arial" w:hAnsi="Arial" w:eastAsia="宋体" w:cs="Arial"/>
          <w:color w:val="auto"/>
          <w:szCs w:val="21"/>
          <w:highlight w:val="none"/>
        </w:rPr>
        <w:t>2.采购代理机构信息</w:t>
      </w:r>
      <w:bookmarkEnd w:id="20"/>
      <w:bookmarkEnd w:id="21"/>
      <w:bookmarkEnd w:id="22"/>
      <w:bookmarkEnd w:id="23"/>
    </w:p>
    <w:p w14:paraId="5ECDF8F1">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hint="eastAsia" w:ascii="Arial" w:hAnsi="Arial" w:eastAsia="宋体" w:cs="Arial"/>
          <w:color w:val="auto"/>
          <w:highlight w:val="none"/>
        </w:rPr>
      </w:pPr>
      <w:r>
        <w:rPr>
          <w:rFonts w:hint="eastAsia" w:ascii="Arial" w:hAnsi="Arial" w:eastAsia="宋体" w:cs="Arial"/>
          <w:color w:val="auto"/>
          <w:highlight w:val="none"/>
        </w:rPr>
        <w:t>名称：广西机电设备招标有限公司</w:t>
      </w:r>
    </w:p>
    <w:p w14:paraId="44376422">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hint="eastAsia" w:ascii="Arial" w:hAnsi="Arial" w:eastAsia="宋体" w:cs="Arial"/>
          <w:color w:val="auto"/>
          <w:highlight w:val="none"/>
        </w:rPr>
      </w:pPr>
      <w:r>
        <w:rPr>
          <w:rFonts w:hint="eastAsia" w:ascii="Arial" w:hAnsi="Arial" w:eastAsia="宋体" w:cs="Arial"/>
          <w:color w:val="auto"/>
          <w:highlight w:val="none"/>
        </w:rPr>
        <w:t>地址：桂林市骖鸾路31号湘商大厦6楼603（桂林分公司）</w:t>
      </w:r>
    </w:p>
    <w:p w14:paraId="51BF0895">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hint="eastAsia" w:ascii="Arial" w:hAnsi="Arial" w:eastAsia="宋体" w:cs="Arial"/>
          <w:color w:val="auto"/>
          <w:highlight w:val="none"/>
        </w:rPr>
      </w:pPr>
      <w:r>
        <w:rPr>
          <w:rFonts w:hint="eastAsia" w:ascii="Arial" w:hAnsi="Arial" w:eastAsia="宋体" w:cs="Arial"/>
          <w:color w:val="auto"/>
          <w:highlight w:val="none"/>
        </w:rPr>
        <w:t>项目联系人：曾昭卉</w:t>
      </w:r>
    </w:p>
    <w:p w14:paraId="51DFAA58">
      <w:pPr>
        <w:adjustRightInd w:val="0"/>
        <w:snapToGrid w:val="0"/>
        <w:spacing w:after="0" w:line="312" w:lineRule="auto"/>
        <w:ind w:firstLine="420" w:firstLineChars="200"/>
        <w:rPr>
          <w:rFonts w:hint="eastAsia" w:ascii="Arial" w:hAnsi="Arial" w:eastAsia="宋体" w:cs="Arial"/>
          <w:color w:val="auto"/>
          <w:szCs w:val="21"/>
          <w:highlight w:val="none"/>
          <w:lang w:eastAsia="zh-CN"/>
        </w:rPr>
      </w:pPr>
      <w:r>
        <w:rPr>
          <w:rFonts w:hint="eastAsia" w:ascii="Arial" w:hAnsi="Arial" w:eastAsia="宋体" w:cs="Arial"/>
          <w:color w:val="auto"/>
          <w:highlight w:val="none"/>
        </w:rPr>
        <w:t>联系方式：0773-3696789转</w:t>
      </w:r>
      <w:r>
        <w:rPr>
          <w:rFonts w:hint="eastAsia" w:ascii="Arial" w:hAnsi="Arial" w:eastAsia="宋体" w:cs="Arial"/>
          <w:color w:val="auto"/>
          <w:highlight w:val="none"/>
          <w:lang w:val="en-US" w:eastAsia="zh-CN"/>
        </w:rPr>
        <w:t>2</w:t>
      </w:r>
    </w:p>
    <w:p w14:paraId="0C96D507">
      <w:pPr>
        <w:adjustRightInd w:val="0"/>
        <w:snapToGrid w:val="0"/>
        <w:spacing w:after="0" w:line="312" w:lineRule="auto"/>
        <w:jc w:val="right"/>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eastAsia="zh-CN"/>
        </w:rPr>
        <w:t>广西机电设备招标有限公司</w:t>
      </w:r>
    </w:p>
    <w:p w14:paraId="4FAF1F16">
      <w:pPr>
        <w:adjustRightInd w:val="0"/>
        <w:snapToGrid w:val="0"/>
        <w:spacing w:after="0" w:line="312" w:lineRule="auto"/>
        <w:jc w:val="right"/>
        <w:rPr>
          <w:rFonts w:ascii="Arial" w:hAnsi="Arial" w:eastAsia="宋体" w:cs="Arial"/>
          <w:color w:val="auto"/>
          <w:szCs w:val="21"/>
          <w:highlight w:val="none"/>
        </w:rPr>
        <w:sectPr>
          <w:footerReference r:id="rId8" w:type="first"/>
          <w:footerReference r:id="rId7" w:type="default"/>
          <w:pgSz w:w="11906" w:h="16838"/>
          <w:pgMar w:top="1417" w:right="1417" w:bottom="1417" w:left="1417" w:header="680" w:footer="907" w:gutter="0"/>
          <w:pgNumType w:start="1"/>
          <w:cols w:space="720" w:num="1"/>
          <w:titlePg/>
          <w:docGrid w:linePitch="271" w:charSpace="0"/>
        </w:sectPr>
      </w:pPr>
      <w:r>
        <w:rPr>
          <w:rFonts w:hint="eastAsia" w:ascii="Arial" w:hAnsi="Arial" w:eastAsia="宋体" w:cs="Arial"/>
          <w:color w:val="auto"/>
          <w:szCs w:val="21"/>
          <w:highlight w:val="none"/>
        </w:rPr>
        <w:t>2025年</w:t>
      </w:r>
      <w:r>
        <w:rPr>
          <w:rFonts w:hint="eastAsia" w:ascii="Arial" w:hAnsi="Arial" w:eastAsia="宋体" w:cs="Arial"/>
          <w:color w:val="auto"/>
          <w:szCs w:val="21"/>
          <w:highlight w:val="none"/>
          <w:lang w:val="en-US" w:eastAsia="zh-CN"/>
        </w:rPr>
        <w:t>7</w:t>
      </w:r>
      <w:r>
        <w:rPr>
          <w:rFonts w:ascii="Arial" w:hAnsi="Arial" w:eastAsia="宋体" w:cs="Arial"/>
          <w:color w:val="auto"/>
          <w:szCs w:val="21"/>
          <w:highlight w:val="none"/>
        </w:rPr>
        <w:t>月</w:t>
      </w:r>
      <w:r>
        <w:rPr>
          <w:rFonts w:hint="eastAsia" w:ascii="Arial" w:hAnsi="Arial" w:eastAsia="宋体" w:cs="Arial"/>
          <w:color w:val="auto"/>
          <w:szCs w:val="21"/>
          <w:highlight w:val="none"/>
          <w:lang w:val="en-US" w:eastAsia="zh-CN"/>
        </w:rPr>
        <w:t>2</w:t>
      </w:r>
      <w:r>
        <w:rPr>
          <w:rFonts w:ascii="Arial" w:hAnsi="Arial" w:eastAsia="宋体" w:cs="Arial"/>
          <w:color w:val="auto"/>
          <w:szCs w:val="21"/>
          <w:highlight w:val="none"/>
        </w:rPr>
        <w:t>日</w:t>
      </w:r>
    </w:p>
    <w:p w14:paraId="0C487CD7">
      <w:pPr>
        <w:pStyle w:val="2"/>
        <w:spacing w:line="312" w:lineRule="auto"/>
        <w:ind w:left="1080" w:hanging="1080"/>
        <w:jc w:val="center"/>
        <w:rPr>
          <w:rFonts w:ascii="Arial" w:hAnsi="Arial" w:eastAsia="宋体" w:cs="Arial"/>
          <w:color w:val="auto"/>
          <w:sz w:val="32"/>
          <w:szCs w:val="32"/>
          <w:highlight w:val="none"/>
        </w:rPr>
      </w:pPr>
      <w:bookmarkStart w:id="24" w:name="_Toc20458"/>
      <w:bookmarkStart w:id="25" w:name="_Toc10921"/>
      <w:r>
        <w:rPr>
          <w:rFonts w:ascii="Arial" w:hAnsi="Arial" w:eastAsia="宋体" w:cs="Arial"/>
          <w:color w:val="auto"/>
          <w:sz w:val="32"/>
          <w:szCs w:val="32"/>
          <w:highlight w:val="none"/>
        </w:rPr>
        <w:t>第二章</w:t>
      </w:r>
      <w:r>
        <w:rPr>
          <w:rFonts w:hint="eastAsia" w:ascii="Arial" w:hAnsi="Arial" w:eastAsia="宋体" w:cs="Arial"/>
          <w:color w:val="auto"/>
          <w:sz w:val="32"/>
          <w:szCs w:val="32"/>
          <w:highlight w:val="none"/>
        </w:rPr>
        <w:t xml:space="preserve"> </w:t>
      </w:r>
      <w:r>
        <w:rPr>
          <w:rStyle w:val="36"/>
          <w:rFonts w:ascii="Arial" w:hAnsi="Arial" w:eastAsia="宋体" w:cs="Arial"/>
          <w:b/>
          <w:bCs/>
          <w:color w:val="auto"/>
          <w:highlight w:val="none"/>
        </w:rPr>
        <w:t>供应商须知</w:t>
      </w:r>
      <w:bookmarkEnd w:id="24"/>
      <w:bookmarkEnd w:id="25"/>
    </w:p>
    <w:p w14:paraId="53EA0285">
      <w:pPr>
        <w:tabs>
          <w:tab w:val="left" w:pos="1065"/>
          <w:tab w:val="center" w:pos="4411"/>
        </w:tabs>
        <w:spacing w:line="312" w:lineRule="auto"/>
        <w:jc w:val="center"/>
        <w:rPr>
          <w:rFonts w:ascii="Arial" w:hAnsi="Arial" w:eastAsia="宋体" w:cs="Arial"/>
          <w:b/>
          <w:color w:val="auto"/>
          <w:sz w:val="24"/>
          <w:highlight w:val="none"/>
        </w:rPr>
      </w:pPr>
      <w:r>
        <w:rPr>
          <w:rFonts w:ascii="Arial" w:hAnsi="Arial" w:eastAsia="宋体" w:cs="Arial"/>
          <w:b/>
          <w:color w:val="auto"/>
          <w:sz w:val="24"/>
          <w:highlight w:val="none"/>
        </w:rPr>
        <w:t>供 应 商 须 知 前 附 表</w:t>
      </w:r>
    </w:p>
    <w:tbl>
      <w:tblPr>
        <w:tblStyle w:val="24"/>
        <w:tblW w:w="986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877"/>
        <w:gridCol w:w="1549"/>
        <w:gridCol w:w="6612"/>
      </w:tblGrid>
      <w:tr w14:paraId="45657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28" w:type="dxa"/>
            <w:vAlign w:val="center"/>
          </w:tcPr>
          <w:p w14:paraId="536F8DEB">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序号</w:t>
            </w:r>
          </w:p>
        </w:tc>
        <w:tc>
          <w:tcPr>
            <w:tcW w:w="877" w:type="dxa"/>
            <w:vAlign w:val="center"/>
          </w:tcPr>
          <w:p w14:paraId="79A455E5">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条款号</w:t>
            </w:r>
          </w:p>
        </w:tc>
        <w:tc>
          <w:tcPr>
            <w:tcW w:w="1549" w:type="dxa"/>
            <w:vAlign w:val="center"/>
          </w:tcPr>
          <w:p w14:paraId="3080371E">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条款名称</w:t>
            </w:r>
          </w:p>
        </w:tc>
        <w:tc>
          <w:tcPr>
            <w:tcW w:w="6612" w:type="dxa"/>
            <w:vAlign w:val="center"/>
          </w:tcPr>
          <w:p w14:paraId="41CF365E">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内容、要求</w:t>
            </w:r>
          </w:p>
        </w:tc>
      </w:tr>
      <w:tr w14:paraId="5C8EF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28" w:type="dxa"/>
            <w:vAlign w:val="center"/>
          </w:tcPr>
          <w:p w14:paraId="61A0B020">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877" w:type="dxa"/>
            <w:vAlign w:val="center"/>
          </w:tcPr>
          <w:p w14:paraId="6C91B6CE">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1.1</w:t>
            </w:r>
          </w:p>
        </w:tc>
        <w:tc>
          <w:tcPr>
            <w:tcW w:w="1549" w:type="dxa"/>
            <w:vAlign w:val="center"/>
          </w:tcPr>
          <w:p w14:paraId="2D1EEE5B">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项目名称及项目编号</w:t>
            </w:r>
          </w:p>
        </w:tc>
        <w:tc>
          <w:tcPr>
            <w:tcW w:w="6612" w:type="dxa"/>
          </w:tcPr>
          <w:p w14:paraId="16AAD3BB">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项目名称：</w:t>
            </w:r>
            <w:r>
              <w:rPr>
                <w:rFonts w:hint="eastAsia" w:ascii="Arial" w:hAnsi="Arial" w:eastAsia="宋体" w:cs="Arial"/>
                <w:color w:val="auto"/>
                <w:highlight w:val="none"/>
              </w:rPr>
              <w:t xml:space="preserve">桂林理工大学实训楼A座机房设备升级改造项目 </w:t>
            </w:r>
          </w:p>
          <w:p w14:paraId="32896907">
            <w:pPr>
              <w:snapToGrid w:val="0"/>
              <w:spacing w:after="0" w:line="312" w:lineRule="auto"/>
              <w:rPr>
                <w:rFonts w:hint="eastAsia" w:ascii="Arial" w:hAnsi="Arial" w:eastAsia="宋体" w:cs="Arial"/>
                <w:color w:val="auto"/>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GXJD-25114CC031016</w:t>
            </w:r>
          </w:p>
        </w:tc>
      </w:tr>
      <w:tr w14:paraId="61FD3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6" w:hRule="atLeast"/>
        </w:trPr>
        <w:tc>
          <w:tcPr>
            <w:tcW w:w="828" w:type="dxa"/>
            <w:vAlign w:val="center"/>
          </w:tcPr>
          <w:p w14:paraId="74D755BD">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877" w:type="dxa"/>
            <w:vAlign w:val="center"/>
          </w:tcPr>
          <w:p w14:paraId="04012CF9">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1549" w:type="dxa"/>
            <w:vAlign w:val="center"/>
          </w:tcPr>
          <w:p w14:paraId="3C2702EE">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供应商资格</w:t>
            </w:r>
          </w:p>
        </w:tc>
        <w:tc>
          <w:tcPr>
            <w:tcW w:w="6612" w:type="dxa"/>
            <w:vAlign w:val="center"/>
          </w:tcPr>
          <w:p w14:paraId="3FA84053">
            <w:pPr>
              <w:tabs>
                <w:tab w:val="left" w:pos="1635"/>
              </w:tabs>
              <w:snapToGrid w:val="0"/>
              <w:spacing w:after="0" w:line="312"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3.1符合《中华人民共和国政府采购法》第二十二条规定。</w:t>
            </w:r>
          </w:p>
          <w:p w14:paraId="34B87E27">
            <w:pPr>
              <w:tabs>
                <w:tab w:val="left" w:pos="1635"/>
              </w:tabs>
              <w:snapToGrid w:val="0"/>
              <w:spacing w:after="0" w:line="312"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3.2供应商的特定资格要求：</w:t>
            </w:r>
            <w:r>
              <w:rPr>
                <w:rFonts w:hint="eastAsia" w:ascii="Arial" w:hAnsi="Arial" w:eastAsia="宋体" w:cs="Arial"/>
                <w:b/>
                <w:bCs/>
                <w:color w:val="auto"/>
                <w:highlight w:val="none"/>
              </w:rPr>
              <w:t>本项目非专门面向中小微企业采购</w:t>
            </w:r>
            <w:r>
              <w:rPr>
                <w:rFonts w:ascii="Arial" w:hAnsi="Arial" w:eastAsia="宋体" w:cs="Arial"/>
                <w:b/>
                <w:bCs/>
                <w:color w:val="auto"/>
                <w:highlight w:val="none"/>
              </w:rPr>
              <w:t>。</w:t>
            </w:r>
          </w:p>
          <w:p w14:paraId="24CC7B61">
            <w:pPr>
              <w:snapToGrid w:val="0"/>
              <w:spacing w:after="0" w:line="312" w:lineRule="auto"/>
              <w:rPr>
                <w:rFonts w:ascii="Arial" w:hAnsi="Arial" w:eastAsia="宋体" w:cs="Arial"/>
                <w:color w:val="auto"/>
                <w:kern w:val="0"/>
                <w:szCs w:val="21"/>
                <w:highlight w:val="none"/>
              </w:rPr>
            </w:pPr>
            <w:r>
              <w:rPr>
                <w:rFonts w:ascii="Arial" w:hAnsi="Arial" w:eastAsia="宋体" w:cs="Arial"/>
                <w:color w:val="auto"/>
                <w:kern w:val="0"/>
                <w:szCs w:val="21"/>
                <w:highlight w:val="none"/>
              </w:rPr>
              <w:t>3.3.单位负责人为同一人或者存在直接控股、管理关系的不同供应商，不得参加同一合同项下的采购活动。为本项目提供过整体设计、规范编制或者项目管理、监理、检测等服务的供应商，不得再参加本项目上述服务以外的其他采购活动。</w:t>
            </w:r>
          </w:p>
          <w:p w14:paraId="53A61094">
            <w:pPr>
              <w:snapToGrid w:val="0"/>
              <w:spacing w:after="0" w:line="312" w:lineRule="auto"/>
              <w:rPr>
                <w:rFonts w:ascii="Arial" w:hAnsi="Arial" w:eastAsia="宋体" w:cs="Arial"/>
                <w:color w:val="auto"/>
                <w:kern w:val="0"/>
                <w:szCs w:val="21"/>
                <w:highlight w:val="none"/>
              </w:rPr>
            </w:pPr>
            <w:r>
              <w:rPr>
                <w:rFonts w:ascii="Arial" w:hAnsi="Arial" w:eastAsia="宋体" w:cs="Arial"/>
                <w:color w:val="auto"/>
                <w:kern w:val="0"/>
                <w:szCs w:val="21"/>
                <w:highlight w:val="none"/>
              </w:rPr>
              <w:t>3.4.对在“信用中国”网站(www.creditchina.gov.cn)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14:paraId="24D6DD87">
            <w:pPr>
              <w:snapToGrid w:val="0"/>
              <w:spacing w:after="0" w:line="312" w:lineRule="auto"/>
              <w:rPr>
                <w:rFonts w:ascii="Arial" w:hAnsi="Arial" w:eastAsia="宋体" w:cs="Arial"/>
                <w:color w:val="auto"/>
                <w:highlight w:val="none"/>
              </w:rPr>
            </w:pPr>
            <w:r>
              <w:rPr>
                <w:rFonts w:ascii="Arial" w:hAnsi="Arial" w:eastAsia="宋体" w:cs="Arial"/>
                <w:color w:val="auto"/>
                <w:kern w:val="0"/>
                <w:szCs w:val="21"/>
                <w:highlight w:val="none"/>
              </w:rPr>
              <w:t>3.5.本项目不接受联合体参与谈判。</w:t>
            </w:r>
          </w:p>
        </w:tc>
      </w:tr>
      <w:tr w14:paraId="56EA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28" w:type="dxa"/>
            <w:vAlign w:val="center"/>
          </w:tcPr>
          <w:p w14:paraId="4B10F1EF">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877" w:type="dxa"/>
            <w:vAlign w:val="center"/>
          </w:tcPr>
          <w:p w14:paraId="641E49A5">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4</w:t>
            </w:r>
          </w:p>
        </w:tc>
        <w:tc>
          <w:tcPr>
            <w:tcW w:w="1549" w:type="dxa"/>
            <w:vAlign w:val="center"/>
          </w:tcPr>
          <w:p w14:paraId="78FC2763">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谈判费用</w:t>
            </w:r>
          </w:p>
        </w:tc>
        <w:tc>
          <w:tcPr>
            <w:tcW w:w="6612" w:type="dxa"/>
            <w:vAlign w:val="center"/>
          </w:tcPr>
          <w:p w14:paraId="7C80091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 xml:space="preserve">不论谈判结果如何，供应商均应自行承担所有与谈判有关的全部费用。 </w:t>
            </w:r>
          </w:p>
        </w:tc>
      </w:tr>
      <w:tr w14:paraId="35D8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vAlign w:val="center"/>
          </w:tcPr>
          <w:p w14:paraId="7671EEFD">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4</w:t>
            </w:r>
          </w:p>
        </w:tc>
        <w:tc>
          <w:tcPr>
            <w:tcW w:w="877" w:type="dxa"/>
            <w:vAlign w:val="center"/>
          </w:tcPr>
          <w:p w14:paraId="0BEA58B3">
            <w:pPr>
              <w:snapToGrid w:val="0"/>
              <w:spacing w:after="0" w:line="312"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13</w:t>
            </w:r>
          </w:p>
        </w:tc>
        <w:tc>
          <w:tcPr>
            <w:tcW w:w="1549" w:type="dxa"/>
            <w:vAlign w:val="center"/>
          </w:tcPr>
          <w:p w14:paraId="38597703">
            <w:pPr>
              <w:snapToGrid w:val="0"/>
              <w:spacing w:after="0" w:line="312" w:lineRule="auto"/>
              <w:jc w:val="center"/>
              <w:rPr>
                <w:rFonts w:ascii="Arial" w:hAnsi="Arial" w:eastAsia="宋体" w:cs="Arial"/>
                <w:color w:val="auto"/>
                <w:position w:val="-2"/>
                <w:szCs w:val="21"/>
                <w:highlight w:val="none"/>
              </w:rPr>
            </w:pPr>
            <w:r>
              <w:rPr>
                <w:rFonts w:ascii="Arial" w:hAnsi="Arial" w:eastAsia="宋体" w:cs="Arial"/>
                <w:color w:val="auto"/>
                <w:szCs w:val="21"/>
                <w:highlight w:val="none"/>
              </w:rPr>
              <w:t>谈判报价及</w:t>
            </w:r>
            <w:r>
              <w:rPr>
                <w:rFonts w:ascii="Arial" w:hAnsi="Arial" w:eastAsia="宋体" w:cs="Arial"/>
                <w:color w:val="auto"/>
                <w:position w:val="-2"/>
                <w:szCs w:val="21"/>
                <w:highlight w:val="none"/>
              </w:rPr>
              <w:t>采购预算金额</w:t>
            </w:r>
          </w:p>
        </w:tc>
        <w:tc>
          <w:tcPr>
            <w:tcW w:w="6612" w:type="dxa"/>
            <w:vAlign w:val="center"/>
          </w:tcPr>
          <w:p w14:paraId="5B377977">
            <w:pPr>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13.1 谈判报价必须按谈判文件中相关附件格式填写。</w:t>
            </w:r>
            <w:r>
              <w:rPr>
                <w:rFonts w:ascii="Arial" w:hAnsi="Arial" w:eastAsia="宋体" w:cs="Arial"/>
                <w:b/>
                <w:bCs/>
                <w:color w:val="auto"/>
                <w:szCs w:val="21"/>
                <w:highlight w:val="none"/>
              </w:rPr>
              <w:t>采购预算金额：</w:t>
            </w:r>
            <w:r>
              <w:rPr>
                <w:rFonts w:hint="eastAsia" w:ascii="Arial" w:hAnsi="Arial" w:eastAsia="宋体" w:cs="Arial"/>
                <w:b/>
                <w:bCs/>
                <w:color w:val="auto"/>
                <w:szCs w:val="21"/>
                <w:highlight w:val="none"/>
              </w:rPr>
              <w:t>人民币玖拾肆万伍仟元整（¥ 945000.00）</w:t>
            </w:r>
            <w:r>
              <w:rPr>
                <w:rFonts w:ascii="Arial" w:hAnsi="Arial" w:eastAsia="宋体" w:cs="Arial"/>
                <w:b/>
                <w:bCs/>
                <w:color w:val="auto"/>
                <w:szCs w:val="21"/>
                <w:highlight w:val="none"/>
              </w:rPr>
              <w:t>。</w:t>
            </w:r>
            <w:r>
              <w:rPr>
                <w:rFonts w:ascii="Arial" w:hAnsi="Arial" w:eastAsia="宋体" w:cs="Arial"/>
                <w:color w:val="auto"/>
                <w:szCs w:val="21"/>
                <w:highlight w:val="none"/>
              </w:rPr>
              <w:t>供应商报价超过相应采购预算金额的，响应文件作无效处理。</w:t>
            </w:r>
          </w:p>
          <w:p w14:paraId="7A3BC017">
            <w:pPr>
              <w:tabs>
                <w:tab w:val="left" w:pos="1305"/>
              </w:tabs>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13.2供应商必须就“项目采购需求”中所有内容作完整唯一报价，否则，其响应将被拒绝。</w:t>
            </w:r>
          </w:p>
          <w:p w14:paraId="614527D7">
            <w:pPr>
              <w:tabs>
                <w:tab w:val="left" w:pos="1305"/>
              </w:tabs>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13.3 谈判报价包括</w:t>
            </w:r>
            <w:r>
              <w:rPr>
                <w:rFonts w:hint="eastAsia" w:ascii="Arial" w:hAnsi="Arial" w:eastAsia="宋体" w:cs="Arial"/>
                <w:color w:val="auto"/>
                <w:szCs w:val="21"/>
                <w:highlight w:val="none"/>
              </w:rPr>
              <w:t>本次采购范围内货物货款、货物标准附件、备品备件、专用工具、包装、运输、装卸、保险、税金、货到就位以及安装、安装所需辅材、调试、培训、保修和采购文件要求提供的所有伴随服务、工程等费用和税费</w:t>
            </w:r>
            <w:r>
              <w:rPr>
                <w:rFonts w:ascii="Arial" w:hAnsi="Arial" w:eastAsia="宋体" w:cs="Arial"/>
                <w:color w:val="auto"/>
                <w:szCs w:val="21"/>
                <w:highlight w:val="none"/>
              </w:rPr>
              <w:t>；供应商综合考虑在报价中。</w:t>
            </w:r>
          </w:p>
          <w:p w14:paraId="35165C1E">
            <w:pPr>
              <w:tabs>
                <w:tab w:val="left" w:pos="1305"/>
              </w:tabs>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13.4未书面退出谈判的供应商必须在规定时间内密封提交最后报价，其最后报价不得超出采购预算；谈判过程中谈判文件未作实质性变动的，最后报价不得超过首次报价。</w:t>
            </w:r>
          </w:p>
        </w:tc>
      </w:tr>
      <w:tr w14:paraId="6FF5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54432366">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5</w:t>
            </w:r>
          </w:p>
        </w:tc>
        <w:tc>
          <w:tcPr>
            <w:tcW w:w="877" w:type="dxa"/>
            <w:vAlign w:val="center"/>
          </w:tcPr>
          <w:p w14:paraId="2EB1D0AE">
            <w:pPr>
              <w:snapToGrid w:val="0"/>
              <w:spacing w:after="0" w:line="312"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14.1</w:t>
            </w:r>
          </w:p>
        </w:tc>
        <w:tc>
          <w:tcPr>
            <w:tcW w:w="1549" w:type="dxa"/>
            <w:vAlign w:val="center"/>
          </w:tcPr>
          <w:p w14:paraId="769F67C4">
            <w:pPr>
              <w:snapToGrid w:val="0"/>
              <w:spacing w:after="0" w:line="312"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响应文件有效期</w:t>
            </w:r>
          </w:p>
        </w:tc>
        <w:tc>
          <w:tcPr>
            <w:tcW w:w="6612" w:type="dxa"/>
            <w:vAlign w:val="center"/>
          </w:tcPr>
          <w:p w14:paraId="5C5CD21F">
            <w:pPr>
              <w:tabs>
                <w:tab w:val="left" w:pos="1305"/>
              </w:tabs>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响应文件递交截止时间之日起90天，有效期不足的响应文件将被拒绝。</w:t>
            </w:r>
          </w:p>
        </w:tc>
      </w:tr>
      <w:tr w14:paraId="3A1D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28" w:type="dxa"/>
            <w:vAlign w:val="center"/>
          </w:tcPr>
          <w:p w14:paraId="46109B02">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6</w:t>
            </w:r>
          </w:p>
        </w:tc>
        <w:tc>
          <w:tcPr>
            <w:tcW w:w="877" w:type="dxa"/>
            <w:vAlign w:val="center"/>
          </w:tcPr>
          <w:p w14:paraId="06178874">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15.1</w:t>
            </w:r>
          </w:p>
        </w:tc>
        <w:tc>
          <w:tcPr>
            <w:tcW w:w="1549" w:type="dxa"/>
            <w:vAlign w:val="center"/>
          </w:tcPr>
          <w:p w14:paraId="4FDA6CC2">
            <w:pPr>
              <w:snapToGrid w:val="0"/>
              <w:spacing w:after="0" w:line="312"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响应文件份数</w:t>
            </w:r>
          </w:p>
        </w:tc>
        <w:tc>
          <w:tcPr>
            <w:tcW w:w="6612" w:type="dxa"/>
            <w:vAlign w:val="center"/>
          </w:tcPr>
          <w:p w14:paraId="098B252C">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正本壹册，副本贰册，须完整提交（A4纸装订）。</w:t>
            </w:r>
          </w:p>
        </w:tc>
      </w:tr>
      <w:tr w14:paraId="77D9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22BCA211">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7</w:t>
            </w:r>
          </w:p>
        </w:tc>
        <w:tc>
          <w:tcPr>
            <w:tcW w:w="877" w:type="dxa"/>
            <w:vAlign w:val="center"/>
          </w:tcPr>
          <w:p w14:paraId="39A224AB">
            <w:pPr>
              <w:snapToGrid w:val="0"/>
              <w:spacing w:after="0" w:line="312" w:lineRule="auto"/>
              <w:jc w:val="center"/>
              <w:rPr>
                <w:rFonts w:ascii="Arial" w:hAnsi="Arial" w:eastAsia="宋体" w:cs="Arial"/>
                <w:color w:val="auto"/>
                <w:position w:val="10"/>
                <w:szCs w:val="21"/>
                <w:highlight w:val="none"/>
              </w:rPr>
            </w:pPr>
            <w:r>
              <w:rPr>
                <w:rFonts w:ascii="Arial" w:hAnsi="Arial" w:eastAsia="宋体" w:cs="Arial"/>
                <w:color w:val="auto"/>
                <w:position w:val="10"/>
                <w:szCs w:val="21"/>
                <w:highlight w:val="none"/>
              </w:rPr>
              <w:t>15.2</w:t>
            </w:r>
          </w:p>
        </w:tc>
        <w:tc>
          <w:tcPr>
            <w:tcW w:w="1549" w:type="dxa"/>
            <w:vAlign w:val="center"/>
          </w:tcPr>
          <w:p w14:paraId="1C657A55">
            <w:pPr>
              <w:snapToGrid w:val="0"/>
              <w:spacing w:after="0" w:line="312"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响应文件装订要求</w:t>
            </w:r>
          </w:p>
        </w:tc>
        <w:tc>
          <w:tcPr>
            <w:tcW w:w="6612" w:type="dxa"/>
            <w:vAlign w:val="center"/>
          </w:tcPr>
          <w:p w14:paraId="7C12C9E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供应商必须按供应商须知第11.1条“响应文件组成”规定的顺序自编目录及页码，响应文件的“正本”、“副本”必须单独装订成册并标注页码，装订牢固，不易拆散和换页。封面注明“正本”、“副本”字样，封面上写明项目名称、项目编号、采购代理机构、供应商单位名称。</w:t>
            </w:r>
          </w:p>
        </w:tc>
      </w:tr>
      <w:tr w14:paraId="47ED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8" w:type="dxa"/>
            <w:vAlign w:val="center"/>
          </w:tcPr>
          <w:p w14:paraId="64B91C5A">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8</w:t>
            </w:r>
          </w:p>
        </w:tc>
        <w:tc>
          <w:tcPr>
            <w:tcW w:w="877" w:type="dxa"/>
            <w:vAlign w:val="center"/>
          </w:tcPr>
          <w:p w14:paraId="2C81A3CE">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15.6</w:t>
            </w:r>
          </w:p>
        </w:tc>
        <w:tc>
          <w:tcPr>
            <w:tcW w:w="1549" w:type="dxa"/>
            <w:vAlign w:val="center"/>
          </w:tcPr>
          <w:p w14:paraId="0475DA06">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响应文件包装、密封、标记</w:t>
            </w:r>
          </w:p>
        </w:tc>
        <w:tc>
          <w:tcPr>
            <w:tcW w:w="6612" w:type="dxa"/>
            <w:vAlign w:val="center"/>
          </w:tcPr>
          <w:p w14:paraId="3839D6E5">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15.6.1响应文件包装、密封：供应商须将响应文件正、副本全部装入一个或多个包封袋/箱（响应文件的补充、修改可另行单独递交）中并加以密封，封口处必须密封签字【供应商的法定代表人（负责人)或委托代理人签字均可】或加盖供应商公章，以示密封。</w:t>
            </w:r>
          </w:p>
          <w:p w14:paraId="1DF5EA4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15.6.2响应文件袋（盒、箱）标记：</w:t>
            </w:r>
          </w:p>
          <w:p w14:paraId="7E2A8760">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项目名称：</w:t>
            </w:r>
            <w:r>
              <w:rPr>
                <w:rFonts w:hint="eastAsia" w:ascii="Arial" w:hAnsi="Arial" w:eastAsia="宋体" w:cs="Arial"/>
                <w:color w:val="auto"/>
                <w:szCs w:val="21"/>
                <w:highlight w:val="none"/>
              </w:rPr>
              <w:t xml:space="preserve">桂林理工大学实训楼A座机房设备升级改造项目 </w:t>
            </w:r>
          </w:p>
          <w:p w14:paraId="4098744C">
            <w:pPr>
              <w:snapToGrid w:val="0"/>
              <w:spacing w:after="0" w:line="312" w:lineRule="auto"/>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GXJD-25114CC031016</w:t>
            </w:r>
          </w:p>
          <w:p w14:paraId="33B25C5B">
            <w:pPr>
              <w:snapToGrid w:val="0"/>
              <w:spacing w:after="0" w:line="312" w:lineRule="auto"/>
              <w:rPr>
                <w:rFonts w:hint="eastAsia" w:ascii="Arial" w:hAnsi="Arial" w:eastAsia="宋体" w:cs="Arial"/>
                <w:color w:val="auto"/>
                <w:szCs w:val="21"/>
                <w:highlight w:val="none"/>
                <w:lang w:eastAsia="zh-CN"/>
              </w:rPr>
            </w:pPr>
            <w:r>
              <w:rPr>
                <w:rFonts w:ascii="Arial" w:hAnsi="Arial" w:eastAsia="宋体" w:cs="Arial"/>
                <w:color w:val="auto"/>
                <w:szCs w:val="21"/>
                <w:highlight w:val="none"/>
              </w:rPr>
              <w:t>采购代理机构：</w:t>
            </w:r>
            <w:r>
              <w:rPr>
                <w:rFonts w:hint="eastAsia" w:ascii="Arial" w:hAnsi="Arial" w:eastAsia="宋体" w:cs="Arial"/>
                <w:color w:val="auto"/>
                <w:szCs w:val="21"/>
                <w:highlight w:val="none"/>
                <w:lang w:eastAsia="zh-CN"/>
              </w:rPr>
              <w:t>广西机电设备招标有限公司</w:t>
            </w:r>
          </w:p>
          <w:p w14:paraId="5C8DD33E">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供应商名称：</w:t>
            </w:r>
          </w:p>
        </w:tc>
      </w:tr>
      <w:tr w14:paraId="57FA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0A4EAD10">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9</w:t>
            </w:r>
          </w:p>
        </w:tc>
        <w:tc>
          <w:tcPr>
            <w:tcW w:w="877" w:type="dxa"/>
            <w:vAlign w:val="center"/>
          </w:tcPr>
          <w:p w14:paraId="0751ED7F">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15.7</w:t>
            </w:r>
          </w:p>
        </w:tc>
        <w:tc>
          <w:tcPr>
            <w:tcW w:w="1549" w:type="dxa"/>
            <w:vAlign w:val="center"/>
          </w:tcPr>
          <w:p w14:paraId="6D10DAD4">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供应商公章</w:t>
            </w:r>
          </w:p>
        </w:tc>
        <w:tc>
          <w:tcPr>
            <w:tcW w:w="6612" w:type="dxa"/>
            <w:vAlign w:val="center"/>
          </w:tcPr>
          <w:p w14:paraId="3AA7F1F9">
            <w:pPr>
              <w:snapToGrid w:val="0"/>
              <w:spacing w:after="0" w:line="312" w:lineRule="auto"/>
              <w:rPr>
                <w:rFonts w:ascii="Arial" w:hAnsi="Arial" w:eastAsia="宋体" w:cs="Arial"/>
                <w:color w:val="auto"/>
                <w:szCs w:val="21"/>
                <w:highlight w:val="none"/>
              </w:rPr>
            </w:pPr>
            <w:r>
              <w:rPr>
                <w:rFonts w:ascii="Arial" w:hAnsi="Arial" w:eastAsia="宋体" w:cs="Arial"/>
                <w:color w:val="auto"/>
                <w:highlight w:val="none"/>
              </w:rPr>
              <w:t>本竞争性谈判文件中描述供应商的“公章”是指根据我国对公章的管理规定，用供应商登记注册法定主体的名称合法制作的公章，除本竞争性谈判文件中有特殊规定外，供应商的其他专用章均不能代替公章。</w:t>
            </w:r>
          </w:p>
        </w:tc>
      </w:tr>
      <w:tr w14:paraId="0FE9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48C3EB5E">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10</w:t>
            </w:r>
          </w:p>
        </w:tc>
        <w:tc>
          <w:tcPr>
            <w:tcW w:w="877" w:type="dxa"/>
            <w:vAlign w:val="center"/>
          </w:tcPr>
          <w:p w14:paraId="1F294B65">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17.1</w:t>
            </w:r>
          </w:p>
        </w:tc>
        <w:tc>
          <w:tcPr>
            <w:tcW w:w="1549" w:type="dxa"/>
            <w:vAlign w:val="center"/>
          </w:tcPr>
          <w:p w14:paraId="0E3E17CB">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响应文件递交</w:t>
            </w:r>
          </w:p>
        </w:tc>
        <w:tc>
          <w:tcPr>
            <w:tcW w:w="6612" w:type="dxa"/>
            <w:vAlign w:val="center"/>
          </w:tcPr>
          <w:p w14:paraId="7F237FC3">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供应商必须于</w:t>
            </w:r>
            <w:r>
              <w:rPr>
                <w:rFonts w:hint="eastAsia" w:ascii="Arial" w:hAnsi="Arial" w:eastAsia="宋体" w:cs="Arial"/>
                <w:color w:val="auto"/>
                <w:highlight w:val="none"/>
              </w:rPr>
              <w:t>2025年</w:t>
            </w:r>
            <w:r>
              <w:rPr>
                <w:rFonts w:hint="eastAsia" w:ascii="Arial" w:hAnsi="Arial" w:eastAsia="宋体" w:cs="Arial"/>
                <w:color w:val="auto"/>
                <w:highlight w:val="none"/>
                <w:lang w:eastAsia="zh-CN"/>
              </w:rPr>
              <w:t>7月8日</w:t>
            </w:r>
            <w:r>
              <w:rPr>
                <w:rFonts w:ascii="Arial" w:hAnsi="Arial" w:eastAsia="宋体" w:cs="Arial"/>
                <w:color w:val="auto"/>
                <w:highlight w:val="none"/>
              </w:rPr>
              <w:t>上</w:t>
            </w:r>
            <w:r>
              <w:rPr>
                <w:rFonts w:ascii="Arial" w:hAnsi="Arial" w:eastAsia="宋体" w:cs="Arial"/>
                <w:color w:val="auto"/>
                <w:szCs w:val="21"/>
                <w:highlight w:val="none"/>
              </w:rPr>
              <w:t>午8时30分起至9时30分止，将响应文件密封提交至</w:t>
            </w:r>
            <w:r>
              <w:rPr>
                <w:rFonts w:hint="eastAsia" w:ascii="Arial" w:hAnsi="Arial" w:eastAsia="宋体" w:cs="Arial"/>
                <w:color w:val="auto"/>
                <w:szCs w:val="21"/>
                <w:highlight w:val="none"/>
              </w:rPr>
              <w:t>广西机电设备招标有限公司桂林分公司</w:t>
            </w:r>
            <w:r>
              <w:rPr>
                <w:rFonts w:hint="eastAsia" w:ascii="Arial" w:hAnsi="Arial" w:eastAsia="宋体" w:cs="Arial"/>
                <w:color w:val="auto"/>
                <w:szCs w:val="21"/>
                <w:highlight w:val="none"/>
                <w:lang w:val="en-US" w:eastAsia="zh-CN"/>
              </w:rPr>
              <w:t>开标室</w:t>
            </w:r>
            <w:r>
              <w:rPr>
                <w:rFonts w:ascii="Arial" w:hAnsi="Arial" w:eastAsia="宋体" w:cs="Arial"/>
                <w:b/>
                <w:bCs/>
                <w:color w:val="auto"/>
                <w:szCs w:val="21"/>
                <w:highlight w:val="none"/>
              </w:rPr>
              <w:t>，</w:t>
            </w:r>
            <w:r>
              <w:rPr>
                <w:rFonts w:ascii="Arial" w:hAnsi="Arial" w:eastAsia="宋体" w:cs="Arial"/>
                <w:b/>
                <w:bCs/>
                <w:color w:val="auto"/>
                <w:highlight w:val="none"/>
              </w:rPr>
              <w:t>供应商参加谈判的法定代表人或委托代理人须持有效证件（法定代表人凭身份证或委托代理人凭法人授权委托书原件、本人身份证原件，不须密封，单独提交），依时到达指定地点提交响应文件，未携带以上相关材料递交的或逾期送达的或未按照谈判文件要求密封的响应文件将予以拒收</w:t>
            </w:r>
            <w:r>
              <w:rPr>
                <w:rFonts w:ascii="Arial" w:hAnsi="Arial" w:eastAsia="宋体" w:cs="Arial"/>
                <w:b/>
                <w:bCs/>
                <w:color w:val="auto"/>
                <w:szCs w:val="21"/>
                <w:highlight w:val="none"/>
              </w:rPr>
              <w:t>。</w:t>
            </w:r>
          </w:p>
        </w:tc>
      </w:tr>
      <w:tr w14:paraId="6934D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07CD348A">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11</w:t>
            </w:r>
          </w:p>
        </w:tc>
        <w:tc>
          <w:tcPr>
            <w:tcW w:w="877" w:type="dxa"/>
            <w:vAlign w:val="center"/>
          </w:tcPr>
          <w:p w14:paraId="666555B7">
            <w:pPr>
              <w:snapToGrid w:val="0"/>
              <w:spacing w:after="0" w:line="312" w:lineRule="auto"/>
              <w:ind w:firstLine="105" w:firstLineChars="50"/>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18.1</w:t>
            </w:r>
          </w:p>
        </w:tc>
        <w:tc>
          <w:tcPr>
            <w:tcW w:w="1549" w:type="dxa"/>
            <w:vAlign w:val="center"/>
          </w:tcPr>
          <w:p w14:paraId="5896478A">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谈判小组组成</w:t>
            </w:r>
          </w:p>
        </w:tc>
        <w:tc>
          <w:tcPr>
            <w:tcW w:w="6612" w:type="dxa"/>
            <w:vAlign w:val="center"/>
          </w:tcPr>
          <w:p w14:paraId="18434ED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谈判及评审组织工作由采购代理机构负责，具体谈判、评审工作由依法组建的谈判小组负责，谈判小组由采购人代表和有关方面的专家组成。谈判小组的构成：3人，其中采购人代表 1 人，有关专家 2人。</w:t>
            </w:r>
          </w:p>
        </w:tc>
      </w:tr>
      <w:tr w14:paraId="087BC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28" w:type="dxa"/>
            <w:vAlign w:val="center"/>
          </w:tcPr>
          <w:p w14:paraId="2A98C765">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12</w:t>
            </w:r>
          </w:p>
        </w:tc>
        <w:tc>
          <w:tcPr>
            <w:tcW w:w="877" w:type="dxa"/>
            <w:vAlign w:val="center"/>
          </w:tcPr>
          <w:p w14:paraId="42262750">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18.2</w:t>
            </w:r>
          </w:p>
        </w:tc>
        <w:tc>
          <w:tcPr>
            <w:tcW w:w="1549" w:type="dxa"/>
            <w:vAlign w:val="center"/>
          </w:tcPr>
          <w:p w14:paraId="4CBEF5B0">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谈判时间、地点、人员</w:t>
            </w:r>
          </w:p>
        </w:tc>
        <w:tc>
          <w:tcPr>
            <w:tcW w:w="6612" w:type="dxa"/>
          </w:tcPr>
          <w:p w14:paraId="54E441A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18.2.1谈判时间：首次响应文件递交截止时间后。</w:t>
            </w:r>
          </w:p>
          <w:p w14:paraId="53B82A11">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18.2.2谈判地点：</w:t>
            </w:r>
            <w:r>
              <w:rPr>
                <w:rFonts w:hint="eastAsia" w:ascii="Arial" w:hAnsi="Arial" w:eastAsia="宋体" w:cs="Arial"/>
                <w:color w:val="auto"/>
                <w:szCs w:val="21"/>
                <w:highlight w:val="none"/>
              </w:rPr>
              <w:t>广西机电设备招标有限公司桂林分公司评标室</w:t>
            </w:r>
            <w:r>
              <w:rPr>
                <w:rFonts w:ascii="Arial" w:hAnsi="Arial" w:eastAsia="宋体" w:cs="Arial"/>
                <w:color w:val="auto"/>
                <w:szCs w:val="21"/>
                <w:highlight w:val="none"/>
              </w:rPr>
              <w:t>。</w:t>
            </w:r>
          </w:p>
          <w:p w14:paraId="5B32AC0F">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18.2.3谈判参加人员：供应商法定代表人(负责人)或相应的委托代理人持有效身份证原件参加谈判。请供应商按时到达指定地点等候当面谈判。</w:t>
            </w:r>
          </w:p>
          <w:p w14:paraId="41FFAC24">
            <w:pPr>
              <w:snapToGrid w:val="0"/>
              <w:spacing w:after="0" w:line="312" w:lineRule="auto"/>
              <w:rPr>
                <w:rFonts w:ascii="Arial" w:hAnsi="Arial" w:eastAsia="宋体" w:cs="Arial"/>
                <w:b/>
                <w:color w:val="auto"/>
                <w:szCs w:val="21"/>
                <w:highlight w:val="none"/>
              </w:rPr>
            </w:pPr>
            <w:r>
              <w:rPr>
                <w:rFonts w:ascii="Arial" w:hAnsi="Arial" w:eastAsia="宋体" w:cs="Arial"/>
                <w:color w:val="auto"/>
                <w:szCs w:val="21"/>
                <w:highlight w:val="none"/>
              </w:rPr>
              <w:t>18.2.4首次响应文件递交截止时间后，由谈判小组在评标室内开启响应文件。</w:t>
            </w:r>
          </w:p>
        </w:tc>
      </w:tr>
      <w:tr w14:paraId="723FA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828" w:type="dxa"/>
            <w:vAlign w:val="center"/>
          </w:tcPr>
          <w:p w14:paraId="0ED28EA2">
            <w:pPr>
              <w:snapToGrid w:val="0"/>
              <w:spacing w:after="0" w:line="312"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13</w:t>
            </w:r>
          </w:p>
        </w:tc>
        <w:tc>
          <w:tcPr>
            <w:tcW w:w="877" w:type="dxa"/>
            <w:vAlign w:val="center"/>
          </w:tcPr>
          <w:p w14:paraId="3EB683E4">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19.2</w:t>
            </w:r>
          </w:p>
        </w:tc>
        <w:tc>
          <w:tcPr>
            <w:tcW w:w="1549" w:type="dxa"/>
            <w:vAlign w:val="center"/>
          </w:tcPr>
          <w:p w14:paraId="7AEE8DA7">
            <w:pPr>
              <w:pStyle w:val="14"/>
              <w:snapToGrid w:val="0"/>
              <w:spacing w:after="0" w:line="312" w:lineRule="auto"/>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评审办法</w:t>
            </w:r>
          </w:p>
        </w:tc>
        <w:tc>
          <w:tcPr>
            <w:tcW w:w="6612" w:type="dxa"/>
            <w:vAlign w:val="center"/>
          </w:tcPr>
          <w:p w14:paraId="2CBD38FA">
            <w:pPr>
              <w:tabs>
                <w:tab w:val="left" w:pos="1140"/>
              </w:tabs>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具体详见第四章评审办法。</w:t>
            </w:r>
          </w:p>
        </w:tc>
      </w:tr>
      <w:tr w14:paraId="0EF4B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828" w:type="dxa"/>
            <w:vAlign w:val="center"/>
          </w:tcPr>
          <w:p w14:paraId="0FA927E6">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14</w:t>
            </w:r>
          </w:p>
        </w:tc>
        <w:tc>
          <w:tcPr>
            <w:tcW w:w="877" w:type="dxa"/>
            <w:vAlign w:val="center"/>
          </w:tcPr>
          <w:p w14:paraId="676C4A57">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27</w:t>
            </w:r>
          </w:p>
        </w:tc>
        <w:tc>
          <w:tcPr>
            <w:tcW w:w="1549" w:type="dxa"/>
            <w:vAlign w:val="center"/>
          </w:tcPr>
          <w:p w14:paraId="406CD6C1">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成交公告</w:t>
            </w:r>
          </w:p>
          <w:p w14:paraId="2A777A37">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及成交通知书</w:t>
            </w:r>
          </w:p>
        </w:tc>
        <w:tc>
          <w:tcPr>
            <w:tcW w:w="6612" w:type="dxa"/>
          </w:tcPr>
          <w:p w14:paraId="44984A20">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27.1 采购代理机构于谈判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14:paraId="216085A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27.2在发布成交公告的同时，采购代理机构向成交供应商发出成交通知书。成交供应商应自接到通知之日起七个工作日内，办理成交通知书领取手续。</w:t>
            </w:r>
          </w:p>
        </w:tc>
      </w:tr>
      <w:tr w14:paraId="3106A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828" w:type="dxa"/>
            <w:vAlign w:val="center"/>
          </w:tcPr>
          <w:p w14:paraId="5CD0D6EE">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15</w:t>
            </w:r>
          </w:p>
        </w:tc>
        <w:tc>
          <w:tcPr>
            <w:tcW w:w="877" w:type="dxa"/>
            <w:vAlign w:val="center"/>
          </w:tcPr>
          <w:p w14:paraId="52D2540F">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28.1</w:t>
            </w:r>
          </w:p>
        </w:tc>
        <w:tc>
          <w:tcPr>
            <w:tcW w:w="1549" w:type="dxa"/>
            <w:vAlign w:val="center"/>
          </w:tcPr>
          <w:p w14:paraId="69EF96FE">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履约保证金</w:t>
            </w:r>
          </w:p>
        </w:tc>
        <w:tc>
          <w:tcPr>
            <w:tcW w:w="6612" w:type="dxa"/>
            <w:vAlign w:val="center"/>
          </w:tcPr>
          <w:p w14:paraId="27807C6B">
            <w:pPr>
              <w:snapToGrid w:val="0"/>
              <w:spacing w:after="0" w:line="312"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28.1.</w:t>
            </w:r>
            <w:bookmarkStart w:id="26" w:name="OLE_LINK1"/>
            <w:r>
              <w:rPr>
                <w:rFonts w:ascii="Arial" w:hAnsi="Arial" w:eastAsia="宋体" w:cs="Arial"/>
                <w:color w:val="auto"/>
                <w:kern w:val="0"/>
                <w:szCs w:val="21"/>
                <w:highlight w:val="none"/>
              </w:rPr>
              <w:t>履约保证金</w:t>
            </w:r>
            <w:bookmarkEnd w:id="26"/>
            <w:r>
              <w:rPr>
                <w:rFonts w:ascii="Arial" w:hAnsi="Arial" w:eastAsia="宋体" w:cs="Arial"/>
                <w:color w:val="auto"/>
                <w:kern w:val="0"/>
                <w:szCs w:val="21"/>
                <w:highlight w:val="none"/>
              </w:rPr>
              <w:t>金额：在合同签订之前</w:t>
            </w:r>
            <w:r>
              <w:rPr>
                <w:rFonts w:hint="eastAsia" w:ascii="Arial" w:hAnsi="Arial" w:eastAsia="宋体" w:cs="Arial"/>
                <w:color w:val="auto"/>
                <w:kern w:val="0"/>
                <w:szCs w:val="21"/>
                <w:highlight w:val="none"/>
              </w:rPr>
              <w:t>，成交供应商</w:t>
            </w:r>
            <w:r>
              <w:rPr>
                <w:rFonts w:ascii="Arial" w:hAnsi="Arial" w:eastAsia="宋体" w:cs="Arial"/>
                <w:color w:val="auto"/>
                <w:kern w:val="0"/>
                <w:szCs w:val="21"/>
                <w:highlight w:val="none"/>
              </w:rPr>
              <w:t>按成交金额的5%（如成交供应商为中小微企业的，按成交金额的2%）向采购人交纳履约保证金。</w:t>
            </w:r>
          </w:p>
          <w:p w14:paraId="0731EF2A">
            <w:pPr>
              <w:snapToGrid w:val="0"/>
              <w:spacing w:after="0" w:line="312"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28.2.履约保证金递交方式：转账或电汇等非现金形式。</w:t>
            </w:r>
          </w:p>
          <w:p w14:paraId="21B0CD04">
            <w:pPr>
              <w:snapToGrid w:val="0"/>
              <w:spacing w:after="0" w:line="312"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28.3.履约保证金指定账户</w:t>
            </w:r>
          </w:p>
          <w:p w14:paraId="16B5D31E">
            <w:pPr>
              <w:snapToGrid w:val="0"/>
              <w:spacing w:after="0" w:line="312"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开户名称：桂林理工大学</w:t>
            </w:r>
          </w:p>
          <w:p w14:paraId="5870F65F">
            <w:pPr>
              <w:snapToGrid w:val="0"/>
              <w:spacing w:after="0" w:line="312"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开户银行：中国银行桂林分行</w:t>
            </w:r>
          </w:p>
          <w:p w14:paraId="00A87780">
            <w:pPr>
              <w:snapToGrid w:val="0"/>
              <w:spacing w:after="0" w:line="312"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账号：613257488744。</w:t>
            </w:r>
          </w:p>
          <w:p w14:paraId="59FD2CEF">
            <w:pPr>
              <w:snapToGrid w:val="0"/>
              <w:spacing w:after="0" w:line="312"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28.4.履约保证金退付方式、时间及条件：</w:t>
            </w:r>
          </w:p>
          <w:p w14:paraId="60B1B8F2">
            <w:pPr>
              <w:snapToGrid w:val="0"/>
              <w:spacing w:after="0" w:line="312"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（1）成交供应商须按上述规定的金额、方式将履约保证金转入桂林理工大学账户。否则，不予签订合同。</w:t>
            </w:r>
          </w:p>
          <w:p w14:paraId="1D110557">
            <w:pPr>
              <w:snapToGrid w:val="0"/>
              <w:spacing w:after="0" w:line="312" w:lineRule="auto"/>
              <w:outlineLvl w:val="4"/>
              <w:rPr>
                <w:rFonts w:ascii="Arial" w:hAnsi="Arial" w:eastAsia="宋体" w:cs="Arial"/>
                <w:color w:val="auto"/>
                <w:szCs w:val="21"/>
                <w:highlight w:val="none"/>
              </w:rPr>
            </w:pPr>
            <w:r>
              <w:rPr>
                <w:rFonts w:ascii="Arial" w:hAnsi="Arial" w:eastAsia="宋体" w:cs="Arial"/>
                <w:color w:val="auto"/>
                <w:kern w:val="0"/>
                <w:szCs w:val="21"/>
                <w:highlight w:val="none"/>
              </w:rPr>
              <w:t>（2）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tc>
      </w:tr>
      <w:tr w14:paraId="444BD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28" w:type="dxa"/>
            <w:vAlign w:val="center"/>
          </w:tcPr>
          <w:p w14:paraId="66CA07AA">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kern w:val="0"/>
                <w:szCs w:val="21"/>
                <w:highlight w:val="none"/>
              </w:rPr>
              <w:t>16</w:t>
            </w:r>
          </w:p>
        </w:tc>
        <w:tc>
          <w:tcPr>
            <w:tcW w:w="877" w:type="dxa"/>
            <w:vAlign w:val="center"/>
          </w:tcPr>
          <w:p w14:paraId="6F94FA8B">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29.1</w:t>
            </w:r>
          </w:p>
        </w:tc>
        <w:tc>
          <w:tcPr>
            <w:tcW w:w="1549" w:type="dxa"/>
            <w:vAlign w:val="center"/>
          </w:tcPr>
          <w:p w14:paraId="415C9504">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签订合同时间</w:t>
            </w:r>
          </w:p>
        </w:tc>
        <w:tc>
          <w:tcPr>
            <w:tcW w:w="6612" w:type="dxa"/>
            <w:vAlign w:val="center"/>
          </w:tcPr>
          <w:p w14:paraId="17CD914C">
            <w:pPr>
              <w:snapToGrid w:val="0"/>
              <w:spacing w:after="0" w:line="312" w:lineRule="auto"/>
              <w:rPr>
                <w:rFonts w:ascii="Arial" w:hAnsi="Arial" w:eastAsia="宋体" w:cs="Arial"/>
                <w:color w:val="auto"/>
                <w:highlight w:val="none"/>
              </w:rPr>
            </w:pPr>
            <w:r>
              <w:rPr>
                <w:rFonts w:ascii="Arial" w:hAnsi="Arial" w:eastAsia="宋体" w:cs="Arial"/>
                <w:color w:val="auto"/>
                <w:highlight w:val="none"/>
              </w:rPr>
              <w:t>成交通知书发出之日起</w:t>
            </w:r>
            <w:r>
              <w:rPr>
                <w:rFonts w:hint="eastAsia" w:ascii="Arial" w:hAnsi="Arial" w:eastAsia="宋体" w:cs="Arial"/>
                <w:color w:val="auto"/>
                <w:highlight w:val="none"/>
              </w:rPr>
              <w:t>30</w:t>
            </w:r>
            <w:r>
              <w:rPr>
                <w:rFonts w:ascii="Arial" w:hAnsi="Arial" w:eastAsia="宋体" w:cs="Arial"/>
                <w:color w:val="auto"/>
                <w:highlight w:val="none"/>
              </w:rPr>
              <w:t>日内</w:t>
            </w:r>
            <w:r>
              <w:rPr>
                <w:rFonts w:ascii="Arial" w:hAnsi="Arial" w:eastAsia="宋体" w:cs="Arial"/>
                <w:color w:val="auto"/>
                <w:highlight w:val="none"/>
              </w:rPr>
              <w:t>。成交供应商领取成交通知书后，应按规定与采购人签订合同。</w:t>
            </w:r>
          </w:p>
        </w:tc>
      </w:tr>
      <w:tr w14:paraId="0C90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828" w:type="dxa"/>
            <w:vAlign w:val="center"/>
          </w:tcPr>
          <w:p w14:paraId="2CADCF23">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17</w:t>
            </w:r>
          </w:p>
        </w:tc>
        <w:tc>
          <w:tcPr>
            <w:tcW w:w="877" w:type="dxa"/>
            <w:vAlign w:val="center"/>
          </w:tcPr>
          <w:p w14:paraId="22F030F5">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30</w:t>
            </w:r>
          </w:p>
        </w:tc>
        <w:tc>
          <w:tcPr>
            <w:tcW w:w="1549" w:type="dxa"/>
            <w:vAlign w:val="center"/>
          </w:tcPr>
          <w:p w14:paraId="7392E62A">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采购代理服务费</w:t>
            </w:r>
          </w:p>
        </w:tc>
        <w:tc>
          <w:tcPr>
            <w:tcW w:w="6612" w:type="dxa"/>
          </w:tcPr>
          <w:p w14:paraId="6594DE2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以项目的成交金额为计费额，按国家发展计划委员会文件计价格（2002）1980号“国家计委关于印发《招标代理服务收费管理暂行办法》的通知”规定的货物类费率标准（详见本须知正文第30.2条）采用差额定率累进法计算出收费基准价格，采购代理服务费按收费基准价格下浮60 %收取，由成交供应商在领取成交通知书前，向采购代理机构一次性支付。</w:t>
            </w:r>
          </w:p>
          <w:p w14:paraId="1B1C6D8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计算范例如下（本范例仅作计算示范，不等同于本项目代理服务费实际收取金额）：</w:t>
            </w:r>
          </w:p>
          <w:p w14:paraId="2CA33760">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某货物采购项目成交金额为350万元，则以350万元为计费额；招标代理服务费收费基准价格=100 万元×1.5%＋（350-100）万元×1.1%＝1.5万元＋2.75万元＝4.25万元；招标代理服务费收取标准=收费基准价格×（1-60%）=4.25万元×40%=1.7万元。</w:t>
            </w:r>
          </w:p>
        </w:tc>
      </w:tr>
      <w:tr w14:paraId="6124F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828" w:type="dxa"/>
            <w:vAlign w:val="center"/>
          </w:tcPr>
          <w:p w14:paraId="1445F2B0">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18</w:t>
            </w:r>
          </w:p>
        </w:tc>
        <w:tc>
          <w:tcPr>
            <w:tcW w:w="877" w:type="dxa"/>
            <w:vAlign w:val="center"/>
          </w:tcPr>
          <w:p w14:paraId="5A7C1517">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32</w:t>
            </w:r>
          </w:p>
        </w:tc>
        <w:tc>
          <w:tcPr>
            <w:tcW w:w="1549" w:type="dxa"/>
            <w:vAlign w:val="center"/>
          </w:tcPr>
          <w:p w14:paraId="6541F450">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解释权</w:t>
            </w:r>
          </w:p>
        </w:tc>
        <w:tc>
          <w:tcPr>
            <w:tcW w:w="6612" w:type="dxa"/>
            <w:vAlign w:val="center"/>
          </w:tcPr>
          <w:p w14:paraId="2E467C8D">
            <w:pPr>
              <w:snapToGrid w:val="0"/>
              <w:spacing w:after="0" w:line="312" w:lineRule="auto"/>
              <w:rPr>
                <w:rFonts w:ascii="Arial" w:hAnsi="Arial" w:eastAsia="宋体" w:cs="Arial"/>
                <w:color w:val="auto"/>
                <w:szCs w:val="21"/>
                <w:highlight w:val="none"/>
              </w:rPr>
            </w:pPr>
            <w:r>
              <w:rPr>
                <w:rFonts w:ascii="Arial" w:hAnsi="Arial" w:eastAsia="宋体" w:cs="Arial"/>
                <w:color w:val="auto"/>
                <w:highlight w:val="none"/>
              </w:rPr>
              <w:t>本竞争性谈判文件的解释权属于采购代理机构。</w:t>
            </w:r>
          </w:p>
        </w:tc>
      </w:tr>
    </w:tbl>
    <w:p w14:paraId="634DB0D6">
      <w:pPr>
        <w:spacing w:after="0" w:line="312" w:lineRule="auto"/>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r>
        <w:rPr>
          <w:rFonts w:ascii="Arial" w:hAnsi="Arial" w:eastAsia="宋体" w:cs="Arial"/>
          <w:b/>
          <w:color w:val="auto"/>
          <w:sz w:val="28"/>
          <w:szCs w:val="28"/>
          <w:highlight w:val="none"/>
        </w:rPr>
        <w:t>一、总则</w:t>
      </w:r>
    </w:p>
    <w:p w14:paraId="3685FE93">
      <w:pPr>
        <w:spacing w:after="0" w:line="312" w:lineRule="auto"/>
        <w:ind w:firstLine="411" w:firstLineChars="196"/>
        <w:rPr>
          <w:rFonts w:ascii="Arial" w:hAnsi="Arial" w:eastAsia="宋体" w:cs="Arial"/>
          <w:b/>
          <w:color w:val="auto"/>
          <w:szCs w:val="21"/>
          <w:highlight w:val="none"/>
        </w:rPr>
      </w:pPr>
      <w:r>
        <w:rPr>
          <w:rFonts w:ascii="Arial" w:hAnsi="Arial" w:eastAsia="宋体" w:cs="Arial"/>
          <w:b/>
          <w:color w:val="auto"/>
          <w:szCs w:val="21"/>
          <w:highlight w:val="none"/>
        </w:rPr>
        <w:t>1. 适应范围</w:t>
      </w:r>
    </w:p>
    <w:p w14:paraId="4D841868">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1.1  项目名称及项目编号：</w:t>
      </w:r>
    </w:p>
    <w:p w14:paraId="5FA920CD">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 xml:space="preserve">     项目名称：</w:t>
      </w:r>
      <w:r>
        <w:rPr>
          <w:rFonts w:hint="eastAsia" w:ascii="Arial" w:hAnsi="Arial" w:eastAsia="宋体" w:cs="Arial"/>
          <w:color w:val="auto"/>
          <w:highlight w:val="none"/>
        </w:rPr>
        <w:t xml:space="preserve">桂林理工大学实训楼A座机房设备升级改造项目 </w:t>
      </w:r>
      <w:r>
        <w:rPr>
          <w:rFonts w:ascii="Arial" w:hAnsi="Arial" w:eastAsia="宋体" w:cs="Arial"/>
          <w:color w:val="auto"/>
          <w:szCs w:val="21"/>
          <w:highlight w:val="none"/>
        </w:rPr>
        <w:t xml:space="preserve">   </w:t>
      </w:r>
    </w:p>
    <w:p w14:paraId="765C3C33">
      <w:pPr>
        <w:spacing w:after="0" w:line="312" w:lineRule="auto"/>
        <w:ind w:firstLine="435"/>
        <w:rPr>
          <w:rFonts w:hint="eastAsia" w:ascii="Arial" w:hAnsi="Arial" w:eastAsia="宋体" w:cs="Arial"/>
          <w:color w:val="auto"/>
          <w:szCs w:val="21"/>
          <w:highlight w:val="none"/>
          <w:lang w:eastAsia="zh-CN"/>
        </w:rPr>
      </w:pPr>
      <w:r>
        <w:rPr>
          <w:rFonts w:ascii="Arial" w:hAnsi="Arial" w:eastAsia="宋体" w:cs="Arial"/>
          <w:color w:val="auto"/>
          <w:szCs w:val="21"/>
          <w:highlight w:val="none"/>
        </w:rPr>
        <w:t xml:space="preserve">     项目</w:t>
      </w:r>
      <w:r>
        <w:rPr>
          <w:rFonts w:ascii="Arial" w:hAnsi="Arial" w:eastAsia="宋体" w:cs="Arial"/>
          <w:color w:val="auto"/>
          <w:highlight w:val="none"/>
        </w:rPr>
        <w:t xml:space="preserve">编号： </w:t>
      </w:r>
      <w:r>
        <w:rPr>
          <w:rFonts w:hint="eastAsia" w:ascii="Arial" w:hAnsi="Arial" w:eastAsia="宋体" w:cs="Arial"/>
          <w:color w:val="auto"/>
          <w:highlight w:val="none"/>
          <w:lang w:eastAsia="zh-CN"/>
        </w:rPr>
        <w:t>GXJD-25114CC031016</w:t>
      </w:r>
    </w:p>
    <w:p w14:paraId="4B7E67AA">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1.2本竞争性谈判文件（以下简称谈判文件）适用于本谈判项目的谈判、评审、合同履约、验收、付款等行为（法律、法规另有规定的，从其规定）。</w:t>
      </w:r>
    </w:p>
    <w:p w14:paraId="4B5BB767">
      <w:pPr>
        <w:spacing w:after="0" w:line="312" w:lineRule="auto"/>
        <w:ind w:firstLine="435"/>
        <w:rPr>
          <w:rFonts w:ascii="Arial" w:hAnsi="Arial" w:eastAsia="宋体" w:cs="Arial"/>
          <w:b/>
          <w:color w:val="auto"/>
          <w:szCs w:val="21"/>
          <w:highlight w:val="none"/>
        </w:rPr>
      </w:pPr>
      <w:r>
        <w:rPr>
          <w:rFonts w:ascii="Arial" w:hAnsi="Arial" w:eastAsia="宋体" w:cs="Arial"/>
          <w:b/>
          <w:color w:val="auto"/>
          <w:szCs w:val="21"/>
          <w:highlight w:val="none"/>
        </w:rPr>
        <w:t>2. 定义</w:t>
      </w:r>
    </w:p>
    <w:p w14:paraId="1897D1AC">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2.1“供应商”是指符合本次采购项目的供应商资格并提交响应文件、参加谈判的供应商。如果该供应商在本次谈判中成交，即成为“成交供应商”。</w:t>
      </w:r>
    </w:p>
    <w:p w14:paraId="13537281">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2.2“货物”系指按谈判文件规定，供应商须向采购人提供的一切设备、保险、税金、备品备件、工具、手册及其它有关技术资料和材料。</w:t>
      </w:r>
    </w:p>
    <w:p w14:paraId="035C6920">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2.3“服务”系指按谈判文件规定，供应商须承担的安装、调试、技术协助、校准、培训、技术指导以及其他类似的义务。</w:t>
      </w:r>
    </w:p>
    <w:p w14:paraId="0B39B530">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2.4“项目”系指供应商按谈判文件规定向采购人提供的货物和服务。</w:t>
      </w:r>
    </w:p>
    <w:p w14:paraId="3FE8ADA2">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2.5“书面形式”包括信函、传真、电报等。</w:t>
      </w:r>
    </w:p>
    <w:p w14:paraId="5C59E65C">
      <w:pPr>
        <w:spacing w:after="0" w:line="312" w:lineRule="auto"/>
        <w:ind w:firstLine="435"/>
        <w:rPr>
          <w:rFonts w:ascii="Arial" w:hAnsi="Arial" w:eastAsia="宋体" w:cs="Arial"/>
          <w:b/>
          <w:color w:val="auto"/>
          <w:sz w:val="24"/>
          <w:highlight w:val="none"/>
        </w:rPr>
      </w:pPr>
      <w:r>
        <w:rPr>
          <w:rFonts w:ascii="Arial" w:hAnsi="Arial" w:eastAsia="宋体" w:cs="Arial"/>
          <w:b/>
          <w:color w:val="auto"/>
          <w:sz w:val="24"/>
          <w:highlight w:val="none"/>
        </w:rPr>
        <w:t>2.6实质性要求：“项目采购需求”中所有条款要求及竞争性谈判文件中要求“必须提供”的条款均为实质性要求，如有负偏离或不满足要求则响应被否决。</w:t>
      </w:r>
    </w:p>
    <w:p w14:paraId="7FE72E56">
      <w:pPr>
        <w:spacing w:after="0" w:line="312" w:lineRule="auto"/>
        <w:ind w:firstLine="435"/>
        <w:rPr>
          <w:rFonts w:ascii="Arial" w:hAnsi="Arial" w:eastAsia="宋体" w:cs="Arial"/>
          <w:b/>
          <w:color w:val="auto"/>
          <w:szCs w:val="21"/>
          <w:highlight w:val="none"/>
        </w:rPr>
      </w:pPr>
      <w:r>
        <w:rPr>
          <w:rFonts w:ascii="Arial" w:hAnsi="Arial" w:eastAsia="宋体" w:cs="Arial"/>
          <w:b/>
          <w:color w:val="auto"/>
          <w:szCs w:val="21"/>
          <w:highlight w:val="none"/>
        </w:rPr>
        <w:t>3. 供应商资格</w:t>
      </w:r>
    </w:p>
    <w:p w14:paraId="62E98E0E">
      <w:pPr>
        <w:spacing w:after="0" w:line="312" w:lineRule="auto"/>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3.1符合《中华人民共和国政府采购法》第二十二条规定。</w:t>
      </w:r>
    </w:p>
    <w:p w14:paraId="34FB8FD2">
      <w:pPr>
        <w:spacing w:after="0" w:line="312" w:lineRule="auto"/>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3.2</w:t>
      </w:r>
      <w:r>
        <w:rPr>
          <w:rFonts w:ascii="Arial" w:hAnsi="Arial" w:eastAsia="宋体" w:cs="Arial"/>
          <w:color w:val="auto"/>
          <w:highlight w:val="none"/>
        </w:rPr>
        <w:t>供应商的特定资格要求：</w:t>
      </w:r>
      <w:r>
        <w:rPr>
          <w:rFonts w:hint="eastAsia" w:ascii="Arial" w:hAnsi="Arial" w:eastAsia="宋体" w:cs="Arial"/>
          <w:b/>
          <w:bCs/>
          <w:color w:val="auto"/>
          <w:highlight w:val="none"/>
        </w:rPr>
        <w:t>本项目非专门面向中小微企业采购</w:t>
      </w:r>
      <w:r>
        <w:rPr>
          <w:rFonts w:ascii="Arial" w:hAnsi="Arial" w:eastAsia="宋体" w:cs="Arial"/>
          <w:b/>
          <w:bCs/>
          <w:color w:val="auto"/>
          <w:highlight w:val="none"/>
        </w:rPr>
        <w:t>。</w:t>
      </w:r>
    </w:p>
    <w:p w14:paraId="31C931DF">
      <w:pPr>
        <w:spacing w:after="0" w:line="312" w:lineRule="auto"/>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3.3.单位负责人为同一人或者存在直接控股、管理关系的不同供应商，不得参加同一合同项下的采购活动。为本项目提供过整体设计、规范编制或者项目管理、监理、检测等服务的供应商，不得再参加本项目上述服务以外的其他采购活动。</w:t>
      </w:r>
    </w:p>
    <w:p w14:paraId="0E8B15E6">
      <w:pPr>
        <w:spacing w:after="0" w:line="312" w:lineRule="auto"/>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14:paraId="08D3E2E3">
      <w:pPr>
        <w:spacing w:after="0" w:line="312" w:lineRule="auto"/>
        <w:ind w:firstLine="435"/>
        <w:rPr>
          <w:rFonts w:ascii="Arial" w:hAnsi="Arial" w:eastAsia="宋体" w:cs="Arial"/>
          <w:color w:val="auto"/>
          <w:kern w:val="0"/>
          <w:sz w:val="24"/>
          <w:highlight w:val="none"/>
        </w:rPr>
      </w:pPr>
      <w:r>
        <w:rPr>
          <w:rFonts w:ascii="Arial" w:hAnsi="Arial" w:eastAsia="宋体" w:cs="Arial"/>
          <w:color w:val="auto"/>
          <w:kern w:val="0"/>
          <w:szCs w:val="21"/>
          <w:highlight w:val="none"/>
        </w:rPr>
        <w:t>3.5.本项目不接受联合体参与谈判</w:t>
      </w:r>
      <w:r>
        <w:rPr>
          <w:rFonts w:ascii="Arial" w:hAnsi="Arial" w:eastAsia="宋体" w:cs="Arial"/>
          <w:color w:val="auto"/>
          <w:highlight w:val="none"/>
        </w:rPr>
        <w:t>。</w:t>
      </w:r>
    </w:p>
    <w:p w14:paraId="43B3D922">
      <w:pPr>
        <w:spacing w:after="0" w:line="312" w:lineRule="auto"/>
        <w:ind w:firstLine="435"/>
        <w:rPr>
          <w:rFonts w:ascii="Arial" w:hAnsi="Arial" w:eastAsia="宋体" w:cs="Arial"/>
          <w:b/>
          <w:color w:val="auto"/>
          <w:szCs w:val="21"/>
          <w:highlight w:val="none"/>
        </w:rPr>
      </w:pPr>
      <w:r>
        <w:rPr>
          <w:rFonts w:ascii="Arial" w:hAnsi="Arial" w:eastAsia="宋体" w:cs="Arial"/>
          <w:b/>
          <w:color w:val="auto"/>
          <w:szCs w:val="21"/>
          <w:highlight w:val="none"/>
        </w:rPr>
        <w:t>4. 谈判费用</w:t>
      </w:r>
    </w:p>
    <w:p w14:paraId="659DCFCE">
      <w:pPr>
        <w:tabs>
          <w:tab w:val="left" w:pos="1635"/>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不论谈判结果如何，供应商均应自行承担所有与谈判有关的全部费用。</w:t>
      </w:r>
    </w:p>
    <w:p w14:paraId="723A0599">
      <w:pPr>
        <w:tabs>
          <w:tab w:val="left" w:pos="1635"/>
        </w:tabs>
        <w:spacing w:after="0" w:line="312" w:lineRule="auto"/>
        <w:ind w:firstLine="435"/>
        <w:rPr>
          <w:rFonts w:ascii="Arial" w:hAnsi="Arial" w:eastAsia="宋体" w:cs="Arial"/>
          <w:b/>
          <w:color w:val="auto"/>
          <w:szCs w:val="21"/>
          <w:highlight w:val="none"/>
        </w:rPr>
      </w:pPr>
      <w:r>
        <w:rPr>
          <w:rFonts w:ascii="Arial" w:hAnsi="Arial" w:eastAsia="宋体" w:cs="Arial"/>
          <w:b/>
          <w:color w:val="auto"/>
          <w:szCs w:val="21"/>
          <w:highlight w:val="none"/>
        </w:rPr>
        <w:t>5. 联合体要求：</w:t>
      </w:r>
      <w:r>
        <w:rPr>
          <w:rFonts w:ascii="Arial" w:hAnsi="Arial" w:eastAsia="宋体" w:cs="Arial"/>
          <w:color w:val="auto"/>
          <w:szCs w:val="21"/>
          <w:highlight w:val="none"/>
        </w:rPr>
        <w:t>本项目不接受联合体参与谈判。</w:t>
      </w:r>
    </w:p>
    <w:p w14:paraId="36F5B0C6">
      <w:pPr>
        <w:tabs>
          <w:tab w:val="left" w:pos="2190"/>
        </w:tabs>
        <w:spacing w:after="0" w:line="312" w:lineRule="auto"/>
        <w:ind w:firstLine="435"/>
        <w:rPr>
          <w:rFonts w:ascii="Arial" w:hAnsi="Arial" w:eastAsia="宋体" w:cs="Arial"/>
          <w:b/>
          <w:color w:val="auto"/>
          <w:szCs w:val="21"/>
          <w:highlight w:val="none"/>
        </w:rPr>
      </w:pPr>
      <w:r>
        <w:rPr>
          <w:rFonts w:ascii="Arial" w:hAnsi="Arial" w:eastAsia="宋体" w:cs="Arial"/>
          <w:b/>
          <w:color w:val="auto"/>
          <w:szCs w:val="21"/>
          <w:highlight w:val="none"/>
        </w:rPr>
        <w:t>6.异议</w:t>
      </w:r>
    </w:p>
    <w:p w14:paraId="0A8B6EE1">
      <w:pPr>
        <w:tabs>
          <w:tab w:val="left" w:pos="1635"/>
        </w:tabs>
        <w:spacing w:after="0" w:line="312" w:lineRule="auto"/>
        <w:ind w:firstLine="435"/>
        <w:rPr>
          <w:rFonts w:ascii="Arial" w:hAnsi="Arial" w:eastAsia="宋体" w:cs="Arial"/>
          <w:b/>
          <w:bCs/>
          <w:color w:val="auto"/>
          <w:szCs w:val="21"/>
          <w:highlight w:val="none"/>
        </w:rPr>
      </w:pPr>
      <w:r>
        <w:rPr>
          <w:rFonts w:ascii="Arial" w:hAnsi="Arial" w:eastAsia="宋体" w:cs="Arial"/>
          <w:b/>
          <w:bCs/>
          <w:color w:val="auto"/>
          <w:szCs w:val="21"/>
          <w:highlight w:val="none"/>
        </w:rPr>
        <w:t>6.1异议内容、时限</w:t>
      </w:r>
    </w:p>
    <w:p w14:paraId="22296423">
      <w:pPr>
        <w:tabs>
          <w:tab w:val="left" w:pos="1635"/>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（1）潜在供应商对谈判文件有异议的，应当在首次提交响应文件截止之日3日前提出，并附相关证明材料以书面形式递交。</w:t>
      </w:r>
    </w:p>
    <w:p w14:paraId="28F3679C">
      <w:pPr>
        <w:tabs>
          <w:tab w:val="left" w:pos="1635"/>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（2）供应商对截标有异议的，应当在截标现场提出。</w:t>
      </w:r>
    </w:p>
    <w:p w14:paraId="1CDA9DCC">
      <w:pPr>
        <w:tabs>
          <w:tab w:val="left" w:pos="1635"/>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（3）供应商对成交结果有异议的，应当在成交结果公告期内以书面形式提出，并附相关证明材料。</w:t>
      </w:r>
    </w:p>
    <w:p w14:paraId="09E45196">
      <w:pPr>
        <w:tabs>
          <w:tab w:val="left" w:pos="1635"/>
        </w:tabs>
        <w:spacing w:after="0" w:line="312" w:lineRule="auto"/>
        <w:ind w:firstLine="435"/>
        <w:rPr>
          <w:rFonts w:ascii="Arial" w:hAnsi="Arial" w:eastAsia="宋体" w:cs="Arial"/>
          <w:b/>
          <w:bCs/>
          <w:color w:val="auto"/>
          <w:szCs w:val="21"/>
          <w:highlight w:val="none"/>
        </w:rPr>
      </w:pPr>
      <w:r>
        <w:rPr>
          <w:rFonts w:ascii="Arial" w:hAnsi="Arial" w:eastAsia="宋体" w:cs="Arial"/>
          <w:b/>
          <w:bCs/>
          <w:color w:val="auto"/>
          <w:szCs w:val="21"/>
          <w:highlight w:val="none"/>
        </w:rPr>
        <w:t>6.2异议答复时限</w:t>
      </w:r>
    </w:p>
    <w:p w14:paraId="171A9CFE">
      <w:pPr>
        <w:tabs>
          <w:tab w:val="left" w:pos="1635"/>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采购人在收到供应商书面异议后3日内，对异议内容作出答复。</w:t>
      </w:r>
    </w:p>
    <w:p w14:paraId="73058A45">
      <w:pPr>
        <w:tabs>
          <w:tab w:val="left" w:pos="1635"/>
        </w:tabs>
        <w:spacing w:after="0" w:line="312" w:lineRule="auto"/>
        <w:ind w:firstLine="435"/>
        <w:rPr>
          <w:rFonts w:ascii="Arial" w:hAnsi="Arial" w:eastAsia="宋体" w:cs="Arial"/>
          <w:b/>
          <w:bCs/>
          <w:color w:val="auto"/>
          <w:szCs w:val="21"/>
          <w:highlight w:val="none"/>
        </w:rPr>
      </w:pPr>
      <w:r>
        <w:rPr>
          <w:rFonts w:ascii="Arial" w:hAnsi="Arial" w:eastAsia="宋体" w:cs="Arial"/>
          <w:b/>
          <w:bCs/>
          <w:color w:val="auto"/>
          <w:szCs w:val="21"/>
          <w:highlight w:val="none"/>
        </w:rPr>
        <w:t>6.3异议形式</w:t>
      </w:r>
    </w:p>
    <w:p w14:paraId="36967CA4">
      <w:pPr>
        <w:tabs>
          <w:tab w:val="left" w:pos="1635"/>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异议应当采用供应商须知前附表所规定的形式，异议书应明确阐述谈判文件、谈判过程或成交结果中使自己合法权益受到损害的实质性内容，提供相关事实、依据和证据及其来源或线索，便于有关单位调查、答复和处理。不满足要求的异议将不予受理。</w:t>
      </w:r>
    </w:p>
    <w:p w14:paraId="463877EB">
      <w:pPr>
        <w:tabs>
          <w:tab w:val="left" w:pos="2190"/>
        </w:tabs>
        <w:spacing w:after="0" w:line="312" w:lineRule="auto"/>
        <w:ind w:firstLine="435"/>
        <w:rPr>
          <w:rFonts w:ascii="Arial" w:hAnsi="Arial" w:eastAsia="宋体" w:cs="Arial"/>
          <w:b/>
          <w:color w:val="auto"/>
          <w:szCs w:val="21"/>
          <w:highlight w:val="none"/>
        </w:rPr>
      </w:pPr>
      <w:r>
        <w:rPr>
          <w:rFonts w:ascii="Arial" w:hAnsi="Arial" w:eastAsia="宋体" w:cs="Arial"/>
          <w:b/>
          <w:color w:val="auto"/>
          <w:szCs w:val="21"/>
          <w:highlight w:val="none"/>
        </w:rPr>
        <w:t>7. 转包与分包</w:t>
      </w:r>
    </w:p>
    <w:p w14:paraId="7F5D5220">
      <w:pPr>
        <w:tabs>
          <w:tab w:val="left" w:pos="2190"/>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7.1 本项目不允许转包。</w:t>
      </w:r>
    </w:p>
    <w:p w14:paraId="3A249B13">
      <w:pPr>
        <w:tabs>
          <w:tab w:val="left" w:pos="2190"/>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7.2 本项目不可以分包。</w:t>
      </w:r>
    </w:p>
    <w:p w14:paraId="295DEEB6">
      <w:pPr>
        <w:tabs>
          <w:tab w:val="left" w:pos="1635"/>
        </w:tabs>
        <w:spacing w:after="0" w:line="312" w:lineRule="auto"/>
        <w:ind w:firstLine="435"/>
        <w:rPr>
          <w:rFonts w:ascii="Arial" w:hAnsi="Arial" w:eastAsia="宋体" w:cs="Arial"/>
          <w:b/>
          <w:color w:val="auto"/>
          <w:szCs w:val="21"/>
          <w:highlight w:val="none"/>
        </w:rPr>
      </w:pPr>
      <w:r>
        <w:rPr>
          <w:rFonts w:ascii="Arial" w:hAnsi="Arial" w:eastAsia="宋体" w:cs="Arial"/>
          <w:b/>
          <w:color w:val="auto"/>
          <w:szCs w:val="21"/>
          <w:highlight w:val="none"/>
        </w:rPr>
        <w:t>8. 关联供应商不得参加同一合同项下采购活动，否则响应文件将被视为无效：</w:t>
      </w:r>
    </w:p>
    <w:p w14:paraId="139B888C">
      <w:pPr>
        <w:tabs>
          <w:tab w:val="left" w:pos="163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（1）单位负责人为同一人或者存在直接控股、管理关系的不同供应商，不得参加同一合同项下的采购活动。</w:t>
      </w:r>
    </w:p>
    <w:p w14:paraId="50D220D3">
      <w:pPr>
        <w:tabs>
          <w:tab w:val="left" w:pos="1635"/>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（2）为本采购项目提供整体设计、规范编制或者项目管理、监理、检测等服务的供应商，不得再参加本次采购活动。</w:t>
      </w:r>
    </w:p>
    <w:p w14:paraId="284220CF">
      <w:pPr>
        <w:tabs>
          <w:tab w:val="left" w:pos="1635"/>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（3）生产厂商授权给供应商后自己不得参加同一合同项下的采购活动；生产厂商对同一品牌同一型号的货物，仅能委托一个代理商参加谈判。</w:t>
      </w:r>
    </w:p>
    <w:p w14:paraId="0BF17D18">
      <w:pPr>
        <w:tabs>
          <w:tab w:val="left" w:pos="2190"/>
        </w:tabs>
        <w:spacing w:after="0" w:line="312" w:lineRule="auto"/>
        <w:ind w:firstLine="435"/>
        <w:jc w:val="center"/>
        <w:rPr>
          <w:rFonts w:ascii="Arial" w:hAnsi="Arial" w:eastAsia="宋体" w:cs="Arial"/>
          <w:b/>
          <w:color w:val="auto"/>
          <w:sz w:val="28"/>
          <w:szCs w:val="28"/>
          <w:highlight w:val="none"/>
        </w:rPr>
      </w:pPr>
    </w:p>
    <w:p w14:paraId="4A58B7AB">
      <w:pPr>
        <w:tabs>
          <w:tab w:val="left" w:pos="2190"/>
        </w:tabs>
        <w:spacing w:after="0" w:line="312" w:lineRule="auto"/>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二、谈判文件</w:t>
      </w:r>
    </w:p>
    <w:p w14:paraId="488AEC91">
      <w:pPr>
        <w:tabs>
          <w:tab w:val="left" w:pos="2190"/>
        </w:tabs>
        <w:spacing w:after="0" w:line="312" w:lineRule="auto"/>
        <w:ind w:firstLine="437"/>
        <w:rPr>
          <w:rFonts w:ascii="Arial" w:hAnsi="Arial" w:eastAsia="宋体" w:cs="Arial"/>
          <w:b/>
          <w:color w:val="auto"/>
          <w:szCs w:val="21"/>
          <w:highlight w:val="none"/>
        </w:rPr>
      </w:pPr>
      <w:r>
        <w:rPr>
          <w:rFonts w:ascii="Arial" w:hAnsi="Arial" w:eastAsia="宋体" w:cs="Arial"/>
          <w:b/>
          <w:color w:val="auto"/>
          <w:szCs w:val="21"/>
          <w:highlight w:val="none"/>
        </w:rPr>
        <w:t>9. 谈判文件的构成</w:t>
      </w:r>
    </w:p>
    <w:p w14:paraId="14A26187">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（1）竞争性谈判公告；</w:t>
      </w:r>
    </w:p>
    <w:p w14:paraId="34842C45">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（2）供应商须知；</w:t>
      </w:r>
    </w:p>
    <w:p w14:paraId="4DA31DB2">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（3）项目采购需求；</w:t>
      </w:r>
    </w:p>
    <w:p w14:paraId="05B70C36">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（4）评审办法；</w:t>
      </w:r>
    </w:p>
    <w:p w14:paraId="5A5C1F39">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（5）采购合同（合同主要条款及格式）；</w:t>
      </w:r>
    </w:p>
    <w:p w14:paraId="1B26C2F9">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（6）响应文件（格式）。</w:t>
      </w:r>
    </w:p>
    <w:p w14:paraId="39128833">
      <w:pPr>
        <w:tabs>
          <w:tab w:val="left" w:pos="2190"/>
        </w:tabs>
        <w:spacing w:after="0" w:line="312" w:lineRule="auto"/>
        <w:ind w:firstLine="437"/>
        <w:rPr>
          <w:rFonts w:ascii="Arial" w:hAnsi="Arial" w:eastAsia="宋体" w:cs="Arial"/>
          <w:b/>
          <w:color w:val="auto"/>
          <w:szCs w:val="21"/>
          <w:highlight w:val="none"/>
        </w:rPr>
      </w:pPr>
      <w:r>
        <w:rPr>
          <w:rFonts w:ascii="Arial" w:hAnsi="Arial" w:eastAsia="宋体" w:cs="Arial"/>
          <w:b/>
          <w:color w:val="auto"/>
          <w:szCs w:val="21"/>
          <w:highlight w:val="none"/>
        </w:rPr>
        <w:t>10. 谈判文件的澄清与修改</w:t>
      </w:r>
    </w:p>
    <w:p w14:paraId="16FFD9C8">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10.1 提交首次响应文件截止之日前，采购代理机构可以对已发出的谈判文件进行必要澄清或者修改，澄清或者修改的内容作为谈判文件的组成部分。澄清或者修改的内容可能影响响应文件编制的，采购代理机构应当在提交首次响应文件递交截止时间三个工作日前在本项目竞争性谈判公告发布的同一媒体上发布更正公告，不足三个工作日的，应当顺延首次响应文件递交截止时间。</w:t>
      </w:r>
    </w:p>
    <w:p w14:paraId="70528B8B">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10.2</w:t>
      </w:r>
      <w:r>
        <w:rPr>
          <w:rFonts w:ascii="Arial" w:hAnsi="Arial" w:eastAsia="宋体" w:cs="Arial"/>
          <w:b/>
          <w:color w:val="auto"/>
          <w:szCs w:val="21"/>
          <w:highlight w:val="none"/>
        </w:rPr>
        <w:t>供应商必须实时关注本项目信息公告发布媒体相关网站了解澄清、修改等与项目有关的内容，如因供应商未及时登录本项目信息公告发布媒体相关网站了解澄清、修改等与项目有关的内容，从而导致响应文件无效的，由供应商自行承担责任。</w:t>
      </w:r>
    </w:p>
    <w:p w14:paraId="29C0550C">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10.3澄清或者修改的内容为谈判文件的组成部分。当澄清或者修改通知就同一内容的表述不一致时，以最后发出的文件为准。</w:t>
      </w:r>
    </w:p>
    <w:p w14:paraId="528B8972">
      <w:pPr>
        <w:tabs>
          <w:tab w:val="left" w:pos="2190"/>
        </w:tabs>
        <w:spacing w:after="0" w:line="312" w:lineRule="auto"/>
        <w:ind w:firstLine="437"/>
        <w:rPr>
          <w:rFonts w:ascii="Arial" w:hAnsi="Arial" w:eastAsia="宋体" w:cs="Arial"/>
          <w:color w:val="auto"/>
          <w:szCs w:val="21"/>
          <w:highlight w:val="none"/>
        </w:rPr>
      </w:pPr>
      <w:r>
        <w:rPr>
          <w:rFonts w:ascii="Arial" w:hAnsi="Arial" w:eastAsia="宋体" w:cs="Arial"/>
          <w:color w:val="auto"/>
          <w:szCs w:val="21"/>
          <w:highlight w:val="none"/>
        </w:rPr>
        <w:t>10.4 谈判文件的澄清或者修改都应该通过本项目采购代理机构以法定形式发布，采购人非通过本机构，不得擅自澄清或者修改谈判文件。</w:t>
      </w:r>
    </w:p>
    <w:p w14:paraId="4E24BD52">
      <w:pPr>
        <w:tabs>
          <w:tab w:val="left" w:pos="2190"/>
        </w:tabs>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10.5采购代理机构可以视采购具体情况，延长首次响应文件递交截止时间和谈判时间，并在本项目竞争性谈判公告发布的同一媒体上发布变更公告。</w:t>
      </w:r>
    </w:p>
    <w:p w14:paraId="727FC3A2">
      <w:pPr>
        <w:tabs>
          <w:tab w:val="left" w:pos="2190"/>
        </w:tabs>
        <w:spacing w:after="0" w:line="312" w:lineRule="auto"/>
        <w:ind w:firstLine="435"/>
        <w:jc w:val="center"/>
        <w:rPr>
          <w:rFonts w:ascii="Arial" w:hAnsi="Arial" w:eastAsia="宋体" w:cs="Arial"/>
          <w:b/>
          <w:color w:val="auto"/>
          <w:sz w:val="28"/>
          <w:szCs w:val="28"/>
          <w:highlight w:val="none"/>
        </w:rPr>
      </w:pPr>
    </w:p>
    <w:p w14:paraId="2A811DAE">
      <w:pPr>
        <w:tabs>
          <w:tab w:val="left" w:pos="2190"/>
        </w:tabs>
        <w:spacing w:after="0" w:line="312" w:lineRule="auto"/>
        <w:ind w:firstLine="435"/>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三、竞争性谈判响应文件的编制</w:t>
      </w:r>
    </w:p>
    <w:p w14:paraId="365C718E">
      <w:pPr>
        <w:tabs>
          <w:tab w:val="left" w:pos="2190"/>
        </w:tabs>
        <w:spacing w:after="0" w:line="312" w:lineRule="auto"/>
        <w:ind w:firstLine="435"/>
        <w:rPr>
          <w:rFonts w:ascii="Arial" w:hAnsi="Arial" w:eastAsia="宋体" w:cs="Arial"/>
          <w:b/>
          <w:color w:val="auto"/>
          <w:szCs w:val="21"/>
          <w:highlight w:val="none"/>
        </w:rPr>
      </w:pPr>
      <w:r>
        <w:rPr>
          <w:rFonts w:ascii="Arial" w:hAnsi="Arial" w:eastAsia="宋体" w:cs="Arial"/>
          <w:b/>
          <w:color w:val="auto"/>
          <w:szCs w:val="21"/>
          <w:highlight w:val="none"/>
        </w:rPr>
        <w:t>11.竞争性谈判响应文件（以下简称响应文件）的组成及要求</w:t>
      </w:r>
    </w:p>
    <w:p w14:paraId="137D2A28">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b/>
          <w:color w:val="auto"/>
          <w:szCs w:val="21"/>
          <w:highlight w:val="none"/>
        </w:rPr>
        <w:t>11.1响应文件组成【格式见第六章“响应文件（格式）”】</w:t>
      </w:r>
    </w:p>
    <w:p w14:paraId="43C704A4">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11.1.1资格性响应证明材料：</w:t>
      </w:r>
    </w:p>
    <w:p w14:paraId="4509E5B0">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（1）响应函</w:t>
      </w:r>
      <w:r>
        <w:rPr>
          <w:rFonts w:ascii="Arial" w:hAnsi="Arial" w:eastAsia="宋体" w:cs="Arial"/>
          <w:b/>
          <w:color w:val="auto"/>
          <w:szCs w:val="21"/>
          <w:highlight w:val="none"/>
        </w:rPr>
        <w:t>（必须提供）；</w:t>
      </w:r>
    </w:p>
    <w:p w14:paraId="27BD702C">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（2）供应商相应的法定代表人(负责人)身份证正反两面复印件</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29851CA8">
      <w:pPr>
        <w:tabs>
          <w:tab w:val="left" w:pos="1305"/>
          <w:tab w:val="left" w:pos="7020"/>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（3）供应商的授权委托书原件、委托代理人身份证正反面复印件</w:t>
      </w:r>
      <w:r>
        <w:rPr>
          <w:rFonts w:ascii="Arial" w:hAnsi="Arial" w:eastAsia="宋体" w:cs="Arial"/>
          <w:b/>
          <w:color w:val="auto"/>
          <w:szCs w:val="21"/>
          <w:highlight w:val="none"/>
        </w:rPr>
        <w:t>（委托代理时必须提供）</w:t>
      </w:r>
    </w:p>
    <w:p w14:paraId="72A9163F">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（4）供应商的法人或者其他组织营业执照等证明文件复印件</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5BC75816">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098B1EBC">
      <w:pPr>
        <w:tabs>
          <w:tab w:val="left" w:pos="1305"/>
          <w:tab w:val="left" w:pos="7020"/>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（5）供应商</w:t>
      </w:r>
      <w:r>
        <w:rPr>
          <w:rFonts w:hint="eastAsia" w:ascii="Arial" w:hAnsi="Arial" w:eastAsia="宋体" w:cs="Arial"/>
          <w:color w:val="auto"/>
          <w:szCs w:val="21"/>
          <w:highlight w:val="none"/>
        </w:rPr>
        <w:t>2024年</w:t>
      </w:r>
      <w:r>
        <w:rPr>
          <w:rFonts w:ascii="Arial" w:hAnsi="Arial" w:eastAsia="宋体" w:cs="Arial"/>
          <w:color w:val="auto"/>
          <w:szCs w:val="21"/>
          <w:highlight w:val="none"/>
        </w:rPr>
        <w:t>的审计报告或财务报表（至少包含资产负债表、利润表、现金流量表）（</w:t>
      </w:r>
      <w:r>
        <w:rPr>
          <w:rFonts w:hint="eastAsia" w:ascii="Arial" w:hAnsi="Arial" w:eastAsia="宋体" w:cs="Arial"/>
          <w:color w:val="auto"/>
          <w:szCs w:val="21"/>
          <w:highlight w:val="none"/>
        </w:rPr>
        <w:t>2025年</w:t>
      </w:r>
      <w:r>
        <w:rPr>
          <w:rFonts w:ascii="Arial" w:hAnsi="Arial" w:eastAsia="宋体" w:cs="Arial"/>
          <w:color w:val="auto"/>
          <w:szCs w:val="21"/>
          <w:highlight w:val="none"/>
        </w:rPr>
        <w:t>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w:t>
      </w:r>
      <w:r>
        <w:rPr>
          <w:rFonts w:ascii="Arial" w:hAnsi="Arial" w:eastAsia="宋体" w:cs="Arial"/>
          <w:b/>
          <w:color w:val="auto"/>
          <w:szCs w:val="21"/>
          <w:highlight w:val="none"/>
        </w:rPr>
        <w:t>（必须提供）</w:t>
      </w:r>
      <w:r>
        <w:rPr>
          <w:rFonts w:ascii="Arial" w:hAnsi="Arial" w:eastAsia="宋体" w:cs="Arial"/>
          <w:color w:val="auto"/>
          <w:szCs w:val="21"/>
          <w:highlight w:val="none"/>
        </w:rPr>
        <w:t xml:space="preserve"> ； </w:t>
      </w:r>
    </w:p>
    <w:p w14:paraId="3926C480">
      <w:pPr>
        <w:snapToGrid w:val="0"/>
        <w:spacing w:after="0" w:line="312" w:lineRule="auto"/>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1F4D30CD">
      <w:pPr>
        <w:tabs>
          <w:tab w:val="left" w:pos="1305"/>
          <w:tab w:val="left" w:pos="7020"/>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（7）供应商至响应文件递交截止时间前6个月内，任意1个月依法缴纳社会保障资金的相关材料复印件</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6F55FB31">
      <w:pPr>
        <w:snapToGrid w:val="0"/>
        <w:spacing w:after="0" w:line="312" w:lineRule="auto"/>
        <w:ind w:firstLine="411" w:firstLineChars="196"/>
        <w:jc w:val="left"/>
        <w:rPr>
          <w:rFonts w:ascii="Arial" w:hAnsi="Arial" w:eastAsia="宋体" w:cs="Arial"/>
          <w:b/>
          <w:color w:val="auto"/>
          <w:szCs w:val="21"/>
          <w:highlight w:val="none"/>
        </w:rPr>
      </w:pPr>
      <w:r>
        <w:rPr>
          <w:rFonts w:ascii="Arial" w:hAnsi="Arial" w:eastAsia="宋体" w:cs="Arial"/>
          <w:color w:val="auto"/>
          <w:szCs w:val="21"/>
          <w:highlight w:val="none"/>
        </w:rPr>
        <w:t>（8）供应商参加采购活动前3年内在经营活动中没有重大违法记录及有关信用信息的书面声明</w:t>
      </w:r>
      <w:r>
        <w:rPr>
          <w:rFonts w:ascii="Arial" w:hAnsi="Arial" w:eastAsia="宋体" w:cs="Arial"/>
          <w:b/>
          <w:color w:val="auto"/>
          <w:szCs w:val="21"/>
          <w:highlight w:val="none"/>
        </w:rPr>
        <w:t>（必须提供）；</w:t>
      </w:r>
    </w:p>
    <w:p w14:paraId="50927505">
      <w:pPr>
        <w:snapToGrid w:val="0"/>
        <w:spacing w:after="0" w:line="312" w:lineRule="auto"/>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（9）供应商股东及出资信息表</w:t>
      </w:r>
      <w:r>
        <w:rPr>
          <w:rFonts w:ascii="Arial" w:hAnsi="Arial" w:eastAsia="宋体" w:cs="Arial"/>
          <w:b/>
          <w:color w:val="auto"/>
          <w:szCs w:val="21"/>
          <w:highlight w:val="none"/>
        </w:rPr>
        <w:t>（必须提供）</w:t>
      </w:r>
    </w:p>
    <w:p w14:paraId="1DA02227">
      <w:pPr>
        <w:snapToGrid w:val="0"/>
        <w:spacing w:after="0" w:line="312" w:lineRule="auto"/>
        <w:ind w:firstLine="411" w:firstLineChars="196"/>
        <w:jc w:val="left"/>
        <w:rPr>
          <w:rFonts w:ascii="Arial" w:hAnsi="Arial" w:eastAsia="宋体" w:cs="Arial"/>
          <w:b/>
          <w:color w:val="auto"/>
          <w:szCs w:val="21"/>
          <w:highlight w:val="none"/>
        </w:rPr>
      </w:pPr>
      <w:r>
        <w:rPr>
          <w:rFonts w:ascii="Arial" w:hAnsi="Arial" w:eastAsia="宋体" w:cs="Arial"/>
          <w:color w:val="auto"/>
          <w:szCs w:val="21"/>
          <w:highlight w:val="none"/>
        </w:rPr>
        <w:t>（10）供应商参加本项目无围标串标行为的承诺函</w:t>
      </w:r>
      <w:r>
        <w:rPr>
          <w:rFonts w:ascii="Arial" w:hAnsi="Arial" w:eastAsia="宋体" w:cs="Arial"/>
          <w:b/>
          <w:color w:val="auto"/>
          <w:szCs w:val="21"/>
          <w:highlight w:val="none"/>
        </w:rPr>
        <w:t>（必须提供）</w:t>
      </w:r>
    </w:p>
    <w:p w14:paraId="234AE3C6">
      <w:pPr>
        <w:snapToGrid w:val="0"/>
        <w:spacing w:after="0" w:line="312" w:lineRule="auto"/>
        <w:ind w:firstLine="411" w:firstLineChars="196"/>
        <w:jc w:val="left"/>
        <w:rPr>
          <w:rFonts w:ascii="Arial" w:hAnsi="Arial" w:eastAsia="宋体" w:cs="Arial"/>
          <w:b/>
          <w:color w:val="auto"/>
          <w:szCs w:val="21"/>
          <w:highlight w:val="none"/>
        </w:rPr>
      </w:pPr>
      <w:r>
        <w:rPr>
          <w:rFonts w:ascii="Arial" w:hAnsi="Arial" w:eastAsia="宋体" w:cs="Arial"/>
          <w:bCs/>
          <w:color w:val="auto"/>
          <w:szCs w:val="21"/>
          <w:highlight w:val="none"/>
        </w:rPr>
        <w:t>（11）谈判保证缴纳证明材料复印件</w:t>
      </w:r>
      <w:r>
        <w:rPr>
          <w:rFonts w:ascii="Arial" w:hAnsi="Arial" w:eastAsia="宋体" w:cs="Arial"/>
          <w:b/>
          <w:color w:val="auto"/>
          <w:szCs w:val="21"/>
          <w:highlight w:val="none"/>
        </w:rPr>
        <w:t>（必须提供）</w:t>
      </w:r>
    </w:p>
    <w:p w14:paraId="0B10DFDA">
      <w:pPr>
        <w:tabs>
          <w:tab w:val="left" w:pos="1305"/>
        </w:tabs>
        <w:spacing w:after="0" w:line="312" w:lineRule="auto"/>
        <w:ind w:firstLine="630" w:firstLineChars="300"/>
        <w:rPr>
          <w:rFonts w:ascii="Arial" w:hAnsi="Arial" w:eastAsia="宋体" w:cs="Arial"/>
          <w:b/>
          <w:color w:val="auto"/>
          <w:szCs w:val="21"/>
          <w:highlight w:val="none"/>
        </w:rPr>
      </w:pPr>
      <w:r>
        <w:rPr>
          <w:rFonts w:ascii="Arial" w:hAnsi="Arial" w:eastAsia="宋体" w:cs="Arial"/>
          <w:b/>
          <w:color w:val="auto"/>
          <w:szCs w:val="21"/>
          <w:highlight w:val="none"/>
        </w:rPr>
        <w:t>11.1.2符合性响应证明材料：</w:t>
      </w:r>
    </w:p>
    <w:p w14:paraId="21685529">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（1）谈判报价表</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3A97CAC1">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（2）技术响应表</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6C4A252D">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（3）供应商的项目实施方案</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73813218">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color w:val="auto"/>
          <w:szCs w:val="21"/>
          <w:highlight w:val="none"/>
        </w:rPr>
        <w:t>（4）供应商的售后服务承诺书</w:t>
      </w:r>
      <w:r>
        <w:rPr>
          <w:rFonts w:ascii="Arial" w:hAnsi="Arial" w:eastAsia="宋体" w:cs="Arial"/>
          <w:b/>
          <w:color w:val="auto"/>
          <w:szCs w:val="21"/>
          <w:highlight w:val="none"/>
        </w:rPr>
        <w:t>（必须提供）；</w:t>
      </w:r>
    </w:p>
    <w:p w14:paraId="3E6BC193">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（5）商务响应表</w:t>
      </w:r>
      <w:r>
        <w:rPr>
          <w:rFonts w:ascii="Arial" w:hAnsi="Arial" w:eastAsia="宋体" w:cs="Arial"/>
          <w:b/>
          <w:color w:val="auto"/>
          <w:szCs w:val="21"/>
          <w:highlight w:val="none"/>
        </w:rPr>
        <w:t>（必须提供）；</w:t>
      </w:r>
    </w:p>
    <w:p w14:paraId="46EDEBCF">
      <w:pPr>
        <w:widowControl/>
        <w:spacing w:after="0" w:line="312" w:lineRule="auto"/>
        <w:ind w:firstLine="420" w:firstLineChars="200"/>
        <w:jc w:val="left"/>
        <w:rPr>
          <w:rFonts w:ascii="Arial" w:hAnsi="Arial" w:eastAsia="宋体" w:cs="Arial"/>
          <w:b/>
          <w:color w:val="auto"/>
          <w:szCs w:val="21"/>
          <w:highlight w:val="none"/>
        </w:rPr>
      </w:pPr>
      <w:r>
        <w:rPr>
          <w:rFonts w:ascii="Arial" w:hAnsi="Arial" w:eastAsia="宋体" w:cs="Arial"/>
          <w:b/>
          <w:color w:val="auto"/>
          <w:szCs w:val="21"/>
          <w:highlight w:val="none"/>
        </w:rPr>
        <w:t>11.1.3其它有效证明材料：</w:t>
      </w:r>
    </w:p>
    <w:p w14:paraId="307C4203">
      <w:pPr>
        <w:pStyle w:val="14"/>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（1）项目实施人员一览表</w:t>
      </w:r>
      <w:r>
        <w:rPr>
          <w:rFonts w:ascii="Arial" w:hAnsi="Arial" w:eastAsia="宋体" w:cs="Arial"/>
          <w:b/>
          <w:color w:val="auto"/>
          <w:szCs w:val="21"/>
          <w:highlight w:val="none"/>
        </w:rPr>
        <w:t>【如有，请提供，并一起提供由县级以上（含县级）社会养老保险经办机构出具的供应商为项目实施人员交纳社保证明复印件】；</w:t>
      </w:r>
    </w:p>
    <w:p w14:paraId="29FD3074">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（2）供应商具有同类产品的销售业绩的相关证明材料（无不良记录，以中标、成交通知书或签订的销售合同为准，并能清晰反映所销售的货物名称、种类、金额）</w:t>
      </w:r>
      <w:r>
        <w:rPr>
          <w:rFonts w:ascii="Arial" w:hAnsi="Arial" w:eastAsia="宋体" w:cs="Arial"/>
          <w:b/>
          <w:color w:val="auto"/>
          <w:highlight w:val="none"/>
        </w:rPr>
        <w:t>（如有，请提供）；</w:t>
      </w:r>
    </w:p>
    <w:p w14:paraId="713890EE">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（3）供应商相关获奖证书、认证证书等复印件</w:t>
      </w:r>
      <w:r>
        <w:rPr>
          <w:rFonts w:ascii="Arial" w:hAnsi="Arial" w:eastAsia="宋体" w:cs="Arial"/>
          <w:b/>
          <w:color w:val="auto"/>
          <w:highlight w:val="none"/>
        </w:rPr>
        <w:t>（如有，请提供）；</w:t>
      </w:r>
    </w:p>
    <w:p w14:paraId="221CDC8B">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highlight w:val="none"/>
        </w:rPr>
        <w:t>（4）供应商可结合本项目自身情况自行提交其它相关证明材料</w:t>
      </w:r>
      <w:r>
        <w:rPr>
          <w:rFonts w:ascii="Arial" w:hAnsi="Arial" w:eastAsia="宋体" w:cs="Arial"/>
          <w:b/>
          <w:color w:val="auto"/>
          <w:highlight w:val="none"/>
        </w:rPr>
        <w:t>（如有，请提供）</w:t>
      </w:r>
      <w:r>
        <w:rPr>
          <w:rFonts w:ascii="Arial" w:hAnsi="Arial" w:eastAsia="宋体" w:cs="Arial"/>
          <w:color w:val="auto"/>
          <w:szCs w:val="21"/>
          <w:highlight w:val="none"/>
        </w:rPr>
        <w:t>。</w:t>
      </w:r>
    </w:p>
    <w:p w14:paraId="4845917E">
      <w:pPr>
        <w:snapToGrid w:val="0"/>
        <w:spacing w:after="0" w:line="312" w:lineRule="auto"/>
        <w:ind w:firstLine="420" w:firstLineChars="200"/>
        <w:rPr>
          <w:rFonts w:ascii="Arial" w:hAnsi="Arial" w:eastAsia="宋体" w:cs="Arial"/>
          <w:color w:val="auto"/>
          <w:szCs w:val="20"/>
          <w:highlight w:val="none"/>
        </w:rPr>
      </w:pPr>
      <w:r>
        <w:rPr>
          <w:rFonts w:ascii="Arial" w:hAnsi="Arial" w:eastAsia="宋体" w:cs="Arial"/>
          <w:b/>
          <w:color w:val="auto"/>
          <w:szCs w:val="21"/>
          <w:highlight w:val="none"/>
        </w:rPr>
        <w:t>供应商提供的以上相关证明材料必须真实有效，属于“必须提供”的文件必须加盖供应商公章（扫描公章无效），否则响应文件作无效处理。</w:t>
      </w:r>
    </w:p>
    <w:p w14:paraId="2FEB762D">
      <w:pPr>
        <w:pStyle w:val="14"/>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11.2 供应商应按竞争性谈判文件第六章“响应文件（格式）”编制响应文件。</w:t>
      </w:r>
    </w:p>
    <w:p w14:paraId="7721694C">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12. 响应文件的语言及计量</w:t>
      </w:r>
    </w:p>
    <w:p w14:paraId="57D1775A">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12.1 响应文件以及供应商与采购代理机构就有关谈判事宜的所有来往函电，均必须以中文汉语书写。供应商提交的支持文件和印刷的文献可以使用别的语言，但其相应内容必须附有中文翻译文本，在解释响应文件时以中文翻译文本为主。</w:t>
      </w:r>
    </w:p>
    <w:p w14:paraId="19DCA385">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12.2 谈判计量单位，谈判文件已有明确规定的，使用谈判文件规定的计量单位；谈判文件没有规定的，必须采用中华人民共和国法定计量单位（货币单位：人民币元），否则视同未响应。</w:t>
      </w:r>
    </w:p>
    <w:p w14:paraId="4079E767">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13. 谈判报价及采购预算金额</w:t>
      </w:r>
    </w:p>
    <w:p w14:paraId="1FAF3C34">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13.1 谈判报价必须按谈判文件中相关附件格式填写。</w:t>
      </w:r>
      <w:r>
        <w:rPr>
          <w:rFonts w:ascii="Arial" w:hAnsi="Arial" w:eastAsia="宋体" w:cs="Arial"/>
          <w:b/>
          <w:bCs/>
          <w:color w:val="auto"/>
          <w:szCs w:val="21"/>
          <w:highlight w:val="none"/>
        </w:rPr>
        <w:t>采购预算金额：</w:t>
      </w:r>
      <w:r>
        <w:rPr>
          <w:rFonts w:hint="eastAsia" w:ascii="Arial" w:hAnsi="Arial" w:eastAsia="宋体" w:cs="Arial"/>
          <w:b/>
          <w:bCs/>
          <w:color w:val="auto"/>
          <w:szCs w:val="21"/>
          <w:highlight w:val="none"/>
        </w:rPr>
        <w:t>人民币玖拾肆万伍仟元整（¥ 945000.00）</w:t>
      </w:r>
      <w:r>
        <w:rPr>
          <w:rFonts w:ascii="Arial" w:hAnsi="Arial" w:eastAsia="宋体" w:cs="Arial"/>
          <w:color w:val="auto"/>
          <w:szCs w:val="21"/>
          <w:highlight w:val="none"/>
        </w:rPr>
        <w:t>。供应商报价超过相应采购预算金额的，响应文件作无效处理。</w:t>
      </w:r>
    </w:p>
    <w:p w14:paraId="20A54BF1">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13.2供应商必须就“项目采购需求”中所有内容作完整唯一报价，否则，其响应将被拒绝。</w:t>
      </w:r>
    </w:p>
    <w:p w14:paraId="005F271C">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13.3 谈判报价包括</w:t>
      </w:r>
      <w:r>
        <w:rPr>
          <w:rFonts w:hint="eastAsia" w:ascii="Arial" w:hAnsi="Arial" w:eastAsia="宋体" w:cs="Arial"/>
          <w:color w:val="auto"/>
          <w:szCs w:val="21"/>
          <w:highlight w:val="none"/>
        </w:rPr>
        <w:t>本次采购范围内货物货款、货物标准附件、备品备件、专用工具、包装、运输、装卸、保险、税金、货到就位以及安装、安装所需辅材、调试、培训、保修和采购文件要求提供的所有伴随服务、工程等费用和税费</w:t>
      </w:r>
      <w:r>
        <w:rPr>
          <w:rFonts w:ascii="Arial" w:hAnsi="Arial" w:eastAsia="宋体" w:cs="Arial"/>
          <w:color w:val="auto"/>
          <w:szCs w:val="21"/>
          <w:highlight w:val="none"/>
        </w:rPr>
        <w:t>；供应商综合考虑在报价中。</w:t>
      </w:r>
    </w:p>
    <w:p w14:paraId="5D6C0662">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13.4未书面退出谈判的供应商必须在规定时间内密封提交最后报价，其最后报价不得超出采购预算；谈判过程中谈判文件未作实质性变动的，最后报价不得超过首次报价。</w:t>
      </w:r>
    </w:p>
    <w:p w14:paraId="143DB3B3">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14. 响应文件有效期</w:t>
      </w:r>
    </w:p>
    <w:p w14:paraId="1E239094">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14.1 响应文件有效期：响应文件递交截止时间之日起90天，有效期不足的响应文件将被拒绝。</w:t>
      </w:r>
    </w:p>
    <w:p w14:paraId="556E3A3B">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14.2 出现特殊情况下，需要延长响应文件有效期的，采购代理机构以书面形式通知供应商延长响应文件有效期。供应商同意延长的，不能修改响应文件。供应商拒绝延长的，其响应文件无效。</w:t>
      </w:r>
    </w:p>
    <w:p w14:paraId="00BCD9AE">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15. 响应文件的份数、装订、签署和包装、密封</w:t>
      </w:r>
    </w:p>
    <w:p w14:paraId="67F79F6E">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15.1 响应文件份数：正本壹册，副本贰册，须完整提交（A4纸装订）。</w:t>
      </w:r>
    </w:p>
    <w:p w14:paraId="21AC3A25">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color w:val="auto"/>
          <w:szCs w:val="21"/>
          <w:highlight w:val="none"/>
        </w:rPr>
        <w:t>15.2 响应文件装订要求：供应商必须按供应商须知第11.1条“响应文件组成”规定的顺序自编目录及页码。响应文件的“正本”、“副本”必须单独装订成册并标注页码，装订牢固，不易拆散和换页。封面注明“正本”、“副本”字样，封面上写明项目名称、项目编号、采购代理机构、供应商单位名称。</w:t>
      </w:r>
    </w:p>
    <w:p w14:paraId="673F740E">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15.3 响应文件的正本需打印或用不褪色的墨水填写，响应文件正本除本谈判文件中规定的可提供复印件外均须提供原件。</w:t>
      </w:r>
    </w:p>
    <w:p w14:paraId="08543C65">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15.4响应文件须由供应商在规定位置加盖供应商公章（扫描公章无效）并由法定代表人（负责人)或相应的授权委托代理人签字，供应商应写全称，响应文件副本可以是加盖公章的正本的复印件，当正本与副本不一致时，以正本为准。</w:t>
      </w:r>
    </w:p>
    <w:p w14:paraId="229D931C">
      <w:pPr>
        <w:spacing w:after="0" w:line="312" w:lineRule="auto"/>
        <w:ind w:left="315" w:leftChars="150" w:firstLine="105" w:firstLineChars="50"/>
        <w:rPr>
          <w:rFonts w:ascii="Arial" w:hAnsi="Arial" w:eastAsia="宋体" w:cs="Arial"/>
          <w:color w:val="auto"/>
          <w:szCs w:val="21"/>
          <w:highlight w:val="none"/>
        </w:rPr>
      </w:pPr>
      <w:r>
        <w:rPr>
          <w:rFonts w:ascii="Arial" w:hAnsi="Arial" w:eastAsia="宋体" w:cs="Arial"/>
          <w:color w:val="auto"/>
          <w:szCs w:val="21"/>
          <w:highlight w:val="none"/>
        </w:rPr>
        <w:t>15.5响应文件不得涂改，若有修改错漏处，须加盖供应商公章及法定代表人、负责人或相应的授权</w:t>
      </w:r>
    </w:p>
    <w:p w14:paraId="1221574A">
      <w:pPr>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委托代理人签字。响应文件因字迹潦草或表达不清所引起的后果由供应商负责。</w:t>
      </w:r>
    </w:p>
    <w:p w14:paraId="241E7B9D">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15.6 响应文件包装、密封、标记：</w:t>
      </w:r>
    </w:p>
    <w:p w14:paraId="407905AF">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15.6.1 响应文件包装、密封：供应商须将</w:t>
      </w:r>
      <w:r>
        <w:rPr>
          <w:rFonts w:ascii="Arial" w:hAnsi="Arial" w:eastAsia="宋体" w:cs="Arial"/>
          <w:color w:val="auto"/>
          <w:highlight w:val="none"/>
        </w:rPr>
        <w:t>响应文件正、副本全部装入一个或多个包封袋/箱（响应文件的补充、修改可另行单独递交）中并加以密封，封口处必须密封签字【供应商的法定代表人</w:t>
      </w:r>
      <w:r>
        <w:rPr>
          <w:rFonts w:ascii="Arial" w:hAnsi="Arial" w:eastAsia="宋体" w:cs="Arial"/>
          <w:color w:val="auto"/>
          <w:szCs w:val="21"/>
          <w:highlight w:val="none"/>
        </w:rPr>
        <w:t>（负责人)</w:t>
      </w:r>
      <w:r>
        <w:rPr>
          <w:rFonts w:ascii="Arial" w:hAnsi="Arial" w:eastAsia="宋体" w:cs="Arial"/>
          <w:color w:val="auto"/>
          <w:highlight w:val="none"/>
        </w:rPr>
        <w:t>或委托代理人签字均可】或加盖供应商公章，以示密封。</w:t>
      </w:r>
    </w:p>
    <w:p w14:paraId="7DDBE7A2">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15.6.2 响应文件袋（盒、箱）标记：</w:t>
      </w:r>
    </w:p>
    <w:p w14:paraId="7852229E">
      <w:pPr>
        <w:snapToGrid w:val="0"/>
        <w:spacing w:after="0" w:line="312" w:lineRule="auto"/>
        <w:ind w:firstLine="1260" w:firstLineChars="600"/>
        <w:jc w:val="left"/>
        <w:rPr>
          <w:rFonts w:ascii="Arial" w:hAnsi="Arial" w:eastAsia="宋体" w:cs="Arial"/>
          <w:color w:val="auto"/>
          <w:szCs w:val="21"/>
          <w:highlight w:val="none"/>
        </w:rPr>
      </w:pPr>
      <w:r>
        <w:rPr>
          <w:rFonts w:ascii="Arial" w:hAnsi="Arial" w:eastAsia="宋体" w:cs="Arial"/>
          <w:color w:val="auto"/>
          <w:szCs w:val="21"/>
          <w:highlight w:val="none"/>
        </w:rPr>
        <w:t>项目名称：</w:t>
      </w:r>
      <w:r>
        <w:rPr>
          <w:rFonts w:hint="eastAsia" w:ascii="Arial" w:hAnsi="Arial" w:eastAsia="宋体" w:cs="Arial"/>
          <w:color w:val="auto"/>
          <w:szCs w:val="21"/>
          <w:highlight w:val="none"/>
        </w:rPr>
        <w:t xml:space="preserve">桂林理工大学实训楼A座机房设备升级改造项目 </w:t>
      </w:r>
    </w:p>
    <w:p w14:paraId="0206EF7A">
      <w:pPr>
        <w:snapToGrid w:val="0"/>
        <w:spacing w:after="0" w:line="312" w:lineRule="auto"/>
        <w:ind w:firstLine="1260" w:firstLineChars="600"/>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GXJD-25114CC031016</w:t>
      </w:r>
    </w:p>
    <w:p w14:paraId="5F1DDA55">
      <w:pPr>
        <w:snapToGrid w:val="0"/>
        <w:spacing w:after="0" w:line="312" w:lineRule="auto"/>
        <w:ind w:firstLine="1260" w:firstLineChars="600"/>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采购代理机构：</w:t>
      </w:r>
      <w:r>
        <w:rPr>
          <w:rFonts w:hint="eastAsia" w:ascii="Arial" w:hAnsi="Arial" w:eastAsia="宋体" w:cs="Arial"/>
          <w:color w:val="auto"/>
          <w:szCs w:val="21"/>
          <w:highlight w:val="none"/>
          <w:lang w:eastAsia="zh-CN"/>
        </w:rPr>
        <w:t>广西机电设备招标有限公司</w:t>
      </w:r>
    </w:p>
    <w:p w14:paraId="174DE5DF">
      <w:pPr>
        <w:snapToGrid w:val="0"/>
        <w:spacing w:after="0" w:line="312" w:lineRule="auto"/>
        <w:ind w:firstLine="1260" w:firstLineChars="600"/>
        <w:jc w:val="left"/>
        <w:rPr>
          <w:rFonts w:ascii="Arial" w:hAnsi="Arial" w:eastAsia="宋体" w:cs="Arial"/>
          <w:color w:val="auto"/>
          <w:szCs w:val="21"/>
          <w:highlight w:val="none"/>
        </w:rPr>
      </w:pPr>
      <w:r>
        <w:rPr>
          <w:rFonts w:ascii="Arial" w:hAnsi="Arial" w:eastAsia="宋体" w:cs="Arial"/>
          <w:color w:val="auto"/>
          <w:szCs w:val="21"/>
          <w:highlight w:val="none"/>
        </w:rPr>
        <w:t>供应商名称：</w:t>
      </w:r>
    </w:p>
    <w:p w14:paraId="22785137">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15.7 供应商公章：</w:t>
      </w:r>
      <w:r>
        <w:rPr>
          <w:rFonts w:ascii="Arial" w:hAnsi="Arial" w:eastAsia="宋体" w:cs="Arial"/>
          <w:color w:val="auto"/>
          <w:highlight w:val="none"/>
        </w:rPr>
        <w:t>本竞争性谈判文件中描述供应商的“公章”是指根据我国对公章的管理规定，用供应商登记注册法定主体的名称合法制作的公章，除本竞争性谈判文件中有特殊规定外，供应商的其他专用章均不能代替公章。</w:t>
      </w:r>
    </w:p>
    <w:p w14:paraId="7CD05D1B">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16. 响应文件的修改和撤回</w:t>
      </w:r>
    </w:p>
    <w:p w14:paraId="6090C280">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16.1 供应商在响应文件递交截止时间之前，可以对已递交的响应文件进行修改或撤回，并书面通知采购代理机构。</w:t>
      </w:r>
    </w:p>
    <w:p w14:paraId="2C82A5B5">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16.2 在响应文件递交截止时间后的响应文件有效期内，供应商不得撤回其响应文件。</w:t>
      </w:r>
    </w:p>
    <w:p w14:paraId="2B1BD83D">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17. 响应文件的递交</w:t>
      </w:r>
    </w:p>
    <w:p w14:paraId="66435A93">
      <w:pPr>
        <w:tabs>
          <w:tab w:val="left" w:pos="1305"/>
        </w:tabs>
        <w:spacing w:after="0" w:line="312" w:lineRule="auto"/>
        <w:ind w:left="210" w:leftChars="100" w:firstLine="210" w:firstLineChars="100"/>
        <w:rPr>
          <w:rFonts w:ascii="Arial" w:hAnsi="Arial" w:eastAsia="宋体" w:cs="Arial"/>
          <w:color w:val="auto"/>
          <w:szCs w:val="21"/>
          <w:highlight w:val="none"/>
        </w:rPr>
      </w:pPr>
      <w:r>
        <w:rPr>
          <w:rFonts w:ascii="Arial" w:hAnsi="Arial" w:eastAsia="宋体" w:cs="Arial"/>
          <w:color w:val="auto"/>
          <w:szCs w:val="21"/>
          <w:highlight w:val="none"/>
        </w:rPr>
        <w:t>17.1供应商必须于</w:t>
      </w:r>
      <w:r>
        <w:rPr>
          <w:rFonts w:hint="eastAsia" w:ascii="Arial" w:hAnsi="Arial" w:eastAsia="宋体" w:cs="Arial"/>
          <w:color w:val="auto"/>
          <w:highlight w:val="none"/>
        </w:rPr>
        <w:t>2025年</w:t>
      </w:r>
      <w:r>
        <w:rPr>
          <w:rFonts w:hint="eastAsia" w:ascii="Arial" w:hAnsi="Arial" w:eastAsia="宋体" w:cs="Arial"/>
          <w:color w:val="auto"/>
          <w:highlight w:val="none"/>
          <w:lang w:eastAsia="zh-CN"/>
        </w:rPr>
        <w:t>7月8日</w:t>
      </w:r>
      <w:r>
        <w:rPr>
          <w:rFonts w:ascii="Arial" w:hAnsi="Arial" w:eastAsia="宋体" w:cs="Arial"/>
          <w:color w:val="auto"/>
          <w:szCs w:val="21"/>
          <w:highlight w:val="none"/>
        </w:rPr>
        <w:t>上午8时30分起至9时30分止，将响应文件密封提交至</w:t>
      </w:r>
      <w:r>
        <w:rPr>
          <w:rFonts w:hint="eastAsia" w:ascii="Arial" w:hAnsi="Arial" w:eastAsia="宋体" w:cs="Arial"/>
          <w:color w:val="auto"/>
          <w:szCs w:val="21"/>
          <w:highlight w:val="none"/>
        </w:rPr>
        <w:t>广西机电设备招标有限公司桂林分公司</w:t>
      </w:r>
      <w:r>
        <w:rPr>
          <w:rFonts w:hint="eastAsia" w:ascii="Arial" w:hAnsi="Arial" w:eastAsia="宋体" w:cs="Arial"/>
          <w:color w:val="auto"/>
          <w:szCs w:val="21"/>
          <w:highlight w:val="none"/>
          <w:lang w:val="en-US" w:eastAsia="zh-CN"/>
        </w:rPr>
        <w:t>开标室</w:t>
      </w:r>
      <w:r>
        <w:rPr>
          <w:rFonts w:ascii="Arial" w:hAnsi="Arial" w:eastAsia="宋体" w:cs="Arial"/>
          <w:color w:val="auto"/>
          <w:szCs w:val="21"/>
          <w:highlight w:val="none"/>
        </w:rPr>
        <w:t>，供应商参加谈判的法定代表人或委托代理人须持有效证件（法定代表人凭身份证或委托代理人凭法人授权委托书原件、本人身份证原件，不须密封，单独提交），依时到达指定地点提交响应文件，未携带以上相关材料递交的或逾期送达的或未按照谈判文件要求密封的响应文件将予以拒收。</w:t>
      </w:r>
    </w:p>
    <w:p w14:paraId="40F69F01">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17.2 除竞争性谈判文件另有规定外，供应商所递交的响应文件不予退还。</w:t>
      </w:r>
    </w:p>
    <w:p w14:paraId="503ECEE4">
      <w:pPr>
        <w:tabs>
          <w:tab w:val="left" w:pos="1305"/>
        </w:tabs>
        <w:spacing w:after="0" w:line="312" w:lineRule="auto"/>
        <w:ind w:firstLine="420" w:firstLineChars="200"/>
        <w:rPr>
          <w:rFonts w:ascii="Arial" w:hAnsi="Arial" w:eastAsia="宋体" w:cs="Arial"/>
          <w:color w:val="auto"/>
          <w:szCs w:val="21"/>
          <w:highlight w:val="none"/>
        </w:rPr>
      </w:pPr>
    </w:p>
    <w:p w14:paraId="1493DF64">
      <w:pPr>
        <w:tabs>
          <w:tab w:val="left" w:pos="1305"/>
        </w:tabs>
        <w:spacing w:after="0" w:line="312" w:lineRule="auto"/>
        <w:ind w:firstLine="560" w:firstLineChars="200"/>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四、竞争性谈判（简称谈判）与评审</w:t>
      </w:r>
    </w:p>
    <w:p w14:paraId="07EDBBA6">
      <w:pPr>
        <w:tabs>
          <w:tab w:val="center" w:pos="4411"/>
          <w:tab w:val="left" w:pos="5475"/>
        </w:tabs>
        <w:spacing w:after="0" w:line="312" w:lineRule="auto"/>
        <w:ind w:firstLine="420" w:firstLineChars="200"/>
        <w:jc w:val="left"/>
        <w:rPr>
          <w:rFonts w:ascii="Arial" w:hAnsi="Arial" w:eastAsia="宋体" w:cs="Arial"/>
          <w:b/>
          <w:color w:val="auto"/>
          <w:szCs w:val="21"/>
          <w:highlight w:val="none"/>
        </w:rPr>
      </w:pPr>
      <w:r>
        <w:rPr>
          <w:rFonts w:ascii="Arial" w:hAnsi="Arial" w:eastAsia="宋体" w:cs="Arial"/>
          <w:b/>
          <w:color w:val="auto"/>
          <w:szCs w:val="21"/>
          <w:highlight w:val="none"/>
        </w:rPr>
        <w:t>18. 谈判小组组成及谈判时间、地点、人员</w:t>
      </w:r>
    </w:p>
    <w:p w14:paraId="46448B3F">
      <w:pPr>
        <w:spacing w:after="0" w:line="312" w:lineRule="auto"/>
        <w:ind w:firstLine="435"/>
        <w:rPr>
          <w:rFonts w:ascii="Arial" w:hAnsi="Arial" w:eastAsia="宋体" w:cs="Arial"/>
          <w:b/>
          <w:color w:val="auto"/>
          <w:szCs w:val="21"/>
          <w:highlight w:val="none"/>
        </w:rPr>
      </w:pPr>
      <w:r>
        <w:rPr>
          <w:rFonts w:ascii="Arial" w:hAnsi="Arial" w:eastAsia="宋体" w:cs="Arial"/>
          <w:b/>
          <w:color w:val="auto"/>
          <w:szCs w:val="21"/>
          <w:highlight w:val="none"/>
        </w:rPr>
        <w:t>18.1 谈判小组组成：</w:t>
      </w:r>
    </w:p>
    <w:p w14:paraId="4E9ED5B7">
      <w:pPr>
        <w:spacing w:after="0" w:line="312" w:lineRule="auto"/>
        <w:ind w:firstLine="435"/>
        <w:rPr>
          <w:rFonts w:ascii="Arial" w:hAnsi="Arial" w:eastAsia="宋体" w:cs="Arial"/>
          <w:color w:val="auto"/>
          <w:szCs w:val="21"/>
          <w:highlight w:val="none"/>
        </w:rPr>
      </w:pPr>
      <w:r>
        <w:rPr>
          <w:rFonts w:ascii="Arial" w:hAnsi="Arial" w:eastAsia="宋体" w:cs="Arial"/>
          <w:color w:val="auto"/>
          <w:szCs w:val="21"/>
          <w:highlight w:val="none"/>
        </w:rPr>
        <w:t>谈判及评审组织工作由采购代理机构负责，具体谈判、评审工作由依法组建的谈判小组负责，谈判小组由采购人代表和有关方面的专家组成。谈判小组的构成：</w:t>
      </w:r>
      <w:r>
        <w:rPr>
          <w:rFonts w:ascii="Arial" w:hAnsi="Arial" w:eastAsia="宋体" w:cs="Arial"/>
          <w:color w:val="auto"/>
          <w:szCs w:val="21"/>
          <w:highlight w:val="none"/>
          <w:u w:val="single"/>
        </w:rPr>
        <w:t>3</w:t>
      </w:r>
      <w:r>
        <w:rPr>
          <w:rFonts w:ascii="Arial" w:hAnsi="Arial" w:eastAsia="宋体" w:cs="Arial"/>
          <w:color w:val="auto"/>
          <w:szCs w:val="21"/>
          <w:highlight w:val="none"/>
        </w:rPr>
        <w:t>人，其中采购人代表</w:t>
      </w:r>
      <w:r>
        <w:rPr>
          <w:rFonts w:ascii="Arial" w:hAnsi="Arial" w:eastAsia="宋体" w:cs="Arial"/>
          <w:color w:val="auto"/>
          <w:szCs w:val="21"/>
          <w:highlight w:val="none"/>
          <w:u w:val="single"/>
        </w:rPr>
        <w:t xml:space="preserve"> 1</w:t>
      </w:r>
      <w:r>
        <w:rPr>
          <w:rFonts w:ascii="Arial" w:hAnsi="Arial" w:eastAsia="宋体" w:cs="Arial"/>
          <w:color w:val="auto"/>
          <w:szCs w:val="21"/>
          <w:highlight w:val="none"/>
        </w:rPr>
        <w:t xml:space="preserve"> 人，有关专家 </w:t>
      </w:r>
      <w:r>
        <w:rPr>
          <w:rFonts w:ascii="Arial" w:hAnsi="Arial" w:eastAsia="宋体" w:cs="Arial"/>
          <w:color w:val="auto"/>
          <w:szCs w:val="21"/>
          <w:highlight w:val="none"/>
          <w:u w:val="single"/>
        </w:rPr>
        <w:t>2</w:t>
      </w:r>
      <w:r>
        <w:rPr>
          <w:rFonts w:ascii="Arial" w:hAnsi="Arial" w:eastAsia="宋体" w:cs="Arial"/>
          <w:color w:val="auto"/>
          <w:szCs w:val="21"/>
          <w:highlight w:val="none"/>
        </w:rPr>
        <w:t>人。</w:t>
      </w:r>
    </w:p>
    <w:p w14:paraId="3E79A18D">
      <w:pPr>
        <w:tabs>
          <w:tab w:val="left" w:pos="1140"/>
        </w:tabs>
        <w:spacing w:after="0" w:line="312" w:lineRule="auto"/>
        <w:ind w:left="419" w:leftChars="172" w:hanging="58" w:hangingChars="28"/>
        <w:rPr>
          <w:rFonts w:ascii="Arial" w:hAnsi="Arial" w:eastAsia="宋体" w:cs="Arial"/>
          <w:b/>
          <w:color w:val="auto"/>
          <w:szCs w:val="21"/>
          <w:highlight w:val="none"/>
        </w:rPr>
      </w:pPr>
      <w:r>
        <w:rPr>
          <w:rFonts w:ascii="Arial" w:hAnsi="Arial" w:eastAsia="宋体" w:cs="Arial"/>
          <w:b/>
          <w:color w:val="auto"/>
          <w:szCs w:val="21"/>
          <w:highlight w:val="none"/>
        </w:rPr>
        <w:t>18.2 谈判时间、地点、人员：</w:t>
      </w:r>
    </w:p>
    <w:p w14:paraId="5B37706B">
      <w:pPr>
        <w:spacing w:after="0" w:line="312" w:lineRule="auto"/>
        <w:ind w:left="315" w:leftChars="150" w:firstLine="105" w:firstLineChars="50"/>
        <w:rPr>
          <w:rFonts w:ascii="Arial" w:hAnsi="Arial" w:eastAsia="宋体" w:cs="Arial"/>
          <w:color w:val="auto"/>
          <w:szCs w:val="21"/>
          <w:highlight w:val="none"/>
        </w:rPr>
      </w:pPr>
      <w:r>
        <w:rPr>
          <w:rFonts w:ascii="Arial" w:hAnsi="Arial" w:eastAsia="宋体" w:cs="Arial"/>
          <w:color w:val="auto"/>
          <w:szCs w:val="21"/>
          <w:highlight w:val="none"/>
        </w:rPr>
        <w:t>18.2.1 谈判时间：首次</w:t>
      </w:r>
      <w:r>
        <w:rPr>
          <w:rFonts w:ascii="Arial" w:hAnsi="Arial" w:eastAsia="宋体" w:cs="Arial"/>
          <w:color w:val="auto"/>
          <w:position w:val="-2"/>
          <w:szCs w:val="21"/>
          <w:highlight w:val="none"/>
        </w:rPr>
        <w:t>响应文件递交</w:t>
      </w:r>
      <w:r>
        <w:rPr>
          <w:rFonts w:ascii="Arial" w:hAnsi="Arial" w:eastAsia="宋体" w:cs="Arial"/>
          <w:color w:val="auto"/>
          <w:szCs w:val="21"/>
          <w:highlight w:val="none"/>
        </w:rPr>
        <w:t>截止时间后。</w:t>
      </w:r>
    </w:p>
    <w:p w14:paraId="78E09CAC">
      <w:pPr>
        <w:tabs>
          <w:tab w:val="left" w:pos="1305"/>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18.2.2</w:t>
      </w:r>
      <w:r>
        <w:rPr>
          <w:rFonts w:ascii="Arial" w:hAnsi="Arial" w:eastAsia="宋体" w:cs="Arial"/>
          <w:color w:val="auto"/>
          <w:position w:val="-2"/>
          <w:szCs w:val="21"/>
          <w:highlight w:val="none"/>
        </w:rPr>
        <w:t xml:space="preserve"> 谈判地点：</w:t>
      </w:r>
      <w:r>
        <w:rPr>
          <w:rFonts w:hint="eastAsia" w:ascii="Arial" w:hAnsi="Arial" w:eastAsia="宋体" w:cs="Arial"/>
          <w:color w:val="auto"/>
          <w:szCs w:val="21"/>
          <w:highlight w:val="none"/>
        </w:rPr>
        <w:t>广西机电设备招标有限公司桂林分公司评标室</w:t>
      </w:r>
      <w:r>
        <w:rPr>
          <w:rFonts w:ascii="Arial" w:hAnsi="Arial" w:eastAsia="宋体" w:cs="Arial"/>
          <w:color w:val="auto"/>
          <w:position w:val="-2"/>
          <w:szCs w:val="21"/>
          <w:highlight w:val="none"/>
        </w:rPr>
        <w:t>。</w:t>
      </w:r>
    </w:p>
    <w:p w14:paraId="5BE77096">
      <w:pPr>
        <w:tabs>
          <w:tab w:val="left" w:pos="1140"/>
        </w:tabs>
        <w:spacing w:after="0" w:line="312" w:lineRule="auto"/>
        <w:ind w:left="420" w:leftChars="200"/>
        <w:rPr>
          <w:rFonts w:ascii="Arial" w:hAnsi="Arial" w:eastAsia="宋体" w:cs="Arial"/>
          <w:color w:val="auto"/>
          <w:szCs w:val="21"/>
          <w:highlight w:val="none"/>
        </w:rPr>
      </w:pPr>
      <w:r>
        <w:rPr>
          <w:rFonts w:ascii="Arial" w:hAnsi="Arial" w:eastAsia="宋体" w:cs="Arial"/>
          <w:color w:val="auto"/>
          <w:szCs w:val="21"/>
          <w:highlight w:val="none"/>
        </w:rPr>
        <w:t>18.2.3 谈判参加人员：供应商法定代表人(负责人)或相应的委托代理人持有效身份证原件参加</w:t>
      </w:r>
    </w:p>
    <w:p w14:paraId="58D71F4E">
      <w:pPr>
        <w:tabs>
          <w:tab w:val="left" w:pos="1140"/>
        </w:tabs>
        <w:spacing w:after="0" w:line="312" w:lineRule="auto"/>
        <w:ind w:left="420" w:leftChars="200"/>
        <w:rPr>
          <w:rFonts w:ascii="Arial" w:hAnsi="Arial" w:eastAsia="宋体" w:cs="Arial"/>
          <w:color w:val="auto"/>
          <w:szCs w:val="21"/>
          <w:highlight w:val="none"/>
        </w:rPr>
      </w:pPr>
      <w:r>
        <w:rPr>
          <w:rFonts w:ascii="Arial" w:hAnsi="Arial" w:eastAsia="宋体" w:cs="Arial"/>
          <w:color w:val="auto"/>
          <w:szCs w:val="21"/>
          <w:highlight w:val="none"/>
        </w:rPr>
        <w:t>谈判。请供应商按时到达指定地点等候当面谈判。</w:t>
      </w:r>
    </w:p>
    <w:p w14:paraId="4FD8D3FE">
      <w:pPr>
        <w:tabs>
          <w:tab w:val="left" w:pos="1140"/>
        </w:tabs>
        <w:spacing w:after="0" w:line="312" w:lineRule="auto"/>
        <w:ind w:left="420" w:leftChars="200"/>
        <w:rPr>
          <w:rFonts w:ascii="Arial" w:hAnsi="Arial" w:eastAsia="宋体" w:cs="Arial"/>
          <w:color w:val="auto"/>
          <w:szCs w:val="21"/>
          <w:highlight w:val="none"/>
        </w:rPr>
      </w:pPr>
      <w:r>
        <w:rPr>
          <w:rFonts w:ascii="Arial" w:hAnsi="Arial" w:eastAsia="宋体" w:cs="Arial"/>
          <w:color w:val="auto"/>
          <w:position w:val="-2"/>
          <w:szCs w:val="21"/>
          <w:highlight w:val="none"/>
        </w:rPr>
        <w:t>18.2.4首次响应文件递交</w:t>
      </w:r>
      <w:r>
        <w:rPr>
          <w:rFonts w:ascii="Arial" w:hAnsi="Arial" w:eastAsia="宋体" w:cs="Arial"/>
          <w:color w:val="auto"/>
          <w:szCs w:val="21"/>
          <w:highlight w:val="none"/>
        </w:rPr>
        <w:t xml:space="preserve">截止时间后，由谈判小组在评标室内开启响应文件。  </w:t>
      </w:r>
    </w:p>
    <w:p w14:paraId="4C499D40">
      <w:pPr>
        <w:tabs>
          <w:tab w:val="left" w:pos="1140"/>
        </w:tabs>
        <w:spacing w:after="0" w:line="312" w:lineRule="auto"/>
        <w:ind w:left="419" w:leftChars="172" w:hanging="58" w:hangingChars="28"/>
        <w:rPr>
          <w:rFonts w:ascii="Arial" w:hAnsi="Arial" w:eastAsia="宋体" w:cs="Arial"/>
          <w:b/>
          <w:color w:val="auto"/>
          <w:szCs w:val="21"/>
          <w:highlight w:val="none"/>
        </w:rPr>
      </w:pPr>
      <w:r>
        <w:rPr>
          <w:rFonts w:ascii="Arial" w:hAnsi="Arial" w:eastAsia="宋体" w:cs="Arial"/>
          <w:b/>
          <w:color w:val="auto"/>
          <w:szCs w:val="21"/>
          <w:highlight w:val="none"/>
        </w:rPr>
        <w:t>19. 评审原则和评审办法</w:t>
      </w:r>
    </w:p>
    <w:p w14:paraId="3F228242">
      <w:pPr>
        <w:tabs>
          <w:tab w:val="left" w:pos="1140"/>
        </w:tabs>
        <w:spacing w:after="0" w:line="312" w:lineRule="auto"/>
        <w:ind w:firstLine="359" w:firstLineChars="171"/>
        <w:rPr>
          <w:rFonts w:ascii="Arial" w:hAnsi="Arial" w:eastAsia="宋体" w:cs="Arial"/>
          <w:color w:val="auto"/>
          <w:szCs w:val="21"/>
          <w:highlight w:val="none"/>
        </w:rPr>
      </w:pPr>
      <w:r>
        <w:rPr>
          <w:rFonts w:ascii="Arial" w:hAnsi="Arial" w:eastAsia="宋体" w:cs="Arial"/>
          <w:color w:val="auto"/>
          <w:szCs w:val="20"/>
          <w:highlight w:val="none"/>
        </w:rPr>
        <w:t xml:space="preserve">19.1 </w:t>
      </w:r>
      <w:r>
        <w:rPr>
          <w:rFonts w:ascii="Arial" w:hAnsi="Arial" w:eastAsia="宋体" w:cs="Arial"/>
          <w:color w:val="auto"/>
          <w:szCs w:val="21"/>
          <w:highlight w:val="none"/>
        </w:rPr>
        <w:t>谈判小组必须坚持公平、公正、科学和择优的原则。</w:t>
      </w:r>
    </w:p>
    <w:p w14:paraId="29EBE7EF">
      <w:pPr>
        <w:tabs>
          <w:tab w:val="left" w:pos="1140"/>
        </w:tabs>
        <w:spacing w:after="0" w:line="312" w:lineRule="auto"/>
        <w:ind w:firstLine="359" w:firstLineChars="171"/>
        <w:rPr>
          <w:rFonts w:ascii="Arial" w:hAnsi="Arial" w:eastAsia="宋体" w:cs="Arial"/>
          <w:color w:val="auto"/>
          <w:szCs w:val="21"/>
          <w:highlight w:val="none"/>
        </w:rPr>
      </w:pPr>
      <w:r>
        <w:rPr>
          <w:rFonts w:ascii="Arial" w:hAnsi="Arial" w:eastAsia="宋体" w:cs="Arial"/>
          <w:color w:val="auto"/>
          <w:szCs w:val="20"/>
          <w:highlight w:val="none"/>
        </w:rPr>
        <w:t xml:space="preserve">19.2 </w:t>
      </w:r>
      <w:r>
        <w:rPr>
          <w:rFonts w:ascii="Arial" w:hAnsi="Arial" w:eastAsia="宋体" w:cs="Arial"/>
          <w:color w:val="auto"/>
          <w:szCs w:val="21"/>
          <w:highlight w:val="none"/>
        </w:rPr>
        <w:t>评审办法：具体详见第四章评审办法。</w:t>
      </w:r>
    </w:p>
    <w:p w14:paraId="5A2D7A03">
      <w:pPr>
        <w:pStyle w:val="14"/>
        <w:spacing w:after="0" w:line="312" w:lineRule="auto"/>
        <w:ind w:firstLine="359" w:firstLineChars="171"/>
        <w:rPr>
          <w:rFonts w:ascii="Arial" w:hAnsi="Arial" w:eastAsia="宋体" w:cs="Arial"/>
          <w:color w:val="auto"/>
          <w:szCs w:val="21"/>
          <w:highlight w:val="none"/>
        </w:rPr>
      </w:pPr>
      <w:r>
        <w:rPr>
          <w:rFonts w:ascii="Arial" w:hAnsi="Arial" w:eastAsia="宋体" w:cs="Arial"/>
          <w:color w:val="auto"/>
          <w:szCs w:val="21"/>
          <w:highlight w:val="none"/>
        </w:rPr>
        <w:t>19.3 谈判小组应按谈判文件进行评审，不得擅自更改评审办法。</w:t>
      </w:r>
    </w:p>
    <w:p w14:paraId="1DAEBC27">
      <w:pPr>
        <w:pStyle w:val="14"/>
        <w:spacing w:after="0" w:line="312" w:lineRule="auto"/>
        <w:ind w:firstLine="359" w:firstLineChars="171"/>
        <w:rPr>
          <w:rFonts w:ascii="Arial" w:hAnsi="Arial" w:eastAsia="宋体" w:cs="Arial"/>
          <w:color w:val="auto"/>
          <w:szCs w:val="21"/>
          <w:highlight w:val="none"/>
        </w:rPr>
      </w:pPr>
      <w:r>
        <w:rPr>
          <w:rFonts w:ascii="Arial" w:hAnsi="Arial" w:eastAsia="宋体" w:cs="Arial"/>
          <w:color w:val="auto"/>
          <w:szCs w:val="21"/>
          <w:highlight w:val="none"/>
        </w:rPr>
        <w:t>19.4 在评审过程中，谈判小组任何人不得对某个供应商发表任何倾向性意见，不得向其他谈判小组成员明示或者暗示自己的评审意见。</w:t>
      </w:r>
    </w:p>
    <w:p w14:paraId="5374EFB2">
      <w:pPr>
        <w:tabs>
          <w:tab w:val="left" w:pos="1140"/>
        </w:tabs>
        <w:spacing w:after="0" w:line="312" w:lineRule="auto"/>
        <w:ind w:firstLine="359" w:firstLineChars="171"/>
        <w:rPr>
          <w:rFonts w:ascii="Arial" w:hAnsi="Arial" w:eastAsia="宋体" w:cs="Arial"/>
          <w:color w:val="auto"/>
          <w:szCs w:val="21"/>
          <w:highlight w:val="none"/>
        </w:rPr>
      </w:pPr>
      <w:r>
        <w:rPr>
          <w:rFonts w:ascii="Arial" w:hAnsi="Arial" w:eastAsia="宋体" w:cs="Arial"/>
          <w:color w:val="auto"/>
          <w:szCs w:val="21"/>
          <w:highlight w:val="none"/>
        </w:rPr>
        <w:t>19.5 谈判小组成员对需要共同认定的事项存在争议的，按照少数服从多数的原则作出结论。持不同意见的谈判小组成员应当在评审报告上签署不同意见并说明理由，否则视为同意。</w:t>
      </w:r>
    </w:p>
    <w:p w14:paraId="481C5D19">
      <w:pPr>
        <w:tabs>
          <w:tab w:val="left" w:pos="1140"/>
        </w:tabs>
        <w:spacing w:after="0" w:line="312" w:lineRule="auto"/>
        <w:ind w:left="419" w:leftChars="172" w:hanging="58" w:hangingChars="28"/>
        <w:rPr>
          <w:rFonts w:ascii="Arial" w:hAnsi="Arial" w:eastAsia="宋体" w:cs="Arial"/>
          <w:b/>
          <w:color w:val="auto"/>
          <w:szCs w:val="21"/>
          <w:highlight w:val="none"/>
        </w:rPr>
      </w:pPr>
      <w:r>
        <w:rPr>
          <w:rFonts w:ascii="Arial" w:hAnsi="Arial" w:eastAsia="宋体" w:cs="Arial"/>
          <w:b/>
          <w:color w:val="auto"/>
          <w:szCs w:val="21"/>
          <w:highlight w:val="none"/>
        </w:rPr>
        <w:t>20. 评审程序及谈判要求</w:t>
      </w:r>
    </w:p>
    <w:p w14:paraId="032C7555">
      <w:pPr>
        <w:pStyle w:val="14"/>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20.1谈判小组成员的通讯工具或相关电子设备交由</w:t>
      </w:r>
      <w:r>
        <w:rPr>
          <w:rFonts w:hint="eastAsia" w:ascii="Arial" w:hAnsi="Arial" w:eastAsia="宋体" w:cs="Arial"/>
          <w:color w:val="auto"/>
          <w:szCs w:val="21"/>
          <w:highlight w:val="none"/>
          <w:lang w:eastAsia="zh-CN"/>
        </w:rPr>
        <w:t>广西机电设备招标有限公司</w:t>
      </w:r>
      <w:r>
        <w:rPr>
          <w:rFonts w:ascii="Arial" w:hAnsi="Arial" w:eastAsia="宋体" w:cs="Arial"/>
          <w:color w:val="auto"/>
          <w:szCs w:val="21"/>
          <w:highlight w:val="none"/>
        </w:rPr>
        <w:t>统一保管，采购代理机构核实谈判小组成员身份，告知回避要求，宣布评审工作纪律和程序，推选谈判小组组长。</w:t>
      </w:r>
    </w:p>
    <w:p w14:paraId="5B9DEAE9">
      <w:pPr>
        <w:pStyle w:val="14"/>
        <w:spacing w:after="0" w:line="312" w:lineRule="auto"/>
        <w:ind w:firstLine="420" w:firstLineChars="200"/>
        <w:rPr>
          <w:rFonts w:ascii="Arial" w:hAnsi="Arial" w:eastAsia="宋体" w:cs="Arial"/>
          <w:color w:val="auto"/>
          <w:highlight w:val="none"/>
        </w:rPr>
      </w:pPr>
      <w:r>
        <w:rPr>
          <w:rFonts w:ascii="Arial" w:hAnsi="Arial" w:eastAsia="宋体" w:cs="Arial"/>
          <w:color w:val="auto"/>
          <w:szCs w:val="21"/>
          <w:highlight w:val="none"/>
        </w:rPr>
        <w:t>20.2谈判小组应当对发布公告的竞争性谈判文件（简称谈判文件）进行确认，</w:t>
      </w:r>
      <w:r>
        <w:rPr>
          <w:rFonts w:ascii="Arial" w:hAnsi="Arial" w:eastAsia="宋体" w:cs="Arial"/>
          <w:color w:val="auto"/>
          <w:kern w:val="0"/>
          <w:szCs w:val="21"/>
          <w:highlight w:val="none"/>
        </w:rPr>
        <w:t>审查供应商的响应文件并作出评价；要求供应商解释或者澄清其响应文件；编写评审报告；告知采购人、采购代理机构在评审过程中发现的供应商的违法违规行为。</w:t>
      </w:r>
    </w:p>
    <w:p w14:paraId="5449CCDB">
      <w:pPr>
        <w:pStyle w:val="14"/>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20.3谈判小组依据法律法规和竞争性谈判文件的规定，首先对响应文件进行资格性审查，以确定供应商是否具备本项目供应商资格；再对通过资格性审查的供应商响应文件的有效性、完整性和对谈判文件的响应程度进行符合性审查，以确定是否对谈判文件的实质性要求做出响应。</w:t>
      </w:r>
    </w:p>
    <w:p w14:paraId="2E44C0BB">
      <w:pPr>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20.4谈判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响应文件无效处理。</w:t>
      </w:r>
    </w:p>
    <w:p w14:paraId="1EA2913D">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20.4.1查询渠道：《国家企业信用信息公示系统》（网址：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Arial" w:hAnsi="Arial" w:eastAsia="宋体" w:cs="Arial"/>
          <w:color w:val="auto"/>
          <w:highlight w:val="none"/>
        </w:rPr>
        <w:t>http://www.gsxt.gov.cn/index.html</w:t>
      </w:r>
      <w:r>
        <w:rPr>
          <w:rFonts w:ascii="Arial" w:hAnsi="Arial" w:eastAsia="宋体" w:cs="Arial"/>
          <w:color w:val="auto"/>
          <w:highlight w:val="none"/>
        </w:rPr>
        <w:fldChar w:fldCharType="end"/>
      </w:r>
      <w:r>
        <w:rPr>
          <w:rFonts w:ascii="Arial" w:hAnsi="Arial" w:eastAsia="宋体" w:cs="Arial"/>
          <w:color w:val="auto"/>
          <w:szCs w:val="21"/>
          <w:highlight w:val="none"/>
        </w:rPr>
        <w:t>）</w:t>
      </w:r>
    </w:p>
    <w:p w14:paraId="5DAA99B0">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20.4.2审查流程：</w:t>
      </w:r>
    </w:p>
    <w:p w14:paraId="74D6EE8B">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（1）进入《国家企业信用信息公示系统》（网址：http://www.gsxt.gov.cn/index.html），输入企业名称，进入企业信息主页面；</w:t>
      </w:r>
    </w:p>
    <w:p w14:paraId="748A4321">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（2）查看主页“股东及出资信息”栏，或年报中的“股东及出资信息”栏信息；</w:t>
      </w:r>
    </w:p>
    <w:p w14:paraId="773E33E8">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（3）将各供应商的股东及出资信息进行比对，得出审查结论；</w:t>
      </w:r>
    </w:p>
    <w:p w14:paraId="285A5347">
      <w:pPr>
        <w:snapToGrid w:val="0"/>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（4）将相关资料作为评审资料打印存档。</w:t>
      </w:r>
    </w:p>
    <w:p w14:paraId="2C399858">
      <w:pPr>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注：以上审查过程中，如出现查询企业网页主页面无法显示股东及出资信息的或仅以主页面信息内容无法认定供应商之间存在单位负责人为同一人或者存在直接控股、管理关系的，当时审查程序可继续进行，待评审结束后将对以上供应商作进一步核实确认，如确认供应商之间存在有上述关联供应商情形的，关联供应商均按响应文件无效处理。</w:t>
      </w:r>
    </w:p>
    <w:p w14:paraId="389641BC">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kern w:val="0"/>
          <w:szCs w:val="21"/>
          <w:highlight w:val="none"/>
        </w:rPr>
        <w:t>20.5谈判小组在对响应文件的有效性、完整性和响应程度进行审查时，可以要求供应商对</w:t>
      </w:r>
      <w:r>
        <w:rPr>
          <w:rFonts w:ascii="Arial" w:hAnsi="Arial" w:eastAsia="宋体" w:cs="Arial"/>
          <w:color w:val="auto"/>
          <w:szCs w:val="21"/>
          <w:highlight w:val="none"/>
        </w:rPr>
        <w:t>响应文件中含义不明确、同类问题表述不一致或者有明显文字和计算错误的内容等作出必要的澄清、说明或者更正。供应商的澄清、说明或者更正不得超出响应文件的范围或者改变响应文件的实质性内容。澄清、说明或者更正应由其法定代表人（负责人)或相应的授权委托代表签字或者加盖供应商公章。由授权委托代表签字的，应当附授权委托书。</w:t>
      </w:r>
    </w:p>
    <w:p w14:paraId="776493FF">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根据谈判文件规定的程序、评定成交的标准等事项与实质性响应竞争性谈判文件要求的供应商进行谈判。未实质性响应谈判文件的响应文件按无效处理，谈判小组应当告知有关供应商。</w:t>
      </w:r>
    </w:p>
    <w:p w14:paraId="688EA182">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kern w:val="0"/>
          <w:szCs w:val="21"/>
          <w:highlight w:val="none"/>
        </w:rPr>
        <w:t>谈判小组</w:t>
      </w:r>
      <w:r>
        <w:rPr>
          <w:rFonts w:ascii="Arial" w:hAnsi="Arial" w:eastAsia="宋体" w:cs="Arial"/>
          <w:color w:val="auto"/>
          <w:szCs w:val="21"/>
          <w:highlight w:val="none"/>
        </w:rPr>
        <w:t>所有成员应当</w:t>
      </w:r>
      <w:r>
        <w:rPr>
          <w:rFonts w:ascii="Arial" w:hAnsi="Arial" w:eastAsia="宋体" w:cs="Arial"/>
          <w:color w:val="auto"/>
          <w:kern w:val="0"/>
          <w:szCs w:val="21"/>
          <w:highlight w:val="none"/>
        </w:rPr>
        <w:t>按已确定的</w:t>
      </w:r>
      <w:r>
        <w:rPr>
          <w:rFonts w:ascii="Arial" w:hAnsi="Arial" w:eastAsia="宋体" w:cs="Arial"/>
          <w:color w:val="auto"/>
          <w:szCs w:val="21"/>
          <w:highlight w:val="none"/>
        </w:rPr>
        <w:t>谈判顺序集中与单一供应商分别进行谈判，并给予所有实质性响应竞争性谈判文件要求的供应商平等的谈判机会。</w:t>
      </w:r>
    </w:p>
    <w:p w14:paraId="42D6EC71">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谈判中，谈判小组不得透露与谈判有关的其他供应商的技术资料、价格和其他信息。</w:t>
      </w:r>
    </w:p>
    <w:p w14:paraId="4A397A53">
      <w:pPr>
        <w:widowControl/>
        <w:tabs>
          <w:tab w:val="left" w:pos="540"/>
        </w:tabs>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采购代理机构对谈判过程和重要谈判内容进行记录，谈判双方在记录上签字确认。</w:t>
      </w:r>
    </w:p>
    <w:p w14:paraId="1A16A2BD">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20.6在谈判过程中，谈判小组可以根据谈判文件和谈判情况实质性变动项目需求中的技术、服务要求以及合同草案条款，但不得变动谈判文件中的其他内容。实质性变动的内容，须经采购人代表确认。</w:t>
      </w:r>
    </w:p>
    <w:p w14:paraId="716DE54E">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对谈判文件作出的实质性变动是谈判文件的有效组成部分，谈判小组应当及时以书面形式同时通知所有参加谈判的供应商。</w:t>
      </w:r>
    </w:p>
    <w:p w14:paraId="2002C777">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供应商应当按照谈判文件的变动情况和谈判小组的要求重新提交响应文件，并由其法定代表人（负责人)或相应的授权委托代表签字或者加盖供应商公章。逾时不交的，视同放弃谈判。</w:t>
      </w:r>
    </w:p>
    <w:p w14:paraId="25AAE9E3">
      <w:pPr>
        <w:widowControl/>
        <w:spacing w:after="0" w:line="312" w:lineRule="auto"/>
        <w:ind w:firstLine="420" w:firstLineChars="20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20.7在采购过程中符合竞争要求的供应商或者报价未超过采购预算的供应商不足3家的，采购人或者采购代理机构应当终止竞争性谈判采购活动。</w:t>
      </w:r>
    </w:p>
    <w:p w14:paraId="28DB7226">
      <w:pPr>
        <w:widowControl/>
        <w:spacing w:after="0" w:line="312" w:lineRule="auto"/>
        <w:ind w:firstLine="420" w:firstLineChars="20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20.8最后报价</w:t>
      </w:r>
    </w:p>
    <w:p w14:paraId="05B6D6A1">
      <w:pPr>
        <w:spacing w:after="0" w:line="312" w:lineRule="auto"/>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20.8.1谈判文件能够详细列明采购标的的技术、服务要求的，谈判结束后，谈判小组应当要求所有继续参加谈判的供应商在规定时间内密封提交最后报价，提交最后报价的供应商不得少于3家。</w:t>
      </w:r>
    </w:p>
    <w:p w14:paraId="52548227">
      <w:pPr>
        <w:spacing w:after="0" w:line="312" w:lineRule="auto"/>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20.8.2谈判文件不能详细列明采购标的的技术、服务要求的，需由谈判供应商提供最终设计方案或解决方案的，谈判结束后，谈判小组应当按照少数服从多数的原则投票推荐3家以上（含3家）供应商的设计方案或者解决方案，并要求其在规定时间内密封提交最后报价。</w:t>
      </w:r>
    </w:p>
    <w:p w14:paraId="0F11FDB2">
      <w:pPr>
        <w:spacing w:after="0" w:line="312" w:lineRule="auto"/>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20.8.3最后报价是供应商响应文件的有效组成部分。</w:t>
      </w:r>
    </w:p>
    <w:p w14:paraId="403E3BE1">
      <w:pPr>
        <w:spacing w:after="0" w:line="312" w:lineRule="auto"/>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20.9已提交响应文件的供应商，在提交最后报价之前，可以根据谈判情况书面退出谈判。</w:t>
      </w:r>
    </w:p>
    <w:p w14:paraId="2E8BF2A4">
      <w:pPr>
        <w:spacing w:after="0" w:line="312" w:lineRule="auto"/>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未书面退出谈判的供应商应在规定时间内密封提交最后报价，其最后报价不得超出采购预算；谈判过程中谈判文件未作实质性变动的，最后报价不得超过首次报价。</w:t>
      </w:r>
    </w:p>
    <w:p w14:paraId="49E8577E">
      <w:pPr>
        <w:widowControl/>
        <w:tabs>
          <w:tab w:val="left" w:pos="540"/>
        </w:tabs>
        <w:spacing w:after="0" w:line="312" w:lineRule="auto"/>
        <w:ind w:firstLine="420" w:firstLineChars="20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20.10评审报告</w:t>
      </w:r>
    </w:p>
    <w:p w14:paraId="71715569">
      <w:pPr>
        <w:spacing w:after="0" w:line="312" w:lineRule="auto"/>
        <w:ind w:firstLine="420" w:firstLineChars="200"/>
        <w:rPr>
          <w:rFonts w:ascii="Arial" w:hAnsi="Arial" w:eastAsia="宋体" w:cs="Arial"/>
          <w:color w:val="auto"/>
          <w:kern w:val="0"/>
          <w:sz w:val="24"/>
          <w:highlight w:val="none"/>
        </w:rPr>
      </w:pPr>
      <w:r>
        <w:rPr>
          <w:rFonts w:ascii="Arial" w:hAnsi="Arial" w:eastAsia="宋体" w:cs="Arial"/>
          <w:color w:val="auto"/>
          <w:kern w:val="0"/>
          <w:szCs w:val="21"/>
          <w:highlight w:val="none"/>
        </w:rPr>
        <w:t>谈判小组应当从质量和服务均能满足谈判文件全部实质性响应要求的供应商中，按照评审报价（最后报价）由低到高的顺序提出3名以上（含3名）成交候选人，并编写评审报告。</w:t>
      </w:r>
    </w:p>
    <w:p w14:paraId="23E698C7">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20.11在评审过程中出现法律法规和谈判文件均没有明确规定的情形时，由谈判小组现场协商解决，协商不一致的，由全体谈判小组投票表决，以得票率二分之一以上专家的意见为准。</w:t>
      </w:r>
    </w:p>
    <w:p w14:paraId="607FD90A">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20.12采购代理机构发现谈判小组有明显的违规倾向或歧视现象，或不按评审办法进行，或其他不正常行为的，应当及时制止。</w:t>
      </w:r>
    </w:p>
    <w:p w14:paraId="23B6512A">
      <w:pPr>
        <w:pStyle w:val="14"/>
        <w:spacing w:after="0" w:line="312"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21. 确定成交供应商</w:t>
      </w:r>
    </w:p>
    <w:p w14:paraId="24548DC1">
      <w:pPr>
        <w:pStyle w:val="14"/>
        <w:tabs>
          <w:tab w:val="left" w:pos="4214"/>
        </w:tabs>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（1）采购单位应当确定谈判小组推荐排名第一的成交候选人为成交供应商。</w:t>
      </w:r>
    </w:p>
    <w:p w14:paraId="5ACEE241">
      <w:pPr>
        <w:pStyle w:val="14"/>
        <w:spacing w:after="0" w:line="312" w:lineRule="auto"/>
        <w:ind w:firstLine="447" w:firstLineChars="213"/>
        <w:rPr>
          <w:rFonts w:ascii="Arial" w:hAnsi="Arial" w:eastAsia="宋体" w:cs="Arial"/>
          <w:color w:val="auto"/>
          <w:szCs w:val="21"/>
          <w:highlight w:val="none"/>
        </w:rPr>
      </w:pPr>
      <w:r>
        <w:rPr>
          <w:rFonts w:ascii="Arial" w:hAnsi="Arial" w:eastAsia="宋体" w:cs="Arial"/>
          <w:color w:val="auto"/>
          <w:szCs w:val="21"/>
          <w:highlight w:val="none"/>
        </w:rPr>
        <w:t>（2）排名第一的成交候选人放弃成交、因不可抗力提出不能履行合同，或因失信行为被取消成交候选人资格的，采购单位可以确定排名第二的成交候选人为成交供应商。</w:t>
      </w:r>
    </w:p>
    <w:p w14:paraId="4DCAB9D8">
      <w:pPr>
        <w:pStyle w:val="14"/>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（3）排名第二的成交候选人因前款规定的同样原因不能签订合同的，采购单位可以确定排名第三的成交候选人为成交供应商。</w:t>
      </w:r>
    </w:p>
    <w:p w14:paraId="75487253">
      <w:pPr>
        <w:widowControl/>
        <w:shd w:val="clear" w:color="auto" w:fill="FFFFFF"/>
        <w:spacing w:after="0" w:line="312" w:lineRule="auto"/>
        <w:ind w:firstLine="480"/>
        <w:jc w:val="left"/>
        <w:rPr>
          <w:rFonts w:ascii="Arial" w:hAnsi="Arial" w:eastAsia="宋体" w:cs="Arial"/>
          <w:b/>
          <w:color w:val="auto"/>
          <w:szCs w:val="21"/>
          <w:highlight w:val="none"/>
        </w:rPr>
      </w:pPr>
      <w:r>
        <w:rPr>
          <w:rFonts w:ascii="Arial" w:hAnsi="Arial" w:eastAsia="宋体" w:cs="Arial"/>
          <w:b/>
          <w:bCs/>
          <w:color w:val="auto"/>
          <w:szCs w:val="21"/>
          <w:highlight w:val="none"/>
        </w:rPr>
        <w:t xml:space="preserve">22. </w:t>
      </w:r>
      <w:r>
        <w:rPr>
          <w:rFonts w:ascii="Arial" w:hAnsi="Arial" w:eastAsia="宋体" w:cs="Arial"/>
          <w:b/>
          <w:color w:val="auto"/>
          <w:szCs w:val="21"/>
          <w:highlight w:val="none"/>
        </w:rPr>
        <w:t>属于下列情况之一者，响应文件无效：</w:t>
      </w:r>
    </w:p>
    <w:p w14:paraId="7756D8B4">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（1）未按谈判文件规定完整提交响应文件或未按规定要求密封、签字、盖章的，或未提供授权委托书（委托代理的）；</w:t>
      </w:r>
    </w:p>
    <w:p w14:paraId="59C469A6">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（2）超越了行政许可的经营范围的；</w:t>
      </w:r>
    </w:p>
    <w:p w14:paraId="5F15F3AC">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（3）不具备谈判文件规定的资格要求的</w:t>
      </w:r>
      <w:r>
        <w:rPr>
          <w:rFonts w:ascii="Arial" w:hAnsi="Arial" w:eastAsia="宋体" w:cs="Arial"/>
          <w:color w:val="auto"/>
          <w:highlight w:val="none"/>
        </w:rPr>
        <w:t>；</w:t>
      </w:r>
    </w:p>
    <w:p w14:paraId="6831FCAD">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（4）响应文件未按谈判文件的内容和要求编制，或提供虚假材料的；</w:t>
      </w:r>
    </w:p>
    <w:p w14:paraId="60B767F7">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（5）响应文件有效期、交付使用期、质保期、售后服务不能满足谈判文件要求的；</w:t>
      </w:r>
    </w:p>
    <w:p w14:paraId="771C56E1">
      <w:pPr>
        <w:snapToGrid w:val="0"/>
        <w:spacing w:after="0" w:line="312" w:lineRule="auto"/>
        <w:ind w:firstLine="411" w:firstLineChars="196"/>
        <w:rPr>
          <w:rFonts w:ascii="Arial" w:hAnsi="Arial" w:eastAsia="宋体" w:cs="Arial"/>
          <w:color w:val="auto"/>
          <w:highlight w:val="none"/>
        </w:rPr>
      </w:pPr>
      <w:r>
        <w:rPr>
          <w:rFonts w:ascii="Arial" w:hAnsi="Arial" w:eastAsia="宋体" w:cs="Arial"/>
          <w:color w:val="auto"/>
          <w:szCs w:val="21"/>
          <w:highlight w:val="none"/>
        </w:rPr>
        <w:t>（</w:t>
      </w:r>
      <w:r>
        <w:rPr>
          <w:rFonts w:ascii="Arial" w:hAnsi="Arial" w:eastAsia="宋体" w:cs="Arial"/>
          <w:color w:val="auto"/>
          <w:highlight w:val="none"/>
        </w:rPr>
        <w:t>6）供应商</w:t>
      </w:r>
      <w:r>
        <w:rPr>
          <w:rFonts w:ascii="Arial" w:hAnsi="Arial" w:eastAsia="宋体" w:cs="Arial"/>
          <w:color w:val="auto"/>
          <w:szCs w:val="21"/>
          <w:highlight w:val="none"/>
        </w:rPr>
        <w:t>未就“项目采购需求”中的所有货物内容作完整唯一报价的</w:t>
      </w:r>
      <w:r>
        <w:rPr>
          <w:rFonts w:ascii="Arial" w:hAnsi="Arial" w:eastAsia="宋体" w:cs="Arial"/>
          <w:color w:val="auto"/>
          <w:highlight w:val="none"/>
        </w:rPr>
        <w:t>，或报价超出采购预算金额的，或谈判过程中谈判文件未作实质性变动，最后报价超出首次报价的；</w:t>
      </w:r>
    </w:p>
    <w:p w14:paraId="153DE203">
      <w:pPr>
        <w:pStyle w:val="14"/>
        <w:spacing w:after="0" w:line="312" w:lineRule="auto"/>
        <w:ind w:firstLine="420" w:firstLineChars="200"/>
        <w:rPr>
          <w:rFonts w:ascii="Arial" w:hAnsi="Arial" w:eastAsia="宋体" w:cs="Arial"/>
          <w:color w:val="auto"/>
          <w:szCs w:val="24"/>
          <w:highlight w:val="none"/>
        </w:rPr>
      </w:pPr>
      <w:r>
        <w:rPr>
          <w:rFonts w:ascii="Arial" w:hAnsi="Arial" w:eastAsia="宋体" w:cs="Arial"/>
          <w:color w:val="auto"/>
          <w:highlight w:val="none"/>
        </w:rPr>
        <w:t>（7）未在谈判小组规定的时间内重新提交响应文件的；</w:t>
      </w:r>
    </w:p>
    <w:p w14:paraId="021452B4">
      <w:pPr>
        <w:pStyle w:val="14"/>
        <w:spacing w:after="0" w:line="312" w:lineRule="auto"/>
        <w:ind w:firstLine="420" w:firstLineChars="200"/>
        <w:rPr>
          <w:rFonts w:ascii="Arial" w:hAnsi="Arial" w:eastAsia="宋体" w:cs="Arial"/>
          <w:color w:val="auto"/>
          <w:szCs w:val="24"/>
          <w:highlight w:val="none"/>
        </w:rPr>
      </w:pPr>
      <w:r>
        <w:rPr>
          <w:rFonts w:ascii="Arial" w:hAnsi="Arial" w:eastAsia="宋体" w:cs="Arial"/>
          <w:color w:val="auto"/>
          <w:szCs w:val="24"/>
          <w:highlight w:val="none"/>
        </w:rPr>
        <w:t>（8）未满足谈判文件全部实质性要求的；或者响应文件有采购人不能接受的附加条件的；</w:t>
      </w:r>
    </w:p>
    <w:p w14:paraId="60B56D0D">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（9）未在规定时间或未足额缴纳谈判保证金的。</w:t>
      </w:r>
    </w:p>
    <w:p w14:paraId="2B256544">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（10）不符合法律、法规和谈判文件规定的其他实质性要求和条件的。</w:t>
      </w:r>
    </w:p>
    <w:p w14:paraId="54AAAE81">
      <w:pPr>
        <w:snapToGrid w:val="0"/>
        <w:spacing w:after="0" w:line="312" w:lineRule="auto"/>
        <w:ind w:left="354" w:leftChars="169" w:firstLine="102" w:firstLineChars="49"/>
        <w:rPr>
          <w:rFonts w:ascii="Arial" w:hAnsi="Arial" w:eastAsia="宋体" w:cs="Arial"/>
          <w:b/>
          <w:color w:val="auto"/>
          <w:szCs w:val="21"/>
          <w:highlight w:val="none"/>
        </w:rPr>
      </w:pPr>
      <w:r>
        <w:rPr>
          <w:rFonts w:ascii="Arial" w:hAnsi="Arial" w:eastAsia="宋体" w:cs="Arial"/>
          <w:b/>
          <w:color w:val="auto"/>
          <w:szCs w:val="21"/>
          <w:highlight w:val="none"/>
        </w:rPr>
        <w:t>23. 供应商有下列23.1、23.2情形之一的，视为串通谈判或属于恶意串通行为，响应文件将被视为无效：</w:t>
      </w:r>
    </w:p>
    <w:p w14:paraId="32F56BAC">
      <w:pPr>
        <w:snapToGrid w:val="0"/>
        <w:spacing w:after="0" w:line="312" w:lineRule="auto"/>
        <w:ind w:left="354" w:leftChars="169" w:firstLine="102" w:firstLineChars="49"/>
        <w:rPr>
          <w:rFonts w:ascii="Arial" w:hAnsi="Arial" w:eastAsia="宋体" w:cs="Arial"/>
          <w:b/>
          <w:color w:val="auto"/>
          <w:szCs w:val="21"/>
          <w:highlight w:val="none"/>
        </w:rPr>
      </w:pPr>
      <w:r>
        <w:rPr>
          <w:rFonts w:ascii="Arial" w:hAnsi="Arial" w:eastAsia="宋体" w:cs="Arial"/>
          <w:b/>
          <w:color w:val="auto"/>
          <w:szCs w:val="21"/>
          <w:highlight w:val="none"/>
        </w:rPr>
        <w:t>23.1供应商有下列情形之一的，视为串通参与谈判：</w:t>
      </w:r>
    </w:p>
    <w:p w14:paraId="0C30730A">
      <w:pPr>
        <w:snapToGrid w:val="0"/>
        <w:spacing w:after="0" w:line="312" w:lineRule="auto"/>
        <w:ind w:left="354" w:leftChars="169" w:firstLine="102" w:firstLineChars="49"/>
        <w:rPr>
          <w:rFonts w:ascii="Arial" w:hAnsi="Arial" w:eastAsia="宋体" w:cs="Arial"/>
          <w:color w:val="auto"/>
          <w:highlight w:val="none"/>
        </w:rPr>
      </w:pPr>
      <w:r>
        <w:rPr>
          <w:rFonts w:ascii="Arial" w:hAnsi="Arial" w:eastAsia="宋体" w:cs="Arial"/>
          <w:color w:val="auto"/>
          <w:highlight w:val="none"/>
        </w:rPr>
        <w:t>（1）不同供应商的响应文件由同一单位或者个人编制的；</w:t>
      </w:r>
    </w:p>
    <w:p w14:paraId="39B9FA09">
      <w:pPr>
        <w:snapToGrid w:val="0"/>
        <w:spacing w:after="0" w:line="312" w:lineRule="auto"/>
        <w:ind w:left="354" w:leftChars="169" w:firstLine="102" w:firstLineChars="49"/>
        <w:rPr>
          <w:rFonts w:ascii="Arial" w:hAnsi="Arial" w:eastAsia="宋体" w:cs="Arial"/>
          <w:color w:val="auto"/>
          <w:highlight w:val="none"/>
        </w:rPr>
      </w:pPr>
      <w:r>
        <w:rPr>
          <w:rFonts w:ascii="Arial" w:hAnsi="Arial" w:eastAsia="宋体" w:cs="Arial"/>
          <w:color w:val="auto"/>
          <w:highlight w:val="none"/>
        </w:rPr>
        <w:t>（2）不同供应商委托同一单位或者个人办理谈判事宜的；</w:t>
      </w:r>
    </w:p>
    <w:p w14:paraId="2EB9F5F9">
      <w:pPr>
        <w:snapToGrid w:val="0"/>
        <w:spacing w:after="0" w:line="312" w:lineRule="auto"/>
        <w:ind w:left="354" w:leftChars="169" w:firstLine="102" w:firstLineChars="49"/>
        <w:rPr>
          <w:rFonts w:ascii="Arial" w:hAnsi="Arial" w:eastAsia="宋体" w:cs="Arial"/>
          <w:color w:val="auto"/>
          <w:highlight w:val="none"/>
        </w:rPr>
      </w:pPr>
      <w:r>
        <w:rPr>
          <w:rFonts w:ascii="Arial" w:hAnsi="Arial" w:eastAsia="宋体" w:cs="Arial"/>
          <w:color w:val="auto"/>
          <w:highlight w:val="none"/>
        </w:rPr>
        <w:t>（3）不同的供应商的响应文件载明的项目管理员为同一个人的；</w:t>
      </w:r>
    </w:p>
    <w:p w14:paraId="2F1E2EF8">
      <w:pPr>
        <w:snapToGrid w:val="0"/>
        <w:spacing w:after="0" w:line="312" w:lineRule="auto"/>
        <w:ind w:left="354" w:leftChars="169" w:firstLine="102" w:firstLineChars="49"/>
        <w:rPr>
          <w:rFonts w:ascii="Arial" w:hAnsi="Arial" w:eastAsia="宋体" w:cs="Arial"/>
          <w:color w:val="auto"/>
          <w:highlight w:val="none"/>
        </w:rPr>
      </w:pPr>
      <w:r>
        <w:rPr>
          <w:rFonts w:ascii="Arial" w:hAnsi="Arial" w:eastAsia="宋体" w:cs="Arial"/>
          <w:color w:val="auto"/>
          <w:highlight w:val="none"/>
        </w:rPr>
        <w:t xml:space="preserve">（4）不同供应商的响应文件异常一致或最后报价呈规律性差异的； </w:t>
      </w:r>
    </w:p>
    <w:p w14:paraId="33FCADF2">
      <w:pPr>
        <w:snapToGrid w:val="0"/>
        <w:spacing w:after="0" w:line="312" w:lineRule="auto"/>
        <w:ind w:left="354" w:leftChars="169" w:firstLine="102" w:firstLineChars="49"/>
        <w:rPr>
          <w:rFonts w:ascii="Arial" w:hAnsi="Arial" w:eastAsia="宋体" w:cs="Arial"/>
          <w:color w:val="auto"/>
          <w:highlight w:val="none"/>
        </w:rPr>
      </w:pPr>
      <w:r>
        <w:rPr>
          <w:rFonts w:ascii="Arial" w:hAnsi="Arial" w:eastAsia="宋体" w:cs="Arial"/>
          <w:color w:val="auto"/>
          <w:highlight w:val="none"/>
        </w:rPr>
        <w:t>（5）不同供应商的响应文件相互混装的；</w:t>
      </w:r>
    </w:p>
    <w:p w14:paraId="7FA9EC2F">
      <w:pPr>
        <w:snapToGrid w:val="0"/>
        <w:spacing w:after="0" w:line="312" w:lineRule="auto"/>
        <w:ind w:firstLine="516" w:firstLineChars="246"/>
        <w:rPr>
          <w:rFonts w:ascii="Arial" w:hAnsi="Arial" w:eastAsia="宋体" w:cs="Arial"/>
          <w:color w:val="auto"/>
          <w:szCs w:val="21"/>
          <w:highlight w:val="none"/>
        </w:rPr>
      </w:pPr>
      <w:r>
        <w:rPr>
          <w:rFonts w:ascii="Arial" w:hAnsi="Arial" w:eastAsia="宋体" w:cs="Arial"/>
          <w:color w:val="auto"/>
          <w:szCs w:val="21"/>
          <w:highlight w:val="none"/>
        </w:rPr>
        <w:t>（6）谈判文件未做实质性变动，供应商最后报价高于首次报价的。</w:t>
      </w:r>
    </w:p>
    <w:p w14:paraId="34D6CE05">
      <w:pPr>
        <w:snapToGrid w:val="0"/>
        <w:spacing w:after="0" w:line="312" w:lineRule="auto"/>
        <w:ind w:firstLine="420" w:firstLineChars="200"/>
        <w:jc w:val="left"/>
        <w:rPr>
          <w:rFonts w:ascii="Arial" w:hAnsi="Arial" w:eastAsia="宋体" w:cs="Arial"/>
          <w:b/>
          <w:color w:val="auto"/>
          <w:szCs w:val="21"/>
          <w:highlight w:val="none"/>
        </w:rPr>
      </w:pPr>
      <w:r>
        <w:rPr>
          <w:rFonts w:ascii="Arial" w:hAnsi="Arial" w:eastAsia="宋体" w:cs="Arial"/>
          <w:b/>
          <w:color w:val="auto"/>
          <w:szCs w:val="21"/>
          <w:highlight w:val="none"/>
        </w:rPr>
        <w:t>23.2供应商有下列情形之一的，属于恶意串通行为：</w:t>
      </w:r>
    </w:p>
    <w:p w14:paraId="2FAA74E7">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（1）供应商直接或者间接从采购人或者采购代理机构处获得其他供应商的相关信息并修改其响应文件的：</w:t>
      </w:r>
    </w:p>
    <w:p w14:paraId="395388A7">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（2）供应商按照采购人或者采购代理机构的授意撤换、修改响应文件的；</w:t>
      </w:r>
    </w:p>
    <w:p w14:paraId="54AE3420">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（3）供应商之间协商报价、技术方案等响应文件的实质性内容的；</w:t>
      </w:r>
    </w:p>
    <w:p w14:paraId="3A129813">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（4）属于同一集团、协会、商会等组织成员的供应商按照该组织要求协同参加政府采购活动的；</w:t>
      </w:r>
    </w:p>
    <w:p w14:paraId="7660F2AE">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（5）供应商之间事先约定一致抬高或者压低报价,或者在采购项目中事先约定轮流以高价位或者低价位成交,或者事先约定由某一特定供应商成交,然后再参加谈判的；</w:t>
      </w:r>
    </w:p>
    <w:p w14:paraId="004AFEFE">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（6）供应商之间商定部分供应商放弃参加政府采购活动或者放弃成交的；</w:t>
      </w:r>
    </w:p>
    <w:p w14:paraId="5824FA76">
      <w:pPr>
        <w:snapToGrid w:val="0"/>
        <w:spacing w:after="0" w:line="312" w:lineRule="auto"/>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（7）供应商与采购人或者采购代理机构之间、供应商相互之间，为谋求特定供应商成交或者排斥其他供应商的其他串通行为的。</w:t>
      </w:r>
    </w:p>
    <w:p w14:paraId="1DA976CF">
      <w:pPr>
        <w:snapToGrid w:val="0"/>
        <w:spacing w:after="0" w:line="312" w:lineRule="auto"/>
        <w:ind w:firstLine="411" w:firstLineChars="196"/>
        <w:rPr>
          <w:rFonts w:ascii="Arial" w:hAnsi="Arial" w:eastAsia="宋体" w:cs="Arial"/>
          <w:b/>
          <w:color w:val="auto"/>
          <w:szCs w:val="21"/>
          <w:highlight w:val="none"/>
        </w:rPr>
      </w:pPr>
      <w:r>
        <w:rPr>
          <w:rFonts w:ascii="Arial" w:hAnsi="Arial" w:eastAsia="宋体" w:cs="Arial"/>
          <w:b/>
          <w:color w:val="auto"/>
          <w:szCs w:val="21"/>
          <w:highlight w:val="none"/>
        </w:rPr>
        <w:t>24. 出现下列情形之一的，采购人或者采购代理机构应当终止竞争性谈判采购活动，发布项目终止公告并说明原因，重新开展采购活动：</w:t>
      </w:r>
    </w:p>
    <w:p w14:paraId="093FA152">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（1）因情况变化，不再符合规定的竞争性谈判采购方式适用情形的；</w:t>
      </w:r>
    </w:p>
    <w:p w14:paraId="691C6A27">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 xml:space="preserve">（2）出现影响采购公正的违法、违规行为的； </w:t>
      </w:r>
    </w:p>
    <w:p w14:paraId="0221502F">
      <w:pPr>
        <w:snapToGrid w:val="0"/>
        <w:spacing w:after="0" w:line="312" w:lineRule="auto"/>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 xml:space="preserve">（3）在采购过程中符合竞争要求的供应商或者报价未超过采购预算的供应商不足3家的。  </w:t>
      </w:r>
    </w:p>
    <w:p w14:paraId="530DD1C5">
      <w:pPr>
        <w:snapToGrid w:val="0"/>
        <w:spacing w:after="0" w:line="312" w:lineRule="auto"/>
        <w:ind w:firstLine="420" w:firstLineChars="200"/>
        <w:rPr>
          <w:rFonts w:ascii="Arial" w:hAnsi="Arial" w:eastAsia="宋体" w:cs="Arial"/>
          <w:b/>
          <w:color w:val="auto"/>
          <w:highlight w:val="none"/>
        </w:rPr>
      </w:pPr>
      <w:r>
        <w:rPr>
          <w:rFonts w:ascii="Arial" w:hAnsi="Arial" w:eastAsia="宋体" w:cs="Arial"/>
          <w:b/>
          <w:color w:val="auto"/>
          <w:highlight w:val="none"/>
        </w:rPr>
        <w:t>25. 谈判过程的监控</w:t>
      </w:r>
    </w:p>
    <w:p w14:paraId="54356356">
      <w:pPr>
        <w:pStyle w:val="14"/>
        <w:spacing w:after="0" w:line="312" w:lineRule="auto"/>
        <w:ind w:firstLine="411" w:firstLineChars="196"/>
        <w:rPr>
          <w:rFonts w:ascii="Arial" w:hAnsi="Arial" w:eastAsia="宋体" w:cs="Arial"/>
          <w:color w:val="auto"/>
          <w:highlight w:val="none"/>
        </w:rPr>
      </w:pPr>
      <w:r>
        <w:rPr>
          <w:rFonts w:ascii="Arial" w:hAnsi="Arial" w:eastAsia="宋体" w:cs="Arial"/>
          <w:color w:val="auto"/>
          <w:highlight w:val="none"/>
        </w:rPr>
        <w:t>本项目谈判过程实行全程录音、录像监控，供应商在谈判过程中所进行的试图影响谈判结果的不公正活动，可能导致其谈判被拒绝。</w:t>
      </w:r>
    </w:p>
    <w:p w14:paraId="1F30B2E2">
      <w:pPr>
        <w:snapToGrid w:val="0"/>
        <w:spacing w:after="0" w:line="312" w:lineRule="auto"/>
        <w:ind w:firstLine="420" w:firstLineChars="200"/>
        <w:rPr>
          <w:rFonts w:ascii="Arial" w:hAnsi="Arial" w:eastAsia="宋体" w:cs="Arial"/>
          <w:b/>
          <w:color w:val="auto"/>
          <w:highlight w:val="none"/>
        </w:rPr>
      </w:pPr>
      <w:r>
        <w:rPr>
          <w:rFonts w:ascii="Arial" w:hAnsi="Arial" w:eastAsia="宋体" w:cs="Arial"/>
          <w:b/>
          <w:color w:val="auto"/>
          <w:highlight w:val="none"/>
        </w:rPr>
        <w:t xml:space="preserve">26. 信用查询 </w:t>
      </w:r>
    </w:p>
    <w:p w14:paraId="2A4B5D5F">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根据《关于做好政府采购有关信用主体标识码登记及在政府采购活动中查询使用信用记录有关问题的通知》（桂财采〔2016〕37号），由采购代理机构对第一成交候选人进行信用查询：</w:t>
      </w:r>
    </w:p>
    <w:p w14:paraId="2849D41D">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⑴查询渠道：“信用中国”网站(www.creditchina.gov.cn)、中国政府采购网(www.ccgp.gov.cn)等；</w:t>
      </w:r>
    </w:p>
    <w:p w14:paraId="335B24C4">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⑵查询截止时间：成交通知书发出前；</w:t>
      </w:r>
    </w:p>
    <w:p w14:paraId="4A9E50F0">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⑶信用信息查询记录和证据留存方式：在查询网站中直接打印查询记录，打印材料作为采购活动资料保存；</w:t>
      </w:r>
    </w:p>
    <w:p w14:paraId="3693E9F2">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⑷信用信息使用规则：对在“信用中国”网站(www.creditchina.gov.cn)、中国政府采购网(www.ccgp.gov.cn)等渠道列入失信被执行人、重大税收违法失信主体、政府采购严重违法失信行为记录名单及其他不符合《中华人民共和国政府采购法》第二十二条规定条件的供应商，取消其成交候选人资格。</w:t>
      </w:r>
    </w:p>
    <w:p w14:paraId="6382ABD3">
      <w:pPr>
        <w:pStyle w:val="14"/>
        <w:spacing w:after="0" w:line="312" w:lineRule="auto"/>
        <w:ind w:firstLine="411" w:firstLineChars="196"/>
        <w:rPr>
          <w:rFonts w:ascii="Arial" w:hAnsi="Arial" w:eastAsia="宋体" w:cs="Arial"/>
          <w:b/>
          <w:color w:val="auto"/>
          <w:highlight w:val="none"/>
        </w:rPr>
      </w:pPr>
      <w:r>
        <w:rPr>
          <w:rFonts w:ascii="Arial" w:hAnsi="Arial" w:eastAsia="宋体" w:cs="Arial"/>
          <w:b/>
          <w:color w:val="auto"/>
          <w:highlight w:val="none"/>
        </w:rPr>
        <w:t>27</w:t>
      </w:r>
      <w:r>
        <w:rPr>
          <w:rFonts w:ascii="Arial" w:hAnsi="Arial" w:eastAsia="宋体" w:cs="Arial"/>
          <w:b/>
          <w:color w:val="auto"/>
          <w:szCs w:val="21"/>
          <w:highlight w:val="none"/>
        </w:rPr>
        <w:t xml:space="preserve">. </w:t>
      </w:r>
      <w:r>
        <w:rPr>
          <w:rFonts w:ascii="Arial" w:hAnsi="Arial" w:eastAsia="宋体" w:cs="Arial"/>
          <w:b/>
          <w:color w:val="auto"/>
          <w:szCs w:val="24"/>
          <w:highlight w:val="none"/>
        </w:rPr>
        <w:t>成交公告及成交通知书</w:t>
      </w:r>
    </w:p>
    <w:p w14:paraId="27069F5C">
      <w:pPr>
        <w:pStyle w:val="14"/>
        <w:tabs>
          <w:tab w:val="left" w:pos="455"/>
        </w:tabs>
        <w:spacing w:after="0" w:line="312" w:lineRule="auto"/>
        <w:ind w:firstLine="420" w:firstLineChars="200"/>
        <w:rPr>
          <w:rFonts w:ascii="Arial" w:hAnsi="Arial" w:eastAsia="宋体" w:cs="Arial"/>
          <w:color w:val="auto"/>
          <w:szCs w:val="24"/>
          <w:highlight w:val="none"/>
        </w:rPr>
      </w:pPr>
      <w:r>
        <w:rPr>
          <w:rFonts w:ascii="Arial" w:hAnsi="Arial" w:eastAsia="宋体" w:cs="Arial"/>
          <w:color w:val="auto"/>
          <w:highlight w:val="none"/>
        </w:rPr>
        <w:t xml:space="preserve">27.1 </w:t>
      </w:r>
      <w:r>
        <w:rPr>
          <w:rFonts w:ascii="Arial" w:hAnsi="Arial" w:eastAsia="宋体" w:cs="Arial"/>
          <w:color w:val="auto"/>
          <w:szCs w:val="21"/>
          <w:highlight w:val="none"/>
        </w:rPr>
        <w:t>采购代理机构于谈判结束后两个工作日内将评审报告送交采购人，采购人应当自收到评审报告五个工作日内在评审报告推荐的成交候选人中按顺序确定成交供应商，采购代理机构在成交供应商确定之日起两个工作日</w:t>
      </w:r>
      <w:r>
        <w:rPr>
          <w:rFonts w:ascii="Arial" w:hAnsi="Arial" w:eastAsia="宋体" w:cs="Arial"/>
          <w:color w:val="auto"/>
          <w:szCs w:val="24"/>
          <w:highlight w:val="none"/>
        </w:rPr>
        <w:t>内发出成交通知书，并在指定媒体上公告成交信息。</w:t>
      </w:r>
    </w:p>
    <w:p w14:paraId="441C60DE">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27.2在发布成交公告的同时，采购代理机构向成交供应商发出成交通知书。成交供应商应自接到通知之日起七个工作日内，办理成交通知书领取手续。</w:t>
      </w:r>
    </w:p>
    <w:p w14:paraId="0FBCF354">
      <w:pPr>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27.3 采购代理机构无义务向未成交的供应商解释未成交原因和退还响应文件。</w:t>
      </w:r>
    </w:p>
    <w:p w14:paraId="5ECF865A">
      <w:pPr>
        <w:tabs>
          <w:tab w:val="left" w:pos="1140"/>
        </w:tabs>
        <w:spacing w:after="0" w:line="312" w:lineRule="auto"/>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五、签订合同</w:t>
      </w:r>
    </w:p>
    <w:p w14:paraId="5A62044F">
      <w:pPr>
        <w:spacing w:after="0" w:line="312" w:lineRule="auto"/>
        <w:ind w:firstLine="411" w:firstLineChars="196"/>
        <w:rPr>
          <w:rFonts w:ascii="Arial" w:hAnsi="Arial" w:eastAsia="宋体" w:cs="Arial"/>
          <w:b/>
          <w:color w:val="auto"/>
          <w:highlight w:val="none"/>
        </w:rPr>
      </w:pPr>
      <w:r>
        <w:rPr>
          <w:rFonts w:ascii="Arial" w:hAnsi="Arial" w:eastAsia="宋体" w:cs="Arial"/>
          <w:b/>
          <w:color w:val="auto"/>
          <w:highlight w:val="none"/>
        </w:rPr>
        <w:t>28</w:t>
      </w:r>
      <w:r>
        <w:rPr>
          <w:rFonts w:ascii="Arial" w:hAnsi="Arial" w:eastAsia="宋体" w:cs="Arial"/>
          <w:b/>
          <w:color w:val="auto"/>
          <w:szCs w:val="21"/>
          <w:highlight w:val="none"/>
        </w:rPr>
        <w:t xml:space="preserve">. </w:t>
      </w:r>
      <w:r>
        <w:rPr>
          <w:rFonts w:ascii="Arial" w:hAnsi="Arial" w:eastAsia="宋体" w:cs="Arial"/>
          <w:b/>
          <w:color w:val="auto"/>
          <w:highlight w:val="none"/>
        </w:rPr>
        <w:t>履约保证金</w:t>
      </w:r>
    </w:p>
    <w:p w14:paraId="7D4C2DD3">
      <w:pPr>
        <w:snapToGrid w:val="0"/>
        <w:spacing w:after="0" w:line="312" w:lineRule="auto"/>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28.1.履约保证金金额：在合同签订之前，成交供应商按成交金额的5%（如成交供应商为中小微企业的，按成交金额的2%）向采购人交纳履约保证金。</w:t>
      </w:r>
    </w:p>
    <w:p w14:paraId="6E8703C4">
      <w:pPr>
        <w:snapToGrid w:val="0"/>
        <w:spacing w:after="0" w:line="312" w:lineRule="auto"/>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28.2.履约保证金递交方式：转账或电汇等非现金形式。</w:t>
      </w:r>
    </w:p>
    <w:p w14:paraId="4CA869D1">
      <w:pPr>
        <w:snapToGrid w:val="0"/>
        <w:spacing w:after="0" w:line="312" w:lineRule="auto"/>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28.3.履约保证金指定账户</w:t>
      </w:r>
    </w:p>
    <w:p w14:paraId="73F05B40">
      <w:pPr>
        <w:snapToGrid w:val="0"/>
        <w:spacing w:after="0" w:line="312" w:lineRule="auto"/>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开户名称：桂林理工大学</w:t>
      </w:r>
    </w:p>
    <w:p w14:paraId="66E9AEC4">
      <w:pPr>
        <w:snapToGrid w:val="0"/>
        <w:spacing w:after="0" w:line="312" w:lineRule="auto"/>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开户银行：中国银行桂林分行</w:t>
      </w:r>
    </w:p>
    <w:p w14:paraId="2DE2939C">
      <w:pPr>
        <w:snapToGrid w:val="0"/>
        <w:spacing w:after="0" w:line="312" w:lineRule="auto"/>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账号：613257488744。</w:t>
      </w:r>
    </w:p>
    <w:p w14:paraId="68458B8E">
      <w:pPr>
        <w:snapToGrid w:val="0"/>
        <w:spacing w:after="0" w:line="312" w:lineRule="auto"/>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28.4.履约保证金退付方式、时间及条件：</w:t>
      </w:r>
    </w:p>
    <w:p w14:paraId="4F07B627">
      <w:pPr>
        <w:snapToGrid w:val="0"/>
        <w:spacing w:after="0" w:line="312" w:lineRule="auto"/>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（1）成交供应商须按上述规定的金额、方式将履约保证金转入桂林理工大学账户。否则，不予签订合同。</w:t>
      </w:r>
    </w:p>
    <w:p w14:paraId="75E3E1C3">
      <w:pPr>
        <w:snapToGrid w:val="0"/>
        <w:spacing w:after="0" w:line="312" w:lineRule="auto"/>
        <w:ind w:firstLine="411" w:firstLineChars="196"/>
        <w:rPr>
          <w:rFonts w:ascii="Arial" w:hAnsi="Arial" w:eastAsia="宋体" w:cs="Arial"/>
          <w:bCs/>
          <w:color w:val="auto"/>
          <w:kern w:val="0"/>
          <w:szCs w:val="21"/>
          <w:highlight w:val="none"/>
        </w:rPr>
      </w:pPr>
      <w:r>
        <w:rPr>
          <w:rFonts w:ascii="Arial" w:hAnsi="Arial" w:eastAsia="宋体" w:cs="Arial"/>
          <w:bCs/>
          <w:color w:val="auto"/>
          <w:szCs w:val="21"/>
          <w:highlight w:val="none"/>
        </w:rPr>
        <w:t>（2）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p w14:paraId="4258EFC0">
      <w:pPr>
        <w:tabs>
          <w:tab w:val="left" w:pos="1140"/>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29. 签订合同</w:t>
      </w:r>
    </w:p>
    <w:p w14:paraId="68F2609B">
      <w:pPr>
        <w:tabs>
          <w:tab w:val="left" w:pos="1140"/>
        </w:tabs>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29.1 签订合同时间：</w:t>
      </w:r>
      <w:r>
        <w:rPr>
          <w:rFonts w:ascii="Arial" w:hAnsi="Arial" w:eastAsia="宋体" w:cs="Arial"/>
          <w:color w:val="auto"/>
          <w:highlight w:val="none"/>
        </w:rPr>
        <w:t>成交通知书发出之日起</w:t>
      </w:r>
      <w:r>
        <w:rPr>
          <w:rFonts w:hint="eastAsia" w:ascii="Arial" w:hAnsi="Arial" w:eastAsia="宋体" w:cs="Arial"/>
          <w:color w:val="auto"/>
          <w:highlight w:val="none"/>
        </w:rPr>
        <w:t>30</w:t>
      </w:r>
      <w:r>
        <w:rPr>
          <w:rFonts w:ascii="Arial" w:hAnsi="Arial" w:eastAsia="宋体" w:cs="Arial"/>
          <w:color w:val="auto"/>
          <w:highlight w:val="none"/>
        </w:rPr>
        <w:t>日内</w:t>
      </w:r>
      <w:r>
        <w:rPr>
          <w:rFonts w:ascii="Arial" w:hAnsi="Arial" w:eastAsia="宋体" w:cs="Arial"/>
          <w:color w:val="auto"/>
          <w:highlight w:val="none"/>
        </w:rPr>
        <w:t>。</w:t>
      </w:r>
      <w:r>
        <w:rPr>
          <w:rFonts w:ascii="Arial" w:hAnsi="Arial" w:eastAsia="宋体" w:cs="Arial"/>
          <w:color w:val="auto"/>
          <w:szCs w:val="21"/>
          <w:highlight w:val="none"/>
        </w:rPr>
        <w:t>成交供应商领取成交通知书后，应按规定与采购人签订合同。</w:t>
      </w:r>
    </w:p>
    <w:p w14:paraId="3570FB91">
      <w:pPr>
        <w:pStyle w:val="14"/>
        <w:spacing w:after="0" w:line="312" w:lineRule="auto"/>
        <w:ind w:firstLine="420" w:firstLineChars="200"/>
        <w:rPr>
          <w:rFonts w:ascii="Arial" w:hAnsi="Arial" w:eastAsia="宋体" w:cs="Arial"/>
          <w:color w:val="auto"/>
          <w:szCs w:val="24"/>
          <w:highlight w:val="none"/>
        </w:rPr>
      </w:pPr>
      <w:r>
        <w:rPr>
          <w:rFonts w:ascii="Arial" w:hAnsi="Arial" w:eastAsia="宋体" w:cs="Arial"/>
          <w:color w:val="auto"/>
          <w:szCs w:val="24"/>
          <w:highlight w:val="none"/>
        </w:rPr>
        <w:t>29.2 如成交供应商有下列情形之一，采购代理机构可从谈判小组推荐的成交候选人中按顺序重新确定成交供应商或重新组织采购。拒绝签订采购合同的成交供应商不得参加对该项目重新开展的采购活动。</w:t>
      </w:r>
    </w:p>
    <w:p w14:paraId="4A6FBAAC">
      <w:pPr>
        <w:widowControl/>
        <w:spacing w:after="0" w:line="312" w:lineRule="auto"/>
        <w:jc w:val="left"/>
        <w:rPr>
          <w:rFonts w:ascii="Arial" w:hAnsi="Arial" w:eastAsia="宋体" w:cs="Arial"/>
          <w:color w:val="auto"/>
          <w:highlight w:val="none"/>
        </w:rPr>
      </w:pPr>
      <w:r>
        <w:rPr>
          <w:rFonts w:ascii="Arial" w:hAnsi="Arial" w:eastAsia="宋体" w:cs="Arial"/>
          <w:color w:val="auto"/>
          <w:highlight w:val="none"/>
        </w:rPr>
        <w:t>　　（1）成交后不与采购人签订合同的（不可抗力除外）；</w:t>
      </w:r>
    </w:p>
    <w:p w14:paraId="3B593FE3">
      <w:pPr>
        <w:widowControl/>
        <w:spacing w:after="0" w:line="312" w:lineRule="auto"/>
        <w:jc w:val="left"/>
        <w:rPr>
          <w:rFonts w:ascii="Arial" w:hAnsi="Arial" w:eastAsia="宋体" w:cs="Arial"/>
          <w:color w:val="auto"/>
          <w:highlight w:val="none"/>
        </w:rPr>
      </w:pPr>
      <w:r>
        <w:rPr>
          <w:rFonts w:ascii="Arial" w:hAnsi="Arial" w:eastAsia="宋体" w:cs="Arial"/>
          <w:color w:val="auto"/>
          <w:highlight w:val="none"/>
        </w:rPr>
        <w:t xml:space="preserve">    （2）将成交项目转让给他人，或者在响应文件中未说明，且未经采购人同意，将成交项目分包给他人的；</w:t>
      </w:r>
    </w:p>
    <w:p w14:paraId="69F4B46A">
      <w:pPr>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（3）拒绝履行合同义务的。</w:t>
      </w:r>
    </w:p>
    <w:p w14:paraId="6BBA3540">
      <w:pPr>
        <w:spacing w:after="0" w:line="312" w:lineRule="auto"/>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六、其他事项</w:t>
      </w:r>
    </w:p>
    <w:p w14:paraId="6199C3EC">
      <w:pPr>
        <w:spacing w:after="0" w:line="312" w:lineRule="auto"/>
        <w:ind w:firstLine="514" w:firstLineChars="245"/>
        <w:rPr>
          <w:rFonts w:ascii="Arial" w:hAnsi="Arial" w:eastAsia="宋体" w:cs="Arial"/>
          <w:b/>
          <w:color w:val="auto"/>
          <w:highlight w:val="none"/>
        </w:rPr>
      </w:pPr>
      <w:r>
        <w:rPr>
          <w:rFonts w:ascii="Arial" w:hAnsi="Arial" w:eastAsia="宋体" w:cs="Arial"/>
          <w:b/>
          <w:color w:val="auto"/>
          <w:highlight w:val="none"/>
        </w:rPr>
        <w:t>30</w:t>
      </w:r>
      <w:r>
        <w:rPr>
          <w:rFonts w:ascii="Arial" w:hAnsi="Arial" w:eastAsia="宋体" w:cs="Arial"/>
          <w:b/>
          <w:color w:val="auto"/>
          <w:szCs w:val="21"/>
          <w:highlight w:val="none"/>
        </w:rPr>
        <w:t xml:space="preserve">. </w:t>
      </w:r>
      <w:r>
        <w:rPr>
          <w:rFonts w:ascii="Arial" w:hAnsi="Arial" w:eastAsia="宋体" w:cs="Arial"/>
          <w:b/>
          <w:color w:val="auto"/>
          <w:highlight w:val="none"/>
        </w:rPr>
        <w:t>采购代理服务费</w:t>
      </w:r>
    </w:p>
    <w:p w14:paraId="62FE0F52">
      <w:pPr>
        <w:spacing w:after="0" w:line="312" w:lineRule="auto"/>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30.1采购代理服务费：以项目的成交金额为计费额，按国家发展计划委员会文件计价格（2002）1980号“国家计委关于印发《招标代理服务收费管理暂行办法》的通知”规定的货物类费率标准（详见本须知第30.2条）采用差额定率累进法计算出收费基准价格，采购代理服务费按收费基准价格下浮60 %收取，由成交供应商在领取成交通知书前，向采购代理机构一次性支付。</w:t>
      </w:r>
    </w:p>
    <w:p w14:paraId="479EADC8">
      <w:pPr>
        <w:spacing w:after="0" w:line="312" w:lineRule="auto"/>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30.2采购代理服务费标准：</w:t>
      </w:r>
    </w:p>
    <w:tbl>
      <w:tblPr>
        <w:tblStyle w:val="24"/>
        <w:tblW w:w="6138" w:type="dxa"/>
        <w:jc w:val="center"/>
        <w:tblLayout w:type="fixed"/>
        <w:tblCellMar>
          <w:top w:w="0" w:type="dxa"/>
          <w:left w:w="108" w:type="dxa"/>
          <w:bottom w:w="0" w:type="dxa"/>
          <w:right w:w="108" w:type="dxa"/>
        </w:tblCellMar>
      </w:tblPr>
      <w:tblGrid>
        <w:gridCol w:w="2734"/>
        <w:gridCol w:w="1134"/>
        <w:gridCol w:w="1135"/>
        <w:gridCol w:w="1135"/>
      </w:tblGrid>
      <w:tr w14:paraId="22637DB3">
        <w:tblPrEx>
          <w:tblCellMar>
            <w:top w:w="0" w:type="dxa"/>
            <w:left w:w="108" w:type="dxa"/>
            <w:bottom w:w="0" w:type="dxa"/>
            <w:right w:w="108" w:type="dxa"/>
          </w:tblCellMar>
        </w:tblPrEx>
        <w:trPr>
          <w:trHeight w:val="588" w:hRule="atLeast"/>
          <w:jc w:val="center"/>
        </w:trPr>
        <w:tc>
          <w:tcPr>
            <w:tcW w:w="2734" w:type="dxa"/>
            <w:tcBorders>
              <w:top w:val="single" w:color="000000" w:sz="4" w:space="0"/>
              <w:left w:val="single" w:color="000000" w:sz="4" w:space="0"/>
              <w:bottom w:val="single" w:color="000000" w:sz="4" w:space="0"/>
              <w:right w:val="single" w:color="000000" w:sz="4" w:space="0"/>
              <w:tl2br w:val="single" w:color="auto" w:sz="4" w:space="0"/>
            </w:tcBorders>
            <w:tcMar>
              <w:top w:w="0" w:type="dxa"/>
              <w:left w:w="0" w:type="dxa"/>
              <w:bottom w:w="0" w:type="dxa"/>
              <w:right w:w="108" w:type="dxa"/>
            </w:tcMar>
            <w:vAlign w:val="center"/>
          </w:tcPr>
          <w:p w14:paraId="2D7DA833">
            <w:pPr>
              <w:spacing w:after="0" w:line="312" w:lineRule="auto"/>
              <w:rPr>
                <w:rFonts w:ascii="Arial" w:hAnsi="Arial" w:eastAsia="宋体" w:cs="Arial"/>
                <w:color w:val="auto"/>
                <w:highlight w:val="none"/>
              </w:rPr>
            </w:pPr>
            <w:r>
              <w:rPr>
                <w:rFonts w:ascii="Arial" w:hAnsi="Arial" w:eastAsia="宋体" w:cs="Arial"/>
                <w:color w:val="auto"/>
                <w:highlight w:val="none"/>
              </w:rPr>
              <w:t xml:space="preserve">             </w:t>
            </w:r>
            <w:r>
              <w:rPr>
                <w:rFonts w:hint="eastAsia" w:ascii="Arial" w:hAnsi="Arial" w:eastAsia="宋体" w:cs="Arial"/>
                <w:color w:val="auto"/>
                <w:highlight w:val="none"/>
              </w:rPr>
              <w:t xml:space="preserve">  </w:t>
            </w:r>
            <w:r>
              <w:rPr>
                <w:rFonts w:ascii="Arial" w:hAnsi="Arial" w:eastAsia="宋体" w:cs="Arial"/>
                <w:color w:val="auto"/>
                <w:highlight w:val="none"/>
              </w:rPr>
              <w:t>服务类型</w:t>
            </w:r>
          </w:p>
          <w:p w14:paraId="48AA7E80">
            <w:pPr>
              <w:spacing w:after="0" w:line="312" w:lineRule="auto"/>
              <w:rPr>
                <w:rFonts w:ascii="Arial" w:hAnsi="Arial" w:eastAsia="宋体" w:cs="Arial"/>
                <w:color w:val="auto"/>
                <w:highlight w:val="none"/>
              </w:rPr>
            </w:pPr>
            <w:r>
              <w:rPr>
                <w:rFonts w:hint="eastAsia" w:ascii="Arial" w:hAnsi="Arial" w:eastAsia="宋体" w:cs="Arial"/>
                <w:color w:val="auto"/>
                <w:highlight w:val="none"/>
              </w:rPr>
              <w:t>成交</w:t>
            </w:r>
            <w:r>
              <w:rPr>
                <w:rFonts w:ascii="Arial" w:hAnsi="Arial" w:eastAsia="宋体" w:cs="Arial"/>
                <w:color w:val="auto"/>
                <w:highlight w:val="none"/>
              </w:rPr>
              <w:t>金额（万元）</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C3C366">
            <w:pPr>
              <w:spacing w:after="0" w:line="312" w:lineRule="auto"/>
              <w:jc w:val="center"/>
              <w:rPr>
                <w:rFonts w:ascii="Arial" w:hAnsi="Arial" w:eastAsia="宋体" w:cs="Arial"/>
                <w:color w:val="auto"/>
                <w:highlight w:val="none"/>
              </w:rPr>
            </w:pPr>
            <w:r>
              <w:rPr>
                <w:rFonts w:ascii="Arial" w:hAnsi="Arial" w:eastAsia="宋体" w:cs="Arial"/>
                <w:color w:val="auto"/>
                <w:highlight w:val="none"/>
              </w:rPr>
              <w:t>货物招标</w:t>
            </w:r>
          </w:p>
        </w:tc>
        <w:tc>
          <w:tcPr>
            <w:tcW w:w="11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108" w:type="dxa"/>
            </w:tcMar>
            <w:vAlign w:val="center"/>
          </w:tcPr>
          <w:p w14:paraId="242C0429">
            <w:pPr>
              <w:spacing w:after="0" w:line="312" w:lineRule="auto"/>
              <w:jc w:val="center"/>
              <w:rPr>
                <w:rFonts w:ascii="Arial" w:hAnsi="Arial" w:eastAsia="宋体" w:cs="Arial"/>
                <w:color w:val="auto"/>
                <w:highlight w:val="none"/>
              </w:rPr>
            </w:pPr>
            <w:r>
              <w:rPr>
                <w:rFonts w:ascii="Arial" w:hAnsi="Arial" w:eastAsia="宋体" w:cs="Arial"/>
                <w:color w:val="auto"/>
                <w:highlight w:val="none"/>
              </w:rPr>
              <w:t>服务招标</w:t>
            </w:r>
          </w:p>
        </w:tc>
        <w:tc>
          <w:tcPr>
            <w:tcW w:w="11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108" w:type="dxa"/>
            </w:tcMar>
            <w:vAlign w:val="center"/>
          </w:tcPr>
          <w:p w14:paraId="47A86625">
            <w:pPr>
              <w:spacing w:after="0" w:line="312" w:lineRule="auto"/>
              <w:jc w:val="center"/>
              <w:rPr>
                <w:rFonts w:ascii="Arial" w:hAnsi="Arial" w:eastAsia="宋体" w:cs="Arial"/>
                <w:color w:val="auto"/>
                <w:highlight w:val="none"/>
              </w:rPr>
            </w:pPr>
            <w:r>
              <w:rPr>
                <w:rFonts w:ascii="Arial" w:hAnsi="Arial" w:eastAsia="宋体" w:cs="Arial"/>
                <w:color w:val="auto"/>
                <w:highlight w:val="none"/>
              </w:rPr>
              <w:t>工程招标</w:t>
            </w:r>
          </w:p>
        </w:tc>
      </w:tr>
      <w:tr w14:paraId="2E8CE2A8">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D9F0DA">
            <w:pPr>
              <w:spacing w:after="0" w:line="312" w:lineRule="auto"/>
              <w:jc w:val="center"/>
              <w:rPr>
                <w:rFonts w:ascii="Arial" w:hAnsi="Arial" w:eastAsia="宋体" w:cs="Arial"/>
                <w:color w:val="auto"/>
                <w:highlight w:val="none"/>
              </w:rPr>
            </w:pPr>
            <w:r>
              <w:rPr>
                <w:rFonts w:ascii="Arial" w:hAnsi="Arial" w:eastAsia="宋体" w:cs="Arial"/>
                <w:color w:val="auto"/>
                <w:highlight w:val="none"/>
              </w:rPr>
              <w:t>100以下</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F9B736">
            <w:pPr>
              <w:spacing w:after="0" w:line="312" w:lineRule="auto"/>
              <w:jc w:val="center"/>
              <w:rPr>
                <w:rFonts w:ascii="Arial" w:hAnsi="Arial" w:eastAsia="宋体" w:cs="Arial"/>
                <w:color w:val="auto"/>
                <w:highlight w:val="none"/>
              </w:rPr>
            </w:pPr>
            <w:r>
              <w:rPr>
                <w:rFonts w:ascii="Arial" w:hAnsi="Arial" w:eastAsia="宋体" w:cs="Arial"/>
                <w:color w:val="auto"/>
                <w:highlight w:val="none"/>
              </w:rPr>
              <w:t>1.5％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F64830">
            <w:pPr>
              <w:spacing w:after="0" w:line="312" w:lineRule="auto"/>
              <w:jc w:val="center"/>
              <w:rPr>
                <w:rFonts w:ascii="Arial" w:hAnsi="Arial" w:eastAsia="宋体" w:cs="Arial"/>
                <w:color w:val="auto"/>
                <w:highlight w:val="none"/>
              </w:rPr>
            </w:pPr>
            <w:r>
              <w:rPr>
                <w:rFonts w:ascii="Arial" w:hAnsi="Arial" w:eastAsia="宋体" w:cs="Arial"/>
                <w:color w:val="auto"/>
                <w:highlight w:val="none"/>
              </w:rPr>
              <w:t>1.5％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3C54C6">
            <w:pPr>
              <w:spacing w:after="0" w:line="312" w:lineRule="auto"/>
              <w:jc w:val="center"/>
              <w:rPr>
                <w:rFonts w:ascii="Arial" w:hAnsi="Arial" w:eastAsia="宋体" w:cs="Arial"/>
                <w:color w:val="auto"/>
                <w:highlight w:val="none"/>
              </w:rPr>
            </w:pPr>
            <w:r>
              <w:rPr>
                <w:rFonts w:ascii="Arial" w:hAnsi="Arial" w:eastAsia="宋体" w:cs="Arial"/>
                <w:color w:val="auto"/>
                <w:highlight w:val="none"/>
              </w:rPr>
              <w:t>1.0％</w:t>
            </w:r>
          </w:p>
        </w:tc>
      </w:tr>
      <w:tr w14:paraId="7FC2A942">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E01FBE">
            <w:pPr>
              <w:spacing w:after="0" w:line="312" w:lineRule="auto"/>
              <w:jc w:val="center"/>
              <w:rPr>
                <w:rFonts w:ascii="Arial" w:hAnsi="Arial" w:eastAsia="宋体" w:cs="Arial"/>
                <w:color w:val="auto"/>
                <w:highlight w:val="none"/>
              </w:rPr>
            </w:pPr>
            <w:r>
              <w:rPr>
                <w:rFonts w:ascii="Arial" w:hAnsi="Arial" w:eastAsia="宋体" w:cs="Arial"/>
                <w:color w:val="auto"/>
                <w:highlight w:val="none"/>
              </w:rPr>
              <w:t>100-500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2EBEA0">
            <w:pPr>
              <w:spacing w:after="0" w:line="312" w:lineRule="auto"/>
              <w:jc w:val="center"/>
              <w:rPr>
                <w:rFonts w:ascii="Arial" w:hAnsi="Arial" w:eastAsia="宋体" w:cs="Arial"/>
                <w:color w:val="auto"/>
                <w:highlight w:val="none"/>
              </w:rPr>
            </w:pPr>
            <w:r>
              <w:rPr>
                <w:rFonts w:ascii="Arial" w:hAnsi="Arial" w:eastAsia="宋体" w:cs="Arial"/>
                <w:color w:val="auto"/>
                <w:highlight w:val="none"/>
              </w:rPr>
              <w:t>1.1％</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53CAAD">
            <w:pPr>
              <w:spacing w:after="0" w:line="312" w:lineRule="auto"/>
              <w:jc w:val="center"/>
              <w:rPr>
                <w:rFonts w:ascii="Arial" w:hAnsi="Arial" w:eastAsia="宋体" w:cs="Arial"/>
                <w:color w:val="auto"/>
                <w:highlight w:val="none"/>
              </w:rPr>
            </w:pPr>
            <w:r>
              <w:rPr>
                <w:rFonts w:ascii="Arial" w:hAnsi="Arial" w:eastAsia="宋体" w:cs="Arial"/>
                <w:color w:val="auto"/>
                <w:highlight w:val="none"/>
              </w:rPr>
              <w:t>0.8％</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9344C8">
            <w:pPr>
              <w:spacing w:after="0" w:line="312" w:lineRule="auto"/>
              <w:jc w:val="center"/>
              <w:rPr>
                <w:rFonts w:ascii="Arial" w:hAnsi="Arial" w:eastAsia="宋体" w:cs="Arial"/>
                <w:color w:val="auto"/>
                <w:highlight w:val="none"/>
              </w:rPr>
            </w:pPr>
            <w:r>
              <w:rPr>
                <w:rFonts w:ascii="Arial" w:hAnsi="Arial" w:eastAsia="宋体" w:cs="Arial"/>
                <w:color w:val="auto"/>
                <w:highlight w:val="none"/>
              </w:rPr>
              <w:t>0.7％</w:t>
            </w:r>
          </w:p>
        </w:tc>
      </w:tr>
      <w:tr w14:paraId="6BD5E87A">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E44BE0">
            <w:pPr>
              <w:spacing w:after="0" w:line="312" w:lineRule="auto"/>
              <w:jc w:val="center"/>
              <w:rPr>
                <w:rFonts w:ascii="Arial" w:hAnsi="Arial" w:eastAsia="宋体" w:cs="Arial"/>
                <w:color w:val="auto"/>
                <w:highlight w:val="none"/>
              </w:rPr>
            </w:pPr>
            <w:r>
              <w:rPr>
                <w:rFonts w:ascii="Arial" w:hAnsi="Arial" w:eastAsia="宋体" w:cs="Arial"/>
                <w:color w:val="auto"/>
                <w:highlight w:val="none"/>
              </w:rPr>
              <w:t>500-1000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3FB6CD">
            <w:pPr>
              <w:spacing w:after="0" w:line="312" w:lineRule="auto"/>
              <w:jc w:val="center"/>
              <w:rPr>
                <w:rFonts w:ascii="Arial" w:hAnsi="Arial" w:eastAsia="宋体" w:cs="Arial"/>
                <w:color w:val="auto"/>
                <w:highlight w:val="none"/>
              </w:rPr>
            </w:pPr>
            <w:r>
              <w:rPr>
                <w:rFonts w:ascii="Arial" w:hAnsi="Arial" w:eastAsia="宋体" w:cs="Arial"/>
                <w:color w:val="auto"/>
                <w:highlight w:val="none"/>
              </w:rPr>
              <w:t>0.8％</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54BBEE">
            <w:pPr>
              <w:spacing w:after="0" w:line="312" w:lineRule="auto"/>
              <w:jc w:val="center"/>
              <w:rPr>
                <w:rFonts w:ascii="Arial" w:hAnsi="Arial" w:eastAsia="宋体" w:cs="Arial"/>
                <w:color w:val="auto"/>
                <w:highlight w:val="none"/>
              </w:rPr>
            </w:pPr>
            <w:r>
              <w:rPr>
                <w:rFonts w:ascii="Arial" w:hAnsi="Arial" w:eastAsia="宋体" w:cs="Arial"/>
                <w:color w:val="auto"/>
                <w:highlight w:val="none"/>
              </w:rPr>
              <w:t>0.45％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BA4AD7">
            <w:pPr>
              <w:spacing w:after="0" w:line="312" w:lineRule="auto"/>
              <w:jc w:val="center"/>
              <w:rPr>
                <w:rFonts w:ascii="Arial" w:hAnsi="Arial" w:eastAsia="宋体" w:cs="Arial"/>
                <w:color w:val="auto"/>
                <w:highlight w:val="none"/>
              </w:rPr>
            </w:pPr>
            <w:r>
              <w:rPr>
                <w:rFonts w:ascii="Arial" w:hAnsi="Arial" w:eastAsia="宋体" w:cs="Arial"/>
                <w:color w:val="auto"/>
                <w:highlight w:val="none"/>
              </w:rPr>
              <w:t>0.55％</w:t>
            </w:r>
          </w:p>
        </w:tc>
      </w:tr>
      <w:tr w14:paraId="503ED78F">
        <w:tblPrEx>
          <w:tblCellMar>
            <w:top w:w="0" w:type="dxa"/>
            <w:left w:w="108" w:type="dxa"/>
            <w:bottom w:w="0" w:type="dxa"/>
            <w:right w:w="108" w:type="dxa"/>
          </w:tblCellMar>
        </w:tblPrEx>
        <w:trPr>
          <w:trHeight w:val="434"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449060">
            <w:pPr>
              <w:spacing w:after="0" w:line="312" w:lineRule="auto"/>
              <w:jc w:val="center"/>
              <w:rPr>
                <w:rFonts w:ascii="Arial" w:hAnsi="Arial" w:eastAsia="宋体" w:cs="Arial"/>
                <w:color w:val="auto"/>
                <w:highlight w:val="none"/>
              </w:rPr>
            </w:pPr>
            <w:r>
              <w:rPr>
                <w:rFonts w:ascii="Arial" w:hAnsi="Arial" w:eastAsia="宋体" w:cs="Arial"/>
                <w:color w:val="auto"/>
                <w:highlight w:val="none"/>
              </w:rPr>
              <w:t>1000-5000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6376AF">
            <w:pPr>
              <w:spacing w:after="0" w:line="312" w:lineRule="auto"/>
              <w:jc w:val="center"/>
              <w:rPr>
                <w:rFonts w:ascii="Arial" w:hAnsi="Arial" w:eastAsia="宋体" w:cs="Arial"/>
                <w:color w:val="auto"/>
                <w:highlight w:val="none"/>
              </w:rPr>
            </w:pPr>
            <w:r>
              <w:rPr>
                <w:rFonts w:ascii="Arial" w:hAnsi="Arial" w:eastAsia="宋体" w:cs="Arial"/>
                <w:color w:val="auto"/>
                <w:highlight w:val="none"/>
              </w:rPr>
              <w:t>0.5％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CD002E">
            <w:pPr>
              <w:spacing w:after="0" w:line="312" w:lineRule="auto"/>
              <w:jc w:val="center"/>
              <w:rPr>
                <w:rFonts w:ascii="Arial" w:hAnsi="Arial" w:eastAsia="宋体" w:cs="Arial"/>
                <w:color w:val="auto"/>
                <w:highlight w:val="none"/>
              </w:rPr>
            </w:pPr>
            <w:r>
              <w:rPr>
                <w:rFonts w:ascii="Arial" w:hAnsi="Arial" w:eastAsia="宋体" w:cs="Arial"/>
                <w:color w:val="auto"/>
                <w:highlight w:val="none"/>
              </w:rPr>
              <w:t>0.25％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8C87B3">
            <w:pPr>
              <w:spacing w:after="0" w:line="312" w:lineRule="auto"/>
              <w:jc w:val="center"/>
              <w:rPr>
                <w:rFonts w:ascii="Arial" w:hAnsi="Arial" w:eastAsia="宋体" w:cs="Arial"/>
                <w:color w:val="auto"/>
                <w:highlight w:val="none"/>
              </w:rPr>
            </w:pPr>
            <w:r>
              <w:rPr>
                <w:rFonts w:ascii="Arial" w:hAnsi="Arial" w:eastAsia="宋体" w:cs="Arial"/>
                <w:color w:val="auto"/>
                <w:highlight w:val="none"/>
              </w:rPr>
              <w:t>0.35％</w:t>
            </w:r>
          </w:p>
        </w:tc>
      </w:tr>
    </w:tbl>
    <w:p w14:paraId="15E07A9E">
      <w:pPr>
        <w:pStyle w:val="14"/>
        <w:spacing w:after="0" w:line="312" w:lineRule="auto"/>
        <w:ind w:firstLine="420" w:firstLineChars="200"/>
        <w:rPr>
          <w:rFonts w:ascii="Arial" w:hAnsi="Arial" w:eastAsia="宋体" w:cs="Arial"/>
          <w:b/>
          <w:color w:val="auto"/>
          <w:highlight w:val="none"/>
        </w:rPr>
      </w:pPr>
      <w:r>
        <w:rPr>
          <w:rFonts w:ascii="Arial" w:hAnsi="Arial" w:eastAsia="宋体" w:cs="Arial"/>
          <w:color w:val="auto"/>
          <w:highlight w:val="none"/>
        </w:rPr>
        <w:t>注：代理服务收费按差额定率累进法计算。</w:t>
      </w:r>
    </w:p>
    <w:p w14:paraId="5FCCC7ED">
      <w:pPr>
        <w:spacing w:after="0" w:line="312" w:lineRule="auto"/>
        <w:ind w:firstLine="420" w:firstLineChars="200"/>
        <w:rPr>
          <w:rFonts w:ascii="Arial" w:hAnsi="Arial" w:eastAsia="宋体" w:cs="Arial"/>
          <w:b/>
          <w:color w:val="auto"/>
          <w:highlight w:val="none"/>
        </w:rPr>
      </w:pPr>
      <w:r>
        <w:rPr>
          <w:rFonts w:ascii="Arial" w:hAnsi="Arial" w:eastAsia="宋体" w:cs="Arial"/>
          <w:b/>
          <w:color w:val="auto"/>
          <w:highlight w:val="none"/>
        </w:rPr>
        <w:t>31.采购代理机构银行账户：</w:t>
      </w:r>
    </w:p>
    <w:p w14:paraId="7745B6A0">
      <w:pPr>
        <w:pStyle w:val="14"/>
        <w:keepNext w:val="0"/>
        <w:keepLines w:val="0"/>
        <w:pageBreakBefore w:val="0"/>
        <w:kinsoku/>
        <w:wordWrap/>
        <w:overflowPunct/>
        <w:topLinePunct w:val="0"/>
        <w:autoSpaceDE/>
        <w:autoSpaceDN/>
        <w:bidi w:val="0"/>
        <w:adjustRightInd/>
        <w:snapToGrid w:val="0"/>
        <w:spacing w:after="0" w:line="312" w:lineRule="auto"/>
        <w:ind w:left="420" w:leftChars="200"/>
        <w:textAlignment w:val="auto"/>
        <w:rPr>
          <w:rFonts w:hint="eastAsia" w:ascii="Arial" w:hAnsi="Arial" w:eastAsia="宋体" w:cs="Arial"/>
          <w:b/>
          <w:color w:val="auto"/>
          <w:highlight w:val="none"/>
        </w:rPr>
      </w:pPr>
      <w:r>
        <w:rPr>
          <w:rFonts w:hint="eastAsia" w:ascii="Arial" w:hAnsi="Arial" w:eastAsia="宋体" w:cs="Arial"/>
          <w:b/>
          <w:color w:val="auto"/>
          <w:highlight w:val="none"/>
        </w:rPr>
        <w:t>公司名称：广西机电设备招标有限公司</w:t>
      </w:r>
    </w:p>
    <w:p w14:paraId="75CAE50D">
      <w:pPr>
        <w:pStyle w:val="14"/>
        <w:keepNext w:val="0"/>
        <w:keepLines w:val="0"/>
        <w:pageBreakBefore w:val="0"/>
        <w:kinsoku/>
        <w:wordWrap/>
        <w:overflowPunct/>
        <w:topLinePunct w:val="0"/>
        <w:autoSpaceDE/>
        <w:autoSpaceDN/>
        <w:bidi w:val="0"/>
        <w:adjustRightInd/>
        <w:snapToGrid w:val="0"/>
        <w:spacing w:after="0" w:line="312" w:lineRule="auto"/>
        <w:ind w:left="420" w:leftChars="200"/>
        <w:textAlignment w:val="auto"/>
        <w:rPr>
          <w:rFonts w:hint="eastAsia" w:ascii="Arial" w:hAnsi="Arial" w:eastAsia="宋体" w:cs="Arial"/>
          <w:b/>
          <w:color w:val="auto"/>
          <w:highlight w:val="none"/>
        </w:rPr>
      </w:pPr>
      <w:r>
        <w:rPr>
          <w:rFonts w:hint="eastAsia" w:ascii="Arial" w:hAnsi="Arial" w:eastAsia="宋体" w:cs="Arial"/>
          <w:b/>
          <w:color w:val="auto"/>
          <w:highlight w:val="none"/>
        </w:rPr>
        <w:t>开户银行：广西北部湾银行金湖支行</w:t>
      </w:r>
    </w:p>
    <w:p w14:paraId="0DB2DE03">
      <w:pPr>
        <w:pStyle w:val="14"/>
        <w:keepNext w:val="0"/>
        <w:keepLines w:val="0"/>
        <w:pageBreakBefore w:val="0"/>
        <w:kinsoku/>
        <w:wordWrap/>
        <w:overflowPunct/>
        <w:topLinePunct w:val="0"/>
        <w:autoSpaceDE/>
        <w:autoSpaceDN/>
        <w:bidi w:val="0"/>
        <w:adjustRightInd/>
        <w:snapToGrid w:val="0"/>
        <w:spacing w:after="0" w:line="312" w:lineRule="auto"/>
        <w:ind w:left="420" w:leftChars="200"/>
        <w:textAlignment w:val="auto"/>
        <w:rPr>
          <w:rFonts w:hint="eastAsia" w:ascii="Arial" w:hAnsi="Arial" w:eastAsia="宋体" w:cs="Arial"/>
          <w:b/>
          <w:color w:val="auto"/>
          <w:highlight w:val="none"/>
        </w:rPr>
      </w:pPr>
      <w:r>
        <w:rPr>
          <w:rFonts w:hint="eastAsia" w:ascii="Arial" w:hAnsi="Arial" w:eastAsia="宋体" w:cs="Arial"/>
          <w:b/>
          <w:color w:val="auto"/>
          <w:highlight w:val="none"/>
        </w:rPr>
        <w:t>银行账号：1705012090027723</w:t>
      </w:r>
    </w:p>
    <w:p w14:paraId="44F6DE43">
      <w:pPr>
        <w:pStyle w:val="14"/>
        <w:snapToGrid w:val="0"/>
        <w:spacing w:after="0" w:line="312" w:lineRule="auto"/>
        <w:ind w:left="420" w:leftChars="200"/>
        <w:rPr>
          <w:rFonts w:ascii="Arial" w:hAnsi="Arial" w:eastAsia="宋体" w:cs="Arial"/>
          <w:color w:val="auto"/>
          <w:highlight w:val="none"/>
        </w:rPr>
      </w:pPr>
      <w:r>
        <w:rPr>
          <w:rFonts w:ascii="Arial" w:hAnsi="Arial" w:eastAsia="宋体" w:cs="Arial"/>
          <w:b/>
          <w:color w:val="auto"/>
          <w:highlight w:val="none"/>
        </w:rPr>
        <w:t>32.解释权：</w:t>
      </w:r>
      <w:r>
        <w:rPr>
          <w:rFonts w:ascii="Arial" w:hAnsi="Arial" w:eastAsia="宋体" w:cs="Arial"/>
          <w:color w:val="auto"/>
          <w:highlight w:val="none"/>
        </w:rPr>
        <w:t>本竞争性谈判文件的解释权属于采购代理机构。</w:t>
      </w:r>
    </w:p>
    <w:p w14:paraId="4DB97F17">
      <w:pPr>
        <w:spacing w:after="0" w:line="312" w:lineRule="auto"/>
        <w:rPr>
          <w:rFonts w:ascii="Arial" w:hAnsi="Arial" w:eastAsia="宋体" w:cs="Arial"/>
          <w:b/>
          <w:color w:val="auto"/>
          <w:sz w:val="32"/>
          <w:szCs w:val="32"/>
          <w:highlight w:val="none"/>
        </w:rPr>
      </w:pPr>
      <w:r>
        <w:rPr>
          <w:rFonts w:ascii="Arial" w:hAnsi="Arial" w:eastAsia="宋体" w:cs="Arial"/>
          <w:color w:val="auto"/>
          <w:kern w:val="0"/>
          <w:sz w:val="24"/>
          <w:highlight w:val="none"/>
        </w:rPr>
        <w:br w:type="page"/>
      </w:r>
    </w:p>
    <w:p w14:paraId="604D6B85">
      <w:pPr>
        <w:pStyle w:val="2"/>
        <w:spacing w:line="312" w:lineRule="auto"/>
        <w:jc w:val="center"/>
        <w:rPr>
          <w:color w:val="auto"/>
          <w:highlight w:val="none"/>
        </w:rPr>
      </w:pPr>
      <w:bookmarkStart w:id="27" w:name="_Toc6011"/>
      <w:bookmarkStart w:id="28" w:name="_Toc8686"/>
      <w:r>
        <w:rPr>
          <w:color w:val="auto"/>
          <w:highlight w:val="none"/>
        </w:rPr>
        <w:t xml:space="preserve">第三章  </w:t>
      </w:r>
      <w:bookmarkEnd w:id="27"/>
      <w:r>
        <w:rPr>
          <w:color w:val="auto"/>
          <w:highlight w:val="none"/>
        </w:rPr>
        <w:t>项目采购需求</w:t>
      </w:r>
      <w:bookmarkEnd w:id="28"/>
    </w:p>
    <w:p w14:paraId="1522C92D">
      <w:pPr>
        <w:widowControl/>
        <w:spacing w:line="312" w:lineRule="auto"/>
        <w:ind w:firstLine="420" w:firstLineChars="200"/>
        <w:jc w:val="left"/>
        <w:rPr>
          <w:rFonts w:ascii="Arial" w:hAnsi="Arial" w:eastAsia="宋体" w:cs="Arial"/>
          <w:b/>
          <w:color w:val="auto"/>
          <w:highlight w:val="none"/>
        </w:rPr>
      </w:pPr>
      <w:bookmarkStart w:id="29" w:name="_Toc23090"/>
      <w:r>
        <w:rPr>
          <w:rFonts w:ascii="Arial" w:hAnsi="Arial" w:eastAsia="宋体" w:cs="Arial"/>
          <w:b/>
          <w:color w:val="auto"/>
          <w:highlight w:val="none"/>
        </w:rPr>
        <w:t>说明：“项目采购需求”中所有条款要求及竞争性谈判文件中要求“必须提供”的条款均为实质性要求，如有负偏离或不满足要求则响应被否决。</w:t>
      </w:r>
    </w:p>
    <w:tbl>
      <w:tblPr>
        <w:tblStyle w:val="25"/>
        <w:tblW w:w="985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379"/>
        <w:gridCol w:w="675"/>
        <w:gridCol w:w="435"/>
        <w:gridCol w:w="127"/>
        <w:gridCol w:w="18"/>
        <w:gridCol w:w="530"/>
        <w:gridCol w:w="7690"/>
      </w:tblGrid>
      <w:tr w14:paraId="51BFFB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9854" w:type="dxa"/>
            <w:gridSpan w:val="7"/>
          </w:tcPr>
          <w:p w14:paraId="132A1DA5">
            <w:pPr>
              <w:snapToGrid w:val="0"/>
              <w:spacing w:after="0" w:line="276" w:lineRule="auto"/>
              <w:rPr>
                <w:rFonts w:ascii="Arial" w:hAnsi="Arial" w:eastAsia="宋体" w:cs="Arial"/>
                <w:color w:val="auto"/>
                <w:szCs w:val="21"/>
                <w:highlight w:val="none"/>
              </w:rPr>
            </w:pPr>
            <w:r>
              <w:rPr>
                <w:rFonts w:ascii="Arial" w:hAnsi="Arial" w:eastAsia="宋体" w:cs="Arial"/>
                <w:b/>
                <w:color w:val="auto"/>
                <w:szCs w:val="21"/>
                <w:highlight w:val="none"/>
              </w:rPr>
              <w:t>一、采购标的及技术需求</w:t>
            </w:r>
          </w:p>
        </w:tc>
      </w:tr>
      <w:tr w14:paraId="146457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55" w:hRule="atLeast"/>
        </w:trPr>
        <w:tc>
          <w:tcPr>
            <w:tcW w:w="379" w:type="dxa"/>
            <w:vAlign w:val="center"/>
          </w:tcPr>
          <w:p w14:paraId="4D20AFC0">
            <w:pPr>
              <w:widowControl/>
              <w:snapToGrid w:val="0"/>
              <w:spacing w:after="0" w:line="276" w:lineRule="auto"/>
              <w:jc w:val="center"/>
              <w:rPr>
                <w:rFonts w:ascii="Arial" w:hAnsi="Arial" w:eastAsia="宋体" w:cs="Arial"/>
                <w:b/>
                <w:bCs/>
                <w:color w:val="auto"/>
                <w:kern w:val="0"/>
                <w:szCs w:val="21"/>
                <w:highlight w:val="none"/>
              </w:rPr>
            </w:pPr>
            <w:r>
              <w:rPr>
                <w:rFonts w:ascii="Arial" w:hAnsi="Arial" w:eastAsia="宋体" w:cs="Arial"/>
                <w:b/>
                <w:bCs/>
                <w:color w:val="auto"/>
                <w:kern w:val="0"/>
                <w:szCs w:val="21"/>
                <w:highlight w:val="none"/>
              </w:rPr>
              <w:t>项号</w:t>
            </w:r>
          </w:p>
        </w:tc>
        <w:tc>
          <w:tcPr>
            <w:tcW w:w="675" w:type="dxa"/>
            <w:vAlign w:val="center"/>
          </w:tcPr>
          <w:p w14:paraId="7A032673">
            <w:pPr>
              <w:widowControl/>
              <w:snapToGrid w:val="0"/>
              <w:spacing w:after="0" w:line="276" w:lineRule="auto"/>
              <w:jc w:val="center"/>
              <w:rPr>
                <w:rFonts w:ascii="Arial" w:hAnsi="Arial" w:eastAsia="宋体" w:cs="Arial"/>
                <w:b/>
                <w:bCs/>
                <w:color w:val="auto"/>
                <w:kern w:val="0"/>
                <w:szCs w:val="21"/>
                <w:highlight w:val="none"/>
              </w:rPr>
            </w:pPr>
            <w:r>
              <w:rPr>
                <w:rFonts w:ascii="Arial" w:hAnsi="Arial" w:eastAsia="宋体" w:cs="Arial"/>
                <w:b/>
                <w:bCs/>
                <w:color w:val="auto"/>
                <w:kern w:val="0"/>
                <w:szCs w:val="21"/>
                <w:highlight w:val="none"/>
              </w:rPr>
              <w:t>标的名称</w:t>
            </w:r>
          </w:p>
        </w:tc>
        <w:tc>
          <w:tcPr>
            <w:tcW w:w="435" w:type="dxa"/>
            <w:vAlign w:val="center"/>
          </w:tcPr>
          <w:p w14:paraId="65E6F17A">
            <w:pPr>
              <w:widowControl/>
              <w:snapToGrid w:val="0"/>
              <w:spacing w:after="0" w:line="276" w:lineRule="auto"/>
              <w:jc w:val="center"/>
              <w:rPr>
                <w:rFonts w:ascii="Arial" w:hAnsi="Arial" w:eastAsia="宋体" w:cs="Arial"/>
                <w:b/>
                <w:bCs/>
                <w:color w:val="auto"/>
                <w:kern w:val="0"/>
                <w:szCs w:val="21"/>
                <w:highlight w:val="none"/>
              </w:rPr>
            </w:pPr>
            <w:r>
              <w:rPr>
                <w:rFonts w:ascii="Arial" w:hAnsi="Arial" w:eastAsia="宋体" w:cs="Arial"/>
                <w:b/>
                <w:bCs/>
                <w:color w:val="auto"/>
                <w:kern w:val="0"/>
                <w:szCs w:val="21"/>
                <w:highlight w:val="none"/>
              </w:rPr>
              <w:t>数量</w:t>
            </w:r>
          </w:p>
        </w:tc>
        <w:tc>
          <w:tcPr>
            <w:tcW w:w="675" w:type="dxa"/>
            <w:gridSpan w:val="3"/>
          </w:tcPr>
          <w:p w14:paraId="67CABE25">
            <w:pPr>
              <w:widowControl/>
              <w:snapToGrid w:val="0"/>
              <w:spacing w:after="0" w:line="276" w:lineRule="auto"/>
              <w:jc w:val="center"/>
              <w:rPr>
                <w:rFonts w:ascii="Arial" w:hAnsi="Arial" w:eastAsia="宋体" w:cs="Arial"/>
                <w:b/>
                <w:bCs/>
                <w:color w:val="auto"/>
                <w:kern w:val="0"/>
                <w:szCs w:val="21"/>
                <w:highlight w:val="none"/>
              </w:rPr>
            </w:pPr>
            <w:r>
              <w:rPr>
                <w:rFonts w:ascii="Arial" w:hAnsi="Arial" w:eastAsia="宋体" w:cs="Arial"/>
                <w:b/>
                <w:bCs/>
                <w:color w:val="auto"/>
                <w:kern w:val="0"/>
                <w:szCs w:val="21"/>
                <w:highlight w:val="none"/>
              </w:rPr>
              <w:t>计量</w:t>
            </w:r>
          </w:p>
          <w:p w14:paraId="67ED6FB3">
            <w:pPr>
              <w:widowControl/>
              <w:snapToGrid w:val="0"/>
              <w:spacing w:after="0" w:line="276" w:lineRule="auto"/>
              <w:jc w:val="center"/>
              <w:rPr>
                <w:rFonts w:ascii="Arial" w:hAnsi="Arial" w:eastAsia="宋体" w:cs="Arial"/>
                <w:b/>
                <w:bCs/>
                <w:color w:val="auto"/>
                <w:kern w:val="0"/>
                <w:szCs w:val="21"/>
                <w:highlight w:val="none"/>
              </w:rPr>
            </w:pPr>
            <w:r>
              <w:rPr>
                <w:rFonts w:ascii="Arial" w:hAnsi="Arial" w:eastAsia="宋体" w:cs="Arial"/>
                <w:b/>
                <w:bCs/>
                <w:color w:val="auto"/>
                <w:kern w:val="0"/>
                <w:szCs w:val="21"/>
                <w:highlight w:val="none"/>
              </w:rPr>
              <w:t>单位</w:t>
            </w:r>
          </w:p>
        </w:tc>
        <w:tc>
          <w:tcPr>
            <w:tcW w:w="7690" w:type="dxa"/>
            <w:vAlign w:val="center"/>
          </w:tcPr>
          <w:p w14:paraId="1AE31333">
            <w:pPr>
              <w:snapToGrid w:val="0"/>
              <w:spacing w:after="0" w:line="276" w:lineRule="auto"/>
              <w:jc w:val="center"/>
              <w:rPr>
                <w:rFonts w:ascii="Arial" w:hAnsi="Arial" w:eastAsia="宋体" w:cs="Arial"/>
                <w:b/>
                <w:bCs/>
                <w:color w:val="auto"/>
                <w:kern w:val="0"/>
                <w:szCs w:val="21"/>
                <w:highlight w:val="none"/>
              </w:rPr>
            </w:pPr>
            <w:r>
              <w:rPr>
                <w:rFonts w:ascii="Arial" w:hAnsi="Arial" w:eastAsia="宋体" w:cs="Arial"/>
                <w:b/>
                <w:color w:val="auto"/>
                <w:szCs w:val="21"/>
                <w:highlight w:val="none"/>
              </w:rPr>
              <w:t>项目要求及技术需求</w:t>
            </w:r>
          </w:p>
        </w:tc>
      </w:tr>
      <w:tr w14:paraId="0A99CC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34" w:hRule="atLeast"/>
        </w:trPr>
        <w:tc>
          <w:tcPr>
            <w:tcW w:w="379" w:type="dxa"/>
            <w:vAlign w:val="center"/>
          </w:tcPr>
          <w:p w14:paraId="688F0FF8">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675" w:type="dxa"/>
            <w:vAlign w:val="center"/>
          </w:tcPr>
          <w:p w14:paraId="53647F40">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核心交换机</w:t>
            </w:r>
          </w:p>
        </w:tc>
        <w:tc>
          <w:tcPr>
            <w:tcW w:w="435" w:type="dxa"/>
            <w:vAlign w:val="center"/>
          </w:tcPr>
          <w:p w14:paraId="51729224">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675" w:type="dxa"/>
            <w:gridSpan w:val="3"/>
            <w:vAlign w:val="center"/>
          </w:tcPr>
          <w:p w14:paraId="335D4B64">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台</w:t>
            </w:r>
          </w:p>
        </w:tc>
        <w:tc>
          <w:tcPr>
            <w:tcW w:w="7690" w:type="dxa"/>
            <w:shd w:val="clear" w:color="auto" w:fill="auto"/>
          </w:tcPr>
          <w:p w14:paraId="1D220CC7">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1.交换容量≥640Tbps，包转发速率≥230000Mpps，CLOS交换架构，支持信元交换，独立主控引擎插槽≥2个，独立业务插槽≥8个，独立交换网板插槽≥4个</w:t>
            </w:r>
            <w:r>
              <w:rPr>
                <w:rFonts w:hint="eastAsia" w:ascii="Arial" w:hAnsi="Arial" w:eastAsia="宋体" w:cs="Arial"/>
                <w:color w:val="auto"/>
                <w:szCs w:val="21"/>
                <w:highlight w:val="none"/>
              </w:rPr>
              <w:t>，整机电源槽位≥</w:t>
            </w:r>
            <w:r>
              <w:rPr>
                <w:rFonts w:ascii="Arial" w:hAnsi="Arial" w:eastAsia="宋体" w:cs="Arial"/>
                <w:color w:val="auto"/>
                <w:szCs w:val="21"/>
                <w:highlight w:val="none"/>
              </w:rPr>
              <w:t>6个</w:t>
            </w:r>
            <w:r>
              <w:rPr>
                <w:rFonts w:hint="eastAsia" w:ascii="Arial" w:hAnsi="Arial" w:eastAsia="宋体" w:cs="Arial"/>
                <w:color w:val="auto"/>
                <w:szCs w:val="21"/>
                <w:highlight w:val="none"/>
              </w:rPr>
              <w:t>；</w:t>
            </w:r>
          </w:p>
          <w:p w14:paraId="3E50F2C7">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2.配置</w:t>
            </w:r>
            <w:r>
              <w:rPr>
                <w:rFonts w:hint="eastAsia" w:ascii="Arial" w:hAnsi="Arial" w:eastAsia="宋体" w:cs="Arial"/>
                <w:color w:val="auto"/>
                <w:szCs w:val="21"/>
                <w:highlight w:val="none"/>
              </w:rPr>
              <w:t>双主控板、</w:t>
            </w:r>
            <w:r>
              <w:rPr>
                <w:rFonts w:ascii="Arial" w:hAnsi="Arial" w:eastAsia="宋体" w:cs="Arial"/>
                <w:color w:val="auto"/>
                <w:szCs w:val="21"/>
                <w:highlight w:val="none"/>
              </w:rPr>
              <w:t>双交换网板、双电源，配置万兆光口≥48个，40G以太网光口≥12个，配置40G堆叠专用线缆（5米长度）</w:t>
            </w:r>
            <w:r>
              <w:rPr>
                <w:rFonts w:hint="eastAsia"/>
                <w:color w:val="auto"/>
                <w:highlight w:val="none"/>
              </w:rPr>
              <w:t>≥</w:t>
            </w:r>
            <w:r>
              <w:rPr>
                <w:rFonts w:hint="eastAsia" w:ascii="Arial" w:hAnsi="Arial" w:eastAsia="宋体" w:cs="Arial"/>
                <w:color w:val="auto"/>
                <w:szCs w:val="21"/>
                <w:highlight w:val="none"/>
              </w:rPr>
              <w:t>2</w:t>
            </w:r>
            <w:r>
              <w:rPr>
                <w:rFonts w:ascii="Arial" w:hAnsi="Arial" w:eastAsia="宋体" w:cs="Arial"/>
                <w:color w:val="auto"/>
                <w:szCs w:val="21"/>
                <w:highlight w:val="none"/>
              </w:rPr>
              <w:t>根，配置万兆单模光模块</w:t>
            </w:r>
            <w:r>
              <w:rPr>
                <w:rFonts w:hint="eastAsia"/>
                <w:color w:val="auto"/>
                <w:highlight w:val="none"/>
              </w:rPr>
              <w:t>≥</w:t>
            </w:r>
            <w:r>
              <w:rPr>
                <w:rFonts w:ascii="Arial" w:hAnsi="Arial" w:eastAsia="宋体" w:cs="Arial"/>
                <w:color w:val="auto"/>
                <w:szCs w:val="21"/>
                <w:highlight w:val="none"/>
              </w:rPr>
              <w:t>40个</w:t>
            </w:r>
            <w:r>
              <w:rPr>
                <w:rFonts w:hint="eastAsia" w:ascii="Arial" w:hAnsi="Arial" w:eastAsia="宋体" w:cs="Arial"/>
                <w:color w:val="auto"/>
                <w:szCs w:val="21"/>
                <w:highlight w:val="none"/>
              </w:rPr>
              <w:t>，配置128个A</w:t>
            </w:r>
            <w:r>
              <w:rPr>
                <w:rFonts w:ascii="Arial" w:hAnsi="Arial" w:eastAsia="宋体" w:cs="Arial"/>
                <w:color w:val="auto"/>
                <w:szCs w:val="21"/>
                <w:highlight w:val="none"/>
              </w:rPr>
              <w:t>P</w:t>
            </w:r>
            <w:r>
              <w:rPr>
                <w:rFonts w:hint="eastAsia" w:ascii="Arial" w:hAnsi="Arial" w:eastAsia="宋体" w:cs="Arial"/>
                <w:color w:val="auto"/>
                <w:szCs w:val="21"/>
                <w:highlight w:val="none"/>
              </w:rPr>
              <w:t>管理授权</w:t>
            </w:r>
            <w:r>
              <w:rPr>
                <w:rFonts w:ascii="Arial" w:hAnsi="Arial" w:eastAsia="宋体" w:cs="Arial"/>
                <w:color w:val="auto"/>
                <w:szCs w:val="21"/>
                <w:highlight w:val="none"/>
              </w:rPr>
              <w:t>；</w:t>
            </w:r>
          </w:p>
          <w:p w14:paraId="7C2DAA79">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3.实配同尺寸模块化风扇框≥2个，支持风扇框1+1冗余；</w:t>
            </w:r>
          </w:p>
          <w:p w14:paraId="7EF1DC4A">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4.实配将多台物理设备虚拟化为1台逻辑设备，虚拟组内设备具备统一的二层及三层转发表项，统一的管理界面，并可实现跨设备链路聚合；</w:t>
            </w:r>
          </w:p>
          <w:p w14:paraId="1F9CF84C">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5.采用高密度端口设计，单张业务卡最大可用物理端口≥48个，整机转发业务物理端口≥384个；</w:t>
            </w:r>
          </w:p>
          <w:p w14:paraId="63EE475C">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6.支持OpenFlow或VXLAN协议，可实现核心网络向SDN平滑演进；</w:t>
            </w:r>
          </w:p>
          <w:p w14:paraId="473486C3">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7.采用模块化操作系统，支持多进程备份及ISSU不中断业务升级特性；</w:t>
            </w:r>
          </w:p>
          <w:p w14:paraId="4522C7B9">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8.核心交换机100G端口在负载100%的情况下每端口功率需要≤10W；</w:t>
            </w:r>
          </w:p>
          <w:p w14:paraId="6254D8B9">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9.设备的关键元器件CPU芯片和网络处理器NP芯片采用国产芯片。</w:t>
            </w:r>
          </w:p>
          <w:p w14:paraId="6C0B2D36">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10.为方便日常管理维护，所有可插拔板卡(主控板、交换板、业务板、电源模块)全部在设备机框正面。</w:t>
            </w:r>
          </w:p>
          <w:p w14:paraId="03D26210">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11.可以配置纵向虚拟化功能，支持将盒式交换机纵向虚拟为框式交换机板卡、将AP纵向虚拟为框式交换机端口，</w:t>
            </w:r>
            <w:r>
              <w:rPr>
                <w:rFonts w:hint="eastAsia" w:ascii="Arial" w:hAnsi="Arial" w:eastAsia="宋体" w:cs="Arial"/>
                <w:b/>
                <w:bCs/>
                <w:color w:val="auto"/>
                <w:szCs w:val="21"/>
                <w:highlight w:val="none"/>
              </w:rPr>
              <w:t>响应文件中</w:t>
            </w:r>
            <w:r>
              <w:rPr>
                <w:rFonts w:ascii="Arial" w:hAnsi="Arial" w:eastAsia="宋体" w:cs="Arial"/>
                <w:b/>
                <w:bCs/>
                <w:color w:val="auto"/>
                <w:szCs w:val="21"/>
                <w:highlight w:val="none"/>
              </w:rPr>
              <w:t>提供</w:t>
            </w:r>
            <w:r>
              <w:rPr>
                <w:rFonts w:hint="eastAsia" w:ascii="Arial" w:hAnsi="Arial" w:eastAsia="宋体" w:cs="Arial"/>
                <w:b/>
                <w:bCs/>
                <w:color w:val="auto"/>
                <w:szCs w:val="21"/>
                <w:highlight w:val="none"/>
              </w:rPr>
              <w:t>国家认可的</w:t>
            </w:r>
            <w:r>
              <w:rPr>
                <w:rFonts w:ascii="Arial" w:hAnsi="Arial" w:eastAsia="宋体" w:cs="Arial"/>
                <w:b/>
                <w:bCs/>
                <w:color w:val="auto"/>
                <w:szCs w:val="21"/>
                <w:highlight w:val="none"/>
              </w:rPr>
              <w:t>第三方机构出具的检验检测报告复印件</w:t>
            </w:r>
            <w:r>
              <w:rPr>
                <w:rFonts w:hint="eastAsia" w:ascii="Arial" w:hAnsi="Arial" w:eastAsia="宋体" w:cs="Arial"/>
                <w:b/>
                <w:bCs/>
                <w:color w:val="auto"/>
                <w:szCs w:val="21"/>
                <w:highlight w:val="none"/>
              </w:rPr>
              <w:t>或</w:t>
            </w:r>
            <w:r>
              <w:rPr>
                <w:rFonts w:ascii="Arial" w:hAnsi="Arial" w:eastAsia="宋体" w:cs="Arial"/>
                <w:b/>
                <w:bCs/>
                <w:color w:val="auto"/>
                <w:szCs w:val="21"/>
                <w:highlight w:val="none"/>
              </w:rPr>
              <w:t>产品官网链接</w:t>
            </w:r>
            <w:r>
              <w:rPr>
                <w:rFonts w:hint="eastAsia" w:ascii="Arial" w:hAnsi="Arial" w:eastAsia="宋体" w:cs="Arial"/>
                <w:b/>
                <w:bCs/>
                <w:color w:val="auto"/>
                <w:szCs w:val="21"/>
                <w:highlight w:val="none"/>
              </w:rPr>
              <w:t>及产品功能截图复印件，并加盖供应商公章</w:t>
            </w:r>
          </w:p>
          <w:p w14:paraId="41939A71">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12.支持无线管理功能，提供配套硬件，通过购买资源扩展License最大可管理4K AP。</w:t>
            </w:r>
          </w:p>
          <w:p w14:paraId="70F70725">
            <w:pPr>
              <w:snapToGrid w:val="0"/>
              <w:spacing w:after="0" w:line="276" w:lineRule="auto"/>
              <w:jc w:val="left"/>
              <w:rPr>
                <w:rFonts w:ascii="Arial" w:hAnsi="Arial" w:eastAsia="宋体" w:cs="Arial"/>
                <w:b/>
                <w:bCs/>
                <w:color w:val="auto"/>
                <w:szCs w:val="21"/>
                <w:highlight w:val="none"/>
              </w:rPr>
            </w:pPr>
            <w:r>
              <w:rPr>
                <w:rFonts w:ascii="Arial" w:hAnsi="Arial" w:eastAsia="宋体" w:cs="Arial"/>
                <w:color w:val="auto"/>
                <w:szCs w:val="21"/>
                <w:highlight w:val="none"/>
              </w:rPr>
              <w:t>1</w:t>
            </w:r>
            <w:r>
              <w:rPr>
                <w:rFonts w:hint="eastAsia" w:ascii="Arial" w:hAnsi="Arial" w:eastAsia="宋体" w:cs="Arial"/>
                <w:color w:val="auto"/>
                <w:szCs w:val="21"/>
                <w:highlight w:val="none"/>
              </w:rPr>
              <w:t>3.</w:t>
            </w:r>
            <w:r>
              <w:rPr>
                <w:rFonts w:ascii="Arial" w:hAnsi="Arial" w:eastAsia="宋体" w:cs="Arial"/>
                <w:color w:val="auto"/>
                <w:szCs w:val="21"/>
                <w:highlight w:val="none"/>
              </w:rPr>
              <w:t>支持基于硬件信任根的安全启动，从可信硬件锚开始，逐级校验加载的软件代码，防止交换机的主控、线卡、交换网板在启动阶段被入侵，</w:t>
            </w:r>
            <w:r>
              <w:rPr>
                <w:rFonts w:hint="eastAsia" w:ascii="Arial" w:hAnsi="Arial" w:eastAsia="宋体" w:cs="Arial"/>
                <w:b/>
                <w:bCs/>
                <w:color w:val="auto"/>
                <w:szCs w:val="21"/>
                <w:highlight w:val="none"/>
              </w:rPr>
              <w:t>响应文件中</w:t>
            </w:r>
            <w:r>
              <w:rPr>
                <w:rFonts w:hint="eastAsia" w:ascii="Arial" w:hAnsi="Arial" w:eastAsia="宋体" w:cs="Arial"/>
                <w:b/>
                <w:bCs/>
                <w:color w:val="auto"/>
                <w:szCs w:val="21"/>
                <w:highlight w:val="none"/>
              </w:rPr>
              <w:t>提供官网链接</w:t>
            </w:r>
            <w:r>
              <w:rPr>
                <w:rFonts w:hint="eastAsia" w:ascii="Arial" w:hAnsi="Arial" w:eastAsia="宋体" w:cs="Arial"/>
                <w:b/>
                <w:bCs/>
                <w:color w:val="auto"/>
                <w:szCs w:val="21"/>
                <w:highlight w:val="none"/>
                <w:lang w:val="en-US" w:eastAsia="zh-CN"/>
              </w:rPr>
              <w:t>及</w:t>
            </w:r>
            <w:r>
              <w:rPr>
                <w:rFonts w:hint="eastAsia" w:ascii="Arial" w:hAnsi="Arial" w:eastAsia="宋体" w:cs="Arial"/>
                <w:b/>
                <w:bCs/>
                <w:color w:val="auto"/>
                <w:szCs w:val="21"/>
                <w:highlight w:val="none"/>
              </w:rPr>
              <w:t>功能截图</w:t>
            </w:r>
            <w:r>
              <w:rPr>
                <w:rFonts w:hint="eastAsia" w:ascii="Arial" w:hAnsi="Arial" w:eastAsia="宋体" w:cs="Arial"/>
                <w:b/>
                <w:bCs/>
                <w:color w:val="auto"/>
                <w:szCs w:val="21"/>
                <w:highlight w:val="none"/>
              </w:rPr>
              <w:t>，或产品彩页截图证明复印件，并加盖供应商公章。</w:t>
            </w:r>
          </w:p>
          <w:p w14:paraId="7AC09F69">
            <w:pPr>
              <w:snapToGrid w:val="0"/>
              <w:spacing w:after="0" w:line="276" w:lineRule="auto"/>
              <w:jc w:val="left"/>
              <w:rPr>
                <w:rFonts w:ascii="Arial" w:hAnsi="Arial" w:eastAsia="宋体" w:cs="Arial"/>
                <w:color w:val="auto"/>
                <w:szCs w:val="21"/>
                <w:highlight w:val="none"/>
              </w:rPr>
            </w:pPr>
            <w:r>
              <w:rPr>
                <w:rFonts w:hint="eastAsia" w:ascii="Arial" w:hAnsi="Arial" w:eastAsia="宋体" w:cs="Arial"/>
                <w:color w:val="auto"/>
                <w:szCs w:val="21"/>
                <w:highlight w:val="none"/>
              </w:rPr>
              <w:t>14.</w:t>
            </w:r>
            <w:r>
              <w:rPr>
                <w:rFonts w:ascii="Arial" w:hAnsi="Arial" w:eastAsia="宋体" w:cs="Arial"/>
                <w:color w:val="auto"/>
                <w:szCs w:val="21"/>
                <w:highlight w:val="none"/>
              </w:rPr>
              <w:t>支持集成AC功能，无需额外配置其他硬件板卡即可实现对AP的接入控制和管理，实现对有线无线用户的统一认证管理、用户数据报文的隧道集中转发，</w:t>
            </w:r>
            <w:r>
              <w:rPr>
                <w:rFonts w:hint="eastAsia" w:ascii="Arial" w:hAnsi="Arial" w:eastAsia="宋体" w:cs="Arial"/>
                <w:b/>
                <w:bCs/>
                <w:color w:val="auto"/>
                <w:szCs w:val="21"/>
                <w:highlight w:val="none"/>
              </w:rPr>
              <w:t>响应文件中</w:t>
            </w:r>
            <w:r>
              <w:rPr>
                <w:rFonts w:ascii="Arial" w:hAnsi="Arial" w:eastAsia="宋体" w:cs="Arial"/>
                <w:b/>
                <w:bCs/>
                <w:color w:val="auto"/>
                <w:szCs w:val="21"/>
                <w:highlight w:val="none"/>
              </w:rPr>
              <w:t>提供官网链接</w:t>
            </w:r>
            <w:r>
              <w:rPr>
                <w:rFonts w:hint="eastAsia" w:ascii="Arial" w:hAnsi="Arial" w:eastAsia="宋体" w:cs="Arial"/>
                <w:b/>
                <w:bCs/>
                <w:color w:val="auto"/>
                <w:szCs w:val="21"/>
                <w:highlight w:val="none"/>
              </w:rPr>
              <w:t>及功能截图，</w:t>
            </w:r>
            <w:r>
              <w:rPr>
                <w:rFonts w:ascii="Arial" w:hAnsi="Arial" w:eastAsia="宋体" w:cs="Arial"/>
                <w:b/>
                <w:bCs/>
                <w:color w:val="auto"/>
                <w:szCs w:val="21"/>
                <w:highlight w:val="none"/>
              </w:rPr>
              <w:t>或产品彩页截图</w:t>
            </w:r>
            <w:r>
              <w:rPr>
                <w:rFonts w:hint="eastAsia" w:ascii="Arial" w:hAnsi="Arial" w:eastAsia="宋体" w:cs="Arial"/>
                <w:b/>
                <w:bCs/>
                <w:color w:val="auto"/>
                <w:szCs w:val="21"/>
                <w:highlight w:val="none"/>
              </w:rPr>
              <w:t>复印件，并加盖供应商公章。</w:t>
            </w:r>
          </w:p>
          <w:p w14:paraId="79569B89">
            <w:pPr>
              <w:snapToGrid w:val="0"/>
              <w:spacing w:after="0" w:line="276" w:lineRule="auto"/>
              <w:jc w:val="left"/>
              <w:rPr>
                <w:rFonts w:ascii="Arial" w:hAnsi="Arial" w:eastAsia="宋体" w:cs="Arial"/>
                <w:color w:val="auto"/>
                <w:szCs w:val="21"/>
                <w:highlight w:val="none"/>
              </w:rPr>
            </w:pPr>
            <w:r>
              <w:rPr>
                <w:rFonts w:hint="eastAsia" w:ascii="Arial" w:hAnsi="Arial" w:eastAsia="宋体" w:cs="Arial"/>
                <w:color w:val="auto"/>
                <w:szCs w:val="21"/>
                <w:highlight w:val="none"/>
              </w:rPr>
              <w:t>15.</w:t>
            </w:r>
            <w:r>
              <w:rPr>
                <w:rFonts w:ascii="Arial" w:hAnsi="Arial" w:eastAsia="宋体" w:cs="Arial"/>
                <w:color w:val="auto"/>
                <w:szCs w:val="21"/>
                <w:highlight w:val="none"/>
              </w:rPr>
              <w:t>支持独立的硬件监控板卡，控制平面和监控平面物理槽位分离，支持 1+1 备份，能集中监控板卡、风扇、电源等模块的状态，能调节能耗，实现设备健康状态和环境的监控，</w:t>
            </w:r>
            <w:r>
              <w:rPr>
                <w:rFonts w:hint="eastAsia" w:ascii="Arial" w:hAnsi="Arial" w:eastAsia="宋体" w:cs="Arial"/>
                <w:color w:val="auto"/>
                <w:szCs w:val="21"/>
                <w:highlight w:val="none"/>
              </w:rPr>
              <w:t>保障设备的可靠性，</w:t>
            </w:r>
            <w:r>
              <w:rPr>
                <w:rFonts w:hint="eastAsia" w:ascii="Arial" w:hAnsi="Arial" w:eastAsia="宋体" w:cs="Arial"/>
                <w:b/>
                <w:bCs/>
                <w:color w:val="auto"/>
                <w:szCs w:val="21"/>
                <w:highlight w:val="none"/>
              </w:rPr>
              <w:t>响应文件中提供官网链接及功能截图，或产品彩页截图证明复印件，并加盖供应商公章。</w:t>
            </w:r>
          </w:p>
        </w:tc>
      </w:tr>
      <w:tr w14:paraId="326A50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34" w:hRule="atLeast"/>
        </w:trPr>
        <w:tc>
          <w:tcPr>
            <w:tcW w:w="379" w:type="dxa"/>
            <w:vAlign w:val="center"/>
          </w:tcPr>
          <w:p w14:paraId="4954D196">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675" w:type="dxa"/>
            <w:vAlign w:val="center"/>
          </w:tcPr>
          <w:p w14:paraId="55F95423">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本部校区态势感知系统维保</w:t>
            </w:r>
          </w:p>
        </w:tc>
        <w:tc>
          <w:tcPr>
            <w:tcW w:w="435" w:type="dxa"/>
            <w:vAlign w:val="center"/>
          </w:tcPr>
          <w:p w14:paraId="591DAB17">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675" w:type="dxa"/>
            <w:gridSpan w:val="3"/>
            <w:vAlign w:val="center"/>
          </w:tcPr>
          <w:p w14:paraId="62396C2B">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套</w:t>
            </w:r>
          </w:p>
        </w:tc>
        <w:tc>
          <w:tcPr>
            <w:tcW w:w="7690" w:type="dxa"/>
            <w:shd w:val="clear" w:color="auto" w:fill="auto"/>
          </w:tcPr>
          <w:p w14:paraId="4FF78D27">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1、包含原采购态势感知平台TSS10000-A58-NX及探针TSS10000-S56-WS三年威胁情报更新授权与规则升级；授权按照导入之日起开始计算。包含两个SOAR流程授权。</w:t>
            </w:r>
          </w:p>
          <w:p w14:paraId="66EF01B5">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2、包含天眼TSS10000-A58引擎硬件及系统软件三年维保服务；包括故障判断、报修登记、设备修复、提供升级版本的服务。7x24小时电话咨询服务；5x8小时远程技术支持服务；硬件维保授权按照原截止之日起开始计算。</w:t>
            </w:r>
          </w:p>
          <w:p w14:paraId="7A217636">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3、包含三年原采购的流量传感器天眼TSS10000-S56引擎硬件及系统软件三年维保服务；包括故障判断、报修登记、设备修复、提供升级版本的服务；7x24小时电话咨询服务；5x8小时远程技术支持服务。</w:t>
            </w:r>
          </w:p>
          <w:p w14:paraId="70C0E050">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4、包含三年原采购的流量传感器天眼TSS10000-S56服务器威胁检测引擎中包括服务器入侵检测、网站漏洞利用检测和webshell上传检测模块；包含威胁检测引擎版本升级及产品检测规则升级服务。</w:t>
            </w:r>
          </w:p>
        </w:tc>
      </w:tr>
      <w:tr w14:paraId="7D9A91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34" w:hRule="atLeast"/>
        </w:trPr>
        <w:tc>
          <w:tcPr>
            <w:tcW w:w="379" w:type="dxa"/>
            <w:vAlign w:val="center"/>
          </w:tcPr>
          <w:p w14:paraId="338EE236">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675" w:type="dxa"/>
            <w:vAlign w:val="center"/>
          </w:tcPr>
          <w:p w14:paraId="0B890E62">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南宁分校态势感知系统维保</w:t>
            </w:r>
          </w:p>
        </w:tc>
        <w:tc>
          <w:tcPr>
            <w:tcW w:w="435" w:type="dxa"/>
            <w:vAlign w:val="center"/>
          </w:tcPr>
          <w:p w14:paraId="23F97422">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675" w:type="dxa"/>
            <w:gridSpan w:val="3"/>
            <w:vAlign w:val="center"/>
          </w:tcPr>
          <w:p w14:paraId="33E90E79">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套</w:t>
            </w:r>
          </w:p>
        </w:tc>
        <w:tc>
          <w:tcPr>
            <w:tcW w:w="7690" w:type="dxa"/>
            <w:shd w:val="clear" w:color="auto" w:fill="auto"/>
          </w:tcPr>
          <w:p w14:paraId="0EDD14CC">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1、包含原采购态势感知平台TAS-10000-E68及探针TAS-10000-F65一年威胁情报更新授权与规则升级；授权按照导入之日起开始计算。包含两个SOAR流程授权。</w:t>
            </w:r>
          </w:p>
          <w:p w14:paraId="52738B9B">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2、包含天眼TAS-10000-F65引擎硬件及系统软件一年维保服务；包括故障判断、报修登记、设备修复、提供升级版本的服务。7x24小时电话咨询服务；5x8小时远程技术支持服务；硬件维保授权按照原截止之日起开始计算。</w:t>
            </w:r>
          </w:p>
          <w:p w14:paraId="35BFADAC">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3、包含一年原采购的流量传感器天眼TAS-10000-F65引擎硬件及系统软件一年维保服务；包括故障判断、报修登记、设备修复、提供升级版本的服务；7x24小时电话咨询服务；5x8小时远程技术支持服务。</w:t>
            </w:r>
          </w:p>
          <w:p w14:paraId="15767CB3">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4、包含一年原采购的流量传感器天眼TAS-10000-F65服务器威胁检测引擎中包括服务器入侵检测、网站漏洞利用检测和webshell上传检测模块；包含威胁检测引擎版本升级及产品检测规则升级服务。</w:t>
            </w:r>
          </w:p>
        </w:tc>
      </w:tr>
      <w:tr w14:paraId="48198B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1" w:hRule="atLeast"/>
        </w:trPr>
        <w:tc>
          <w:tcPr>
            <w:tcW w:w="9854" w:type="dxa"/>
            <w:gridSpan w:val="7"/>
          </w:tcPr>
          <w:p w14:paraId="2DB9B320">
            <w:pPr>
              <w:snapToGrid w:val="0"/>
              <w:spacing w:after="0" w:line="276" w:lineRule="auto"/>
              <w:rPr>
                <w:rFonts w:ascii="Arial" w:hAnsi="Arial" w:eastAsia="宋体" w:cs="Arial"/>
                <w:color w:val="auto"/>
                <w:szCs w:val="21"/>
                <w:highlight w:val="none"/>
              </w:rPr>
            </w:pPr>
            <w:r>
              <w:rPr>
                <w:rFonts w:ascii="Arial" w:hAnsi="Arial" w:eastAsia="宋体" w:cs="Arial"/>
                <w:b/>
                <w:color w:val="auto"/>
                <w:szCs w:val="21"/>
                <w:highlight w:val="none"/>
              </w:rPr>
              <w:t>预算金额（元）：</w:t>
            </w:r>
            <w:r>
              <w:rPr>
                <w:rFonts w:ascii="Arial" w:hAnsi="Arial" w:eastAsia="宋体" w:cs="Arial"/>
                <w:color w:val="auto"/>
                <w:szCs w:val="21"/>
                <w:highlight w:val="none"/>
              </w:rPr>
              <w:t>本项目采购</w:t>
            </w:r>
            <w:r>
              <w:rPr>
                <w:rFonts w:ascii="Arial" w:hAnsi="Arial" w:eastAsia="宋体" w:cs="Arial"/>
                <w:b/>
                <w:color w:val="auto"/>
                <w:szCs w:val="21"/>
                <w:highlight w:val="none"/>
                <w:u w:val="single"/>
              </w:rPr>
              <w:t>预算为 玖拾肆万伍仟元整（¥ 945000.00）</w:t>
            </w:r>
            <w:r>
              <w:rPr>
                <w:rFonts w:ascii="Arial" w:hAnsi="Arial" w:eastAsia="宋体" w:cs="Arial"/>
                <w:color w:val="auto"/>
                <w:szCs w:val="21"/>
                <w:highlight w:val="none"/>
              </w:rPr>
              <w:t>，</w:t>
            </w:r>
            <w:r>
              <w:rPr>
                <w:rFonts w:hint="eastAsia" w:ascii="Arial" w:hAnsi="Arial" w:eastAsia="宋体" w:cs="Arial"/>
                <w:color w:val="auto"/>
                <w:szCs w:val="21"/>
                <w:highlight w:val="none"/>
              </w:rPr>
              <w:t>响应</w:t>
            </w:r>
            <w:r>
              <w:rPr>
                <w:rFonts w:ascii="Arial" w:hAnsi="Arial" w:eastAsia="宋体" w:cs="Arial"/>
                <w:color w:val="auto"/>
                <w:szCs w:val="21"/>
                <w:highlight w:val="none"/>
              </w:rPr>
              <w:t>报价超采购预算的，作</w:t>
            </w:r>
            <w:r>
              <w:rPr>
                <w:rFonts w:hint="eastAsia" w:ascii="Arial" w:hAnsi="Arial" w:eastAsia="宋体" w:cs="Arial"/>
                <w:color w:val="auto"/>
                <w:szCs w:val="21"/>
                <w:highlight w:val="none"/>
              </w:rPr>
              <w:t>响应</w:t>
            </w:r>
            <w:r>
              <w:rPr>
                <w:rFonts w:ascii="Arial" w:hAnsi="Arial" w:eastAsia="宋体" w:cs="Arial"/>
                <w:color w:val="auto"/>
                <w:szCs w:val="21"/>
                <w:highlight w:val="none"/>
              </w:rPr>
              <w:t>无效处理。</w:t>
            </w:r>
          </w:p>
        </w:tc>
      </w:tr>
      <w:tr w14:paraId="5C55B8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1" w:hRule="atLeast"/>
        </w:trPr>
        <w:tc>
          <w:tcPr>
            <w:tcW w:w="9854" w:type="dxa"/>
            <w:gridSpan w:val="7"/>
          </w:tcPr>
          <w:p w14:paraId="17095BCF">
            <w:pPr>
              <w:snapToGrid w:val="0"/>
              <w:spacing w:after="0" w:line="276" w:lineRule="auto"/>
              <w:rPr>
                <w:rFonts w:ascii="Arial" w:hAnsi="Arial" w:eastAsia="宋体" w:cs="Arial"/>
                <w:b/>
                <w:color w:val="auto"/>
                <w:szCs w:val="21"/>
                <w:highlight w:val="none"/>
              </w:rPr>
            </w:pPr>
            <w:r>
              <w:rPr>
                <w:rFonts w:ascii="Arial" w:hAnsi="Arial" w:eastAsia="宋体" w:cs="Arial"/>
                <w:b/>
                <w:color w:val="auto"/>
                <w:szCs w:val="21"/>
                <w:highlight w:val="none"/>
              </w:rPr>
              <w:t>二、核心产品：为第</w:t>
            </w:r>
            <w:r>
              <w:rPr>
                <w:rFonts w:ascii="Arial" w:hAnsi="Arial" w:eastAsia="宋体" w:cs="Arial"/>
                <w:b/>
                <w:color w:val="auto"/>
                <w:szCs w:val="21"/>
                <w:highlight w:val="none"/>
                <w:u w:val="single"/>
              </w:rPr>
              <w:t xml:space="preserve"> 1 </w:t>
            </w:r>
            <w:r>
              <w:rPr>
                <w:rFonts w:ascii="Arial" w:hAnsi="Arial" w:eastAsia="宋体" w:cs="Arial"/>
                <w:b/>
                <w:color w:val="auto"/>
                <w:szCs w:val="21"/>
                <w:highlight w:val="none"/>
              </w:rPr>
              <w:t>项号标的</w:t>
            </w:r>
            <w:r>
              <w:rPr>
                <w:rFonts w:ascii="Arial" w:hAnsi="Arial" w:eastAsia="宋体" w:cs="Arial"/>
                <w:b/>
                <w:color w:val="auto"/>
                <w:szCs w:val="21"/>
                <w:highlight w:val="none"/>
                <w:u w:val="single"/>
              </w:rPr>
              <w:t>“核心交换机”</w:t>
            </w:r>
            <w:r>
              <w:rPr>
                <w:rFonts w:ascii="Arial" w:hAnsi="Arial" w:eastAsia="宋体" w:cs="Arial"/>
                <w:b/>
                <w:color w:val="auto"/>
                <w:szCs w:val="21"/>
                <w:highlight w:val="none"/>
              </w:rPr>
              <w:t>。</w:t>
            </w:r>
          </w:p>
        </w:tc>
      </w:tr>
      <w:tr w14:paraId="77E704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8" w:hRule="atLeast"/>
        </w:trPr>
        <w:tc>
          <w:tcPr>
            <w:tcW w:w="9854" w:type="dxa"/>
            <w:gridSpan w:val="7"/>
          </w:tcPr>
          <w:p w14:paraId="5F9BD27E">
            <w:pPr>
              <w:snapToGrid w:val="0"/>
              <w:spacing w:after="0" w:line="276" w:lineRule="auto"/>
              <w:rPr>
                <w:rFonts w:ascii="Arial" w:hAnsi="Arial" w:eastAsia="宋体" w:cs="Arial"/>
                <w:color w:val="auto"/>
                <w:szCs w:val="21"/>
                <w:highlight w:val="none"/>
              </w:rPr>
            </w:pPr>
            <w:r>
              <w:rPr>
                <w:rFonts w:ascii="Arial" w:hAnsi="Arial" w:eastAsia="宋体" w:cs="Arial"/>
                <w:b/>
                <w:bCs/>
                <w:color w:val="auto"/>
                <w:szCs w:val="21"/>
                <w:highlight w:val="none"/>
              </w:rPr>
              <w:t>三、商务要求</w:t>
            </w:r>
          </w:p>
        </w:tc>
      </w:tr>
      <w:tr w14:paraId="2EED0B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45" w:hRule="atLeast"/>
        </w:trPr>
        <w:tc>
          <w:tcPr>
            <w:tcW w:w="1616" w:type="dxa"/>
            <w:gridSpan w:val="4"/>
            <w:vAlign w:val="center"/>
          </w:tcPr>
          <w:p w14:paraId="749E4BE7">
            <w:pPr>
              <w:snapToGrid w:val="0"/>
              <w:spacing w:after="0" w:line="276" w:lineRule="auto"/>
              <w:jc w:val="center"/>
              <w:rPr>
                <w:rFonts w:ascii="Arial" w:hAnsi="Arial" w:eastAsia="宋体" w:cs="Arial"/>
                <w:bCs/>
                <w:color w:val="auto"/>
                <w:szCs w:val="21"/>
                <w:highlight w:val="none"/>
              </w:rPr>
            </w:pPr>
            <w:r>
              <w:rPr>
                <w:rFonts w:ascii="Arial" w:hAnsi="Arial" w:eastAsia="宋体" w:cs="Arial"/>
                <w:bCs/>
                <w:color w:val="auto"/>
                <w:szCs w:val="21"/>
                <w:highlight w:val="none"/>
              </w:rPr>
              <w:t>（一）免费保修期</w:t>
            </w:r>
          </w:p>
        </w:tc>
        <w:tc>
          <w:tcPr>
            <w:tcW w:w="8238" w:type="dxa"/>
            <w:gridSpan w:val="3"/>
          </w:tcPr>
          <w:p w14:paraId="77D2D613">
            <w:pPr>
              <w:snapToGrid w:val="0"/>
              <w:spacing w:after="0" w:line="276" w:lineRule="auto"/>
              <w:rPr>
                <w:rFonts w:ascii="Arial" w:hAnsi="Arial" w:eastAsia="宋体" w:cs="Arial"/>
                <w:color w:val="auto"/>
                <w:szCs w:val="21"/>
                <w:highlight w:val="none"/>
              </w:rPr>
            </w:pPr>
            <w:r>
              <w:rPr>
                <w:rFonts w:ascii="Arial" w:hAnsi="Arial" w:eastAsia="宋体" w:cs="Arial"/>
                <w:bCs/>
                <w:color w:val="auto"/>
                <w:szCs w:val="21"/>
                <w:highlight w:val="none"/>
              </w:rPr>
              <w:t>1．免费保修期：按国家有关产品“三包”规定执行“三包”，免费保修期</w:t>
            </w:r>
            <w:r>
              <w:rPr>
                <w:rFonts w:hint="eastAsia" w:ascii="Arial" w:hAnsi="Arial" w:eastAsia="宋体" w:cs="Arial"/>
                <w:bCs/>
                <w:color w:val="auto"/>
                <w:szCs w:val="21"/>
                <w:highlight w:val="none"/>
                <w:lang w:val="en-US" w:eastAsia="zh-CN"/>
              </w:rPr>
              <w:t>为</w:t>
            </w:r>
            <w:r>
              <w:rPr>
                <w:rFonts w:hint="eastAsia" w:ascii="Arial" w:hAnsi="Arial" w:eastAsia="宋体" w:cs="Arial"/>
                <w:bCs/>
                <w:color w:val="auto"/>
                <w:szCs w:val="21"/>
                <w:highlight w:val="none"/>
                <w:lang w:eastAsia="zh-CN"/>
              </w:rPr>
              <w:t>：</w:t>
            </w:r>
            <w:r>
              <w:rPr>
                <w:rFonts w:hint="eastAsia" w:ascii="Arial" w:hAnsi="Arial" w:eastAsia="宋体" w:cs="Arial"/>
                <w:b/>
                <w:bCs w:val="0"/>
                <w:color w:val="auto"/>
                <w:szCs w:val="21"/>
                <w:highlight w:val="none"/>
                <w:u w:val="single"/>
                <w:lang w:eastAsia="zh-CN"/>
              </w:rPr>
              <w:t>核心交换机</w:t>
            </w:r>
            <w:r>
              <w:rPr>
                <w:rFonts w:hint="eastAsia" w:ascii="Arial" w:hAnsi="Arial" w:eastAsia="宋体" w:cs="Arial"/>
                <w:b/>
                <w:bCs w:val="0"/>
                <w:color w:val="auto"/>
                <w:szCs w:val="21"/>
                <w:highlight w:val="none"/>
                <w:u w:val="single"/>
                <w:lang w:val="en-US" w:eastAsia="zh-CN"/>
              </w:rPr>
              <w:t>及本部校区态势感知系统维保不少于</w:t>
            </w:r>
            <w:r>
              <w:rPr>
                <w:rFonts w:hint="eastAsia" w:ascii="Arial" w:hAnsi="Arial" w:eastAsia="宋体" w:cs="Arial"/>
                <w:b/>
                <w:color w:val="auto"/>
                <w:szCs w:val="21"/>
                <w:highlight w:val="none"/>
                <w:u w:val="single"/>
              </w:rPr>
              <w:t>三</w:t>
            </w:r>
            <w:r>
              <w:rPr>
                <w:rFonts w:ascii="Arial" w:hAnsi="Arial" w:eastAsia="宋体" w:cs="Arial"/>
                <w:b/>
                <w:color w:val="auto"/>
                <w:szCs w:val="21"/>
                <w:highlight w:val="none"/>
                <w:u w:val="single"/>
              </w:rPr>
              <w:t>年</w:t>
            </w:r>
            <w:r>
              <w:rPr>
                <w:rFonts w:hint="eastAsia" w:ascii="Arial" w:hAnsi="Arial" w:eastAsia="宋体" w:cs="Arial"/>
                <w:b/>
                <w:color w:val="auto"/>
                <w:szCs w:val="21"/>
                <w:highlight w:val="none"/>
                <w:u w:val="single"/>
                <w:lang w:eastAsia="zh-CN"/>
              </w:rPr>
              <w:t>，南宁分校态势感知系统维保</w:t>
            </w:r>
            <w:r>
              <w:rPr>
                <w:rFonts w:hint="eastAsia" w:ascii="Arial" w:hAnsi="Arial" w:eastAsia="宋体" w:cs="Arial"/>
                <w:b/>
                <w:color w:val="auto"/>
                <w:szCs w:val="21"/>
                <w:highlight w:val="none"/>
                <w:u w:val="single"/>
                <w:lang w:val="en-US" w:eastAsia="zh-CN"/>
              </w:rPr>
              <w:t>不少于</w:t>
            </w:r>
            <w:r>
              <w:rPr>
                <w:rFonts w:hint="eastAsia" w:ascii="Arial" w:hAnsi="Arial" w:eastAsia="宋体" w:cs="Arial"/>
                <w:b/>
                <w:color w:val="auto"/>
                <w:szCs w:val="21"/>
                <w:highlight w:val="none"/>
                <w:u w:val="single"/>
                <w:lang w:eastAsia="zh-CN"/>
              </w:rPr>
              <w:t>1年</w:t>
            </w:r>
            <w:r>
              <w:rPr>
                <w:rFonts w:hint="eastAsia" w:ascii="Arial" w:hAnsi="Arial" w:eastAsia="宋体" w:cs="Arial"/>
                <w:b/>
                <w:color w:val="auto"/>
                <w:szCs w:val="21"/>
                <w:highlight w:val="none"/>
                <w:u w:val="single"/>
              </w:rPr>
              <w:t>。</w:t>
            </w:r>
            <w:r>
              <w:rPr>
                <w:rFonts w:ascii="Arial" w:hAnsi="Arial" w:eastAsia="宋体" w:cs="Arial"/>
                <w:bCs/>
                <w:color w:val="auto"/>
                <w:szCs w:val="21"/>
                <w:highlight w:val="none"/>
              </w:rPr>
              <w:t>（免费保修期从设备验收合格之日起计算，项目要求及技术需求中规定的，按规定执行）。</w:t>
            </w:r>
            <w:r>
              <w:rPr>
                <w:rFonts w:ascii="Arial" w:hAnsi="Arial" w:eastAsia="宋体" w:cs="Arial"/>
                <w:color w:val="auto"/>
                <w:szCs w:val="21"/>
                <w:highlight w:val="none"/>
              </w:rPr>
              <w:t>免费保修期内免费上门维修（免收维修费和元器件费）、免费更换零部件，并提供终身维修服务。</w:t>
            </w:r>
          </w:p>
        </w:tc>
      </w:tr>
      <w:tr w14:paraId="68E3AC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174" w:hRule="atLeast"/>
        </w:trPr>
        <w:tc>
          <w:tcPr>
            <w:tcW w:w="1616" w:type="dxa"/>
            <w:gridSpan w:val="4"/>
            <w:vAlign w:val="center"/>
          </w:tcPr>
          <w:p w14:paraId="56DC9BFB">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（二）售后服务要求</w:t>
            </w:r>
          </w:p>
        </w:tc>
        <w:tc>
          <w:tcPr>
            <w:tcW w:w="8238" w:type="dxa"/>
            <w:gridSpan w:val="3"/>
          </w:tcPr>
          <w:p w14:paraId="6858D348">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1．免费送货上门，免费按采购人要求安装调试，免费技术培训，直至操作人员熟练操作产品的各项功能。</w:t>
            </w:r>
          </w:p>
          <w:p w14:paraId="32AE6EF6">
            <w:pPr>
              <w:snapToGrid w:val="0"/>
              <w:spacing w:after="0" w:line="276" w:lineRule="auto"/>
              <w:jc w:val="left"/>
              <w:rPr>
                <w:rFonts w:ascii="Arial" w:hAnsi="Arial" w:eastAsia="宋体" w:cs="Arial"/>
                <w:color w:val="auto"/>
                <w:szCs w:val="21"/>
                <w:highlight w:val="none"/>
              </w:rPr>
            </w:pPr>
            <w:r>
              <w:rPr>
                <w:rFonts w:ascii="Arial" w:hAnsi="Arial" w:eastAsia="宋体" w:cs="Arial"/>
                <w:color w:val="auto"/>
                <w:szCs w:val="21"/>
                <w:highlight w:val="none"/>
              </w:rPr>
              <w:t>2.售后服务要求：①免费保修期内接到报障电话在承诺时间内派工程技术人员上门维修解决问题，如果需要更换配件的，要求更换的配件应跟被更换的品牌、类型相一致或者是同类同档次的替代品，后者需征得用户方管理人员同意；②若</w:t>
            </w:r>
            <w:r>
              <w:rPr>
                <w:rFonts w:ascii="Arial" w:hAnsi="Arial" w:eastAsia="宋体" w:cs="Arial"/>
                <w:color w:val="auto"/>
                <w:szCs w:val="21"/>
                <w:highlight w:val="none"/>
                <w:lang w:val="zh-CN"/>
              </w:rPr>
              <w:t>产品自带</w:t>
            </w:r>
            <w:r>
              <w:rPr>
                <w:rFonts w:ascii="Arial" w:hAnsi="Arial" w:eastAsia="宋体" w:cs="Arial"/>
                <w:color w:val="auto"/>
                <w:szCs w:val="21"/>
                <w:highlight w:val="none"/>
              </w:rPr>
              <w:t>软件的，则须提供免费保修期内免费升级服务；任何时候，软件系统出现安全漏洞、系统BUG，乙方要免费及时加固和封堵漏洞、修复BUG，保障网络安全。③其余按厂家承诺执行。</w:t>
            </w:r>
          </w:p>
        </w:tc>
      </w:tr>
      <w:tr w14:paraId="55BFF3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5" w:hRule="atLeast"/>
        </w:trPr>
        <w:tc>
          <w:tcPr>
            <w:tcW w:w="1616" w:type="dxa"/>
            <w:gridSpan w:val="4"/>
            <w:vAlign w:val="center"/>
          </w:tcPr>
          <w:p w14:paraId="01533D9C">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（三）合同签订时间</w:t>
            </w:r>
          </w:p>
        </w:tc>
        <w:tc>
          <w:tcPr>
            <w:tcW w:w="8238" w:type="dxa"/>
            <w:gridSpan w:val="3"/>
          </w:tcPr>
          <w:p w14:paraId="716F4BE8">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自</w:t>
            </w:r>
            <w:r>
              <w:rPr>
                <w:rFonts w:hint="eastAsia" w:ascii="Arial" w:hAnsi="Arial" w:eastAsia="宋体" w:cs="Arial"/>
                <w:color w:val="auto"/>
                <w:szCs w:val="21"/>
                <w:highlight w:val="none"/>
              </w:rPr>
              <w:t>成交</w:t>
            </w:r>
            <w:r>
              <w:rPr>
                <w:rFonts w:ascii="Arial" w:hAnsi="Arial" w:eastAsia="宋体" w:cs="Arial"/>
                <w:color w:val="auto"/>
                <w:szCs w:val="21"/>
                <w:highlight w:val="none"/>
              </w:rPr>
              <w:t>通知书发出之日起</w:t>
            </w:r>
            <w:r>
              <w:rPr>
                <w:rFonts w:ascii="Arial" w:hAnsi="Arial" w:eastAsia="宋体" w:cs="Arial"/>
                <w:b/>
                <w:color w:val="auto"/>
                <w:szCs w:val="21"/>
                <w:highlight w:val="none"/>
                <w:u w:val="single"/>
              </w:rPr>
              <w:t xml:space="preserve">  </w:t>
            </w:r>
            <w:r>
              <w:rPr>
                <w:rFonts w:hint="eastAsia" w:ascii="Arial" w:hAnsi="Arial" w:eastAsia="宋体" w:cs="Arial"/>
                <w:b/>
                <w:color w:val="auto"/>
                <w:szCs w:val="21"/>
                <w:highlight w:val="none"/>
                <w:u w:val="single"/>
              </w:rPr>
              <w:t>3</w:t>
            </w:r>
            <w:r>
              <w:rPr>
                <w:rFonts w:ascii="Arial" w:hAnsi="Arial" w:eastAsia="宋体" w:cs="Arial"/>
                <w:b/>
                <w:color w:val="auto"/>
                <w:szCs w:val="21"/>
                <w:highlight w:val="none"/>
                <w:u w:val="single"/>
              </w:rPr>
              <w:t>0 日</w:t>
            </w:r>
            <w:r>
              <w:rPr>
                <w:rFonts w:ascii="Arial" w:hAnsi="Arial" w:eastAsia="宋体" w:cs="Arial"/>
                <w:color w:val="auto"/>
                <w:szCs w:val="21"/>
                <w:highlight w:val="none"/>
              </w:rPr>
              <w:t>内签订采购合同。</w:t>
            </w:r>
          </w:p>
        </w:tc>
      </w:tr>
      <w:tr w14:paraId="3DE97F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77" w:hRule="atLeast"/>
        </w:trPr>
        <w:tc>
          <w:tcPr>
            <w:tcW w:w="1616" w:type="dxa"/>
            <w:gridSpan w:val="4"/>
            <w:vAlign w:val="center"/>
          </w:tcPr>
          <w:p w14:paraId="3FDA25C9">
            <w:pPr>
              <w:snapToGrid w:val="0"/>
              <w:spacing w:after="0" w:line="276" w:lineRule="auto"/>
              <w:jc w:val="center"/>
              <w:rPr>
                <w:rFonts w:ascii="Arial" w:hAnsi="Arial" w:eastAsia="宋体" w:cs="Arial"/>
                <w:bCs/>
                <w:color w:val="auto"/>
                <w:szCs w:val="21"/>
                <w:highlight w:val="none"/>
              </w:rPr>
            </w:pPr>
            <w:r>
              <w:rPr>
                <w:rFonts w:ascii="Arial" w:hAnsi="Arial" w:eastAsia="宋体" w:cs="Arial"/>
                <w:color w:val="auto"/>
                <w:szCs w:val="21"/>
                <w:highlight w:val="none"/>
              </w:rPr>
              <w:t>（四）交货期及地点</w:t>
            </w:r>
          </w:p>
        </w:tc>
        <w:tc>
          <w:tcPr>
            <w:tcW w:w="8238" w:type="dxa"/>
            <w:gridSpan w:val="3"/>
          </w:tcPr>
          <w:p w14:paraId="2EE8613E">
            <w:pPr>
              <w:snapToGrid w:val="0"/>
              <w:spacing w:after="0" w:line="276" w:lineRule="auto"/>
              <w:rPr>
                <w:rFonts w:ascii="Arial" w:hAnsi="Arial" w:eastAsia="宋体" w:cs="Arial"/>
                <w:bCs/>
                <w:color w:val="auto"/>
                <w:szCs w:val="21"/>
                <w:highlight w:val="none"/>
              </w:rPr>
            </w:pPr>
            <w:r>
              <w:rPr>
                <w:rFonts w:ascii="Arial" w:hAnsi="Arial" w:eastAsia="宋体" w:cs="Arial"/>
                <w:color w:val="auto"/>
                <w:szCs w:val="21"/>
                <w:highlight w:val="none"/>
              </w:rPr>
              <w:t>1．</w:t>
            </w:r>
            <w:r>
              <w:rPr>
                <w:rFonts w:ascii="Arial" w:hAnsi="Arial" w:eastAsia="宋体" w:cs="Arial"/>
                <w:bCs/>
                <w:color w:val="auto"/>
                <w:szCs w:val="21"/>
                <w:highlight w:val="none"/>
              </w:rPr>
              <w:t>交货期：</w:t>
            </w:r>
            <w:r>
              <w:rPr>
                <w:rFonts w:ascii="Arial" w:hAnsi="Arial" w:eastAsia="宋体" w:cs="Arial"/>
                <w:color w:val="auto"/>
                <w:szCs w:val="21"/>
                <w:highlight w:val="none"/>
              </w:rPr>
              <w:t>自签订合同之日起</w:t>
            </w:r>
            <w:r>
              <w:rPr>
                <w:rFonts w:ascii="Arial" w:hAnsi="Arial" w:eastAsia="宋体" w:cs="Arial"/>
                <w:b/>
                <w:color w:val="auto"/>
                <w:szCs w:val="21"/>
                <w:highlight w:val="none"/>
                <w:u w:val="single"/>
              </w:rPr>
              <w:t>180个</w:t>
            </w:r>
            <w:r>
              <w:rPr>
                <w:rFonts w:ascii="Arial" w:hAnsi="Arial" w:eastAsia="宋体" w:cs="Arial"/>
                <w:color w:val="auto"/>
                <w:szCs w:val="21"/>
                <w:highlight w:val="none"/>
              </w:rPr>
              <w:t>工作日内到货并全部安装调试合格完毕；</w:t>
            </w:r>
          </w:p>
          <w:p w14:paraId="7DF9852E">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2．交货地点：广西崇左市采购人指定地点。</w:t>
            </w:r>
          </w:p>
        </w:tc>
      </w:tr>
      <w:tr w14:paraId="60ED62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2" w:hRule="atLeast"/>
        </w:trPr>
        <w:tc>
          <w:tcPr>
            <w:tcW w:w="1616" w:type="dxa"/>
            <w:gridSpan w:val="4"/>
            <w:vAlign w:val="center"/>
          </w:tcPr>
          <w:p w14:paraId="41DE574F">
            <w:pPr>
              <w:snapToGrid w:val="0"/>
              <w:spacing w:after="0" w:line="276" w:lineRule="auto"/>
              <w:jc w:val="center"/>
              <w:rPr>
                <w:rFonts w:ascii="Arial" w:hAnsi="Arial" w:eastAsia="宋体" w:cs="Arial"/>
                <w:bCs/>
                <w:color w:val="auto"/>
                <w:szCs w:val="21"/>
                <w:highlight w:val="none"/>
              </w:rPr>
            </w:pPr>
            <w:r>
              <w:rPr>
                <w:rFonts w:ascii="Arial" w:hAnsi="Arial" w:eastAsia="宋体" w:cs="Arial"/>
                <w:color w:val="auto"/>
                <w:szCs w:val="21"/>
                <w:highlight w:val="none"/>
              </w:rPr>
              <w:t>（五）付款方式</w:t>
            </w:r>
          </w:p>
        </w:tc>
        <w:tc>
          <w:tcPr>
            <w:tcW w:w="8238" w:type="dxa"/>
            <w:gridSpan w:val="3"/>
          </w:tcPr>
          <w:p w14:paraId="09C836DD">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付款方式：本项目通过最终验收后，成交供应商开具全额发票（教学科研类国产设备必须开具增值税专用发票）给采购人，采购人收到发票后10个工作日内一次性付清100%的合同价款（无息）。</w:t>
            </w:r>
          </w:p>
        </w:tc>
      </w:tr>
      <w:tr w14:paraId="68C786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2" w:hRule="atLeast"/>
        </w:trPr>
        <w:tc>
          <w:tcPr>
            <w:tcW w:w="1616" w:type="dxa"/>
            <w:gridSpan w:val="4"/>
            <w:vAlign w:val="center"/>
          </w:tcPr>
          <w:p w14:paraId="0DE89468">
            <w:pPr>
              <w:adjustRightInd w:val="0"/>
              <w:snapToGrid w:val="0"/>
              <w:spacing w:after="0" w:line="276" w:lineRule="auto"/>
              <w:jc w:val="center"/>
              <w:rPr>
                <w:rFonts w:ascii="Arial" w:hAnsi="Arial" w:eastAsia="宋体" w:cs="Arial"/>
                <w:bCs/>
                <w:color w:val="auto"/>
                <w:kern w:val="0"/>
                <w:szCs w:val="21"/>
                <w:highlight w:val="none"/>
              </w:rPr>
            </w:pPr>
            <w:r>
              <w:rPr>
                <w:rFonts w:ascii="Arial" w:hAnsi="Arial" w:eastAsia="宋体" w:cs="Arial"/>
                <w:color w:val="auto"/>
                <w:szCs w:val="21"/>
                <w:highlight w:val="none"/>
              </w:rPr>
              <w:t>（六）包装和运输</w:t>
            </w:r>
          </w:p>
        </w:tc>
        <w:tc>
          <w:tcPr>
            <w:tcW w:w="8238" w:type="dxa"/>
            <w:gridSpan w:val="3"/>
          </w:tcPr>
          <w:p w14:paraId="2E920D55">
            <w:pPr>
              <w:adjustRightInd w:val="0"/>
              <w:snapToGrid w:val="0"/>
              <w:spacing w:after="0" w:line="276" w:lineRule="auto"/>
              <w:rPr>
                <w:rFonts w:ascii="Arial" w:hAnsi="Arial" w:eastAsia="宋体" w:cs="Arial"/>
                <w:bCs/>
                <w:color w:val="auto"/>
                <w:kern w:val="0"/>
                <w:szCs w:val="21"/>
                <w:highlight w:val="none"/>
              </w:rPr>
            </w:pPr>
            <w:r>
              <w:rPr>
                <w:rFonts w:ascii="Arial" w:hAnsi="Arial" w:eastAsia="宋体" w:cs="Arial"/>
                <w:bCs/>
                <w:color w:val="auto"/>
                <w:kern w:val="0"/>
                <w:szCs w:val="21"/>
                <w:highlight w:val="none"/>
              </w:rPr>
              <w:t>1.原厂原包装，包装完好、完整无破损、未开封。</w:t>
            </w:r>
          </w:p>
          <w:p w14:paraId="34164E85">
            <w:pPr>
              <w:adjustRightInd w:val="0"/>
              <w:snapToGrid w:val="0"/>
              <w:spacing w:after="0" w:line="276" w:lineRule="auto"/>
              <w:rPr>
                <w:rFonts w:ascii="Arial" w:hAnsi="Arial" w:eastAsia="宋体" w:cs="Arial"/>
                <w:bCs/>
                <w:color w:val="auto"/>
                <w:kern w:val="0"/>
                <w:szCs w:val="21"/>
                <w:highlight w:val="none"/>
              </w:rPr>
            </w:pPr>
            <w:r>
              <w:rPr>
                <w:rFonts w:ascii="Arial" w:hAnsi="Arial" w:eastAsia="宋体" w:cs="Arial"/>
                <w:bCs/>
                <w:color w:val="auto"/>
                <w:kern w:val="0"/>
                <w:szCs w:val="21"/>
                <w:highlight w:val="none"/>
              </w:rPr>
              <w:t>2.包装及运输方式应综合考虑运输距离、防潮、防震、防锈和防破损装卸等要求。</w:t>
            </w:r>
          </w:p>
          <w:p w14:paraId="56CF1995">
            <w:pPr>
              <w:adjustRightInd w:val="0"/>
              <w:snapToGrid w:val="0"/>
              <w:spacing w:after="0" w:line="276" w:lineRule="auto"/>
              <w:rPr>
                <w:rFonts w:ascii="Arial" w:hAnsi="Arial" w:eastAsia="宋体" w:cs="Arial"/>
                <w:bCs/>
                <w:color w:val="auto"/>
                <w:kern w:val="0"/>
                <w:szCs w:val="21"/>
                <w:highlight w:val="none"/>
              </w:rPr>
            </w:pPr>
            <w:r>
              <w:rPr>
                <w:rFonts w:ascii="Arial" w:hAnsi="Arial" w:eastAsia="宋体" w:cs="Arial"/>
                <w:bCs/>
                <w:color w:val="auto"/>
                <w:kern w:val="0"/>
                <w:szCs w:val="21"/>
                <w:highlight w:val="none"/>
              </w:rPr>
              <w:t>3.国家对包装及运输有相关强制性标准或要求的，</w:t>
            </w:r>
            <w:r>
              <w:rPr>
                <w:rFonts w:hint="eastAsia" w:ascii="Arial" w:hAnsi="Arial" w:eastAsia="宋体" w:cs="Arial"/>
                <w:color w:val="auto"/>
                <w:szCs w:val="21"/>
                <w:highlight w:val="none"/>
              </w:rPr>
              <w:t>成交供应商</w:t>
            </w:r>
            <w:r>
              <w:rPr>
                <w:rFonts w:ascii="Arial" w:hAnsi="Arial" w:eastAsia="宋体" w:cs="Arial"/>
                <w:bCs/>
                <w:color w:val="auto"/>
                <w:kern w:val="0"/>
                <w:szCs w:val="21"/>
                <w:highlight w:val="none"/>
              </w:rPr>
              <w:t>应当执行。</w:t>
            </w:r>
          </w:p>
          <w:p w14:paraId="62155E17">
            <w:pPr>
              <w:adjustRightInd w:val="0"/>
              <w:snapToGrid w:val="0"/>
              <w:spacing w:after="0" w:line="276" w:lineRule="auto"/>
              <w:rPr>
                <w:rFonts w:ascii="Arial" w:hAnsi="Arial" w:eastAsia="宋体" w:cs="Arial"/>
                <w:bCs/>
                <w:color w:val="auto"/>
                <w:kern w:val="0"/>
                <w:szCs w:val="21"/>
                <w:highlight w:val="none"/>
              </w:rPr>
            </w:pPr>
            <w:r>
              <w:rPr>
                <w:rFonts w:ascii="Arial" w:hAnsi="Arial" w:eastAsia="宋体" w:cs="Arial"/>
                <w:bCs/>
                <w:color w:val="auto"/>
                <w:kern w:val="0"/>
                <w:szCs w:val="21"/>
                <w:highlight w:val="none"/>
              </w:rPr>
              <w:t>4.产品（含包装）运抵采购人指定交付地点前发生损坏的，相关损失由</w:t>
            </w:r>
            <w:r>
              <w:rPr>
                <w:rFonts w:hint="eastAsia" w:ascii="Arial" w:hAnsi="Arial" w:eastAsia="宋体" w:cs="Arial"/>
                <w:color w:val="auto"/>
                <w:szCs w:val="21"/>
                <w:highlight w:val="none"/>
              </w:rPr>
              <w:t>成交供应商</w:t>
            </w:r>
            <w:r>
              <w:rPr>
                <w:rFonts w:ascii="Arial" w:hAnsi="Arial" w:eastAsia="宋体" w:cs="Arial"/>
                <w:bCs/>
                <w:color w:val="auto"/>
                <w:kern w:val="0"/>
                <w:szCs w:val="21"/>
                <w:highlight w:val="none"/>
              </w:rPr>
              <w:t>自行承担。</w:t>
            </w:r>
          </w:p>
        </w:tc>
      </w:tr>
      <w:tr w14:paraId="3C124E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2" w:hRule="atLeast"/>
        </w:trPr>
        <w:tc>
          <w:tcPr>
            <w:tcW w:w="1616" w:type="dxa"/>
            <w:gridSpan w:val="4"/>
            <w:vAlign w:val="center"/>
          </w:tcPr>
          <w:p w14:paraId="4990F603">
            <w:pPr>
              <w:adjustRightInd w:val="0"/>
              <w:snapToGrid w:val="0"/>
              <w:spacing w:after="0" w:line="276" w:lineRule="auto"/>
              <w:jc w:val="center"/>
              <w:rPr>
                <w:rFonts w:ascii="Arial" w:hAnsi="Arial" w:eastAsia="宋体" w:cs="Arial"/>
                <w:bCs/>
                <w:color w:val="auto"/>
                <w:kern w:val="0"/>
                <w:szCs w:val="21"/>
                <w:highlight w:val="none"/>
              </w:rPr>
            </w:pPr>
            <w:r>
              <w:rPr>
                <w:rFonts w:ascii="Arial" w:hAnsi="Arial" w:eastAsia="宋体" w:cs="Arial"/>
                <w:color w:val="auto"/>
                <w:szCs w:val="21"/>
                <w:highlight w:val="none"/>
              </w:rPr>
              <w:t>（七）保险</w:t>
            </w:r>
          </w:p>
        </w:tc>
        <w:tc>
          <w:tcPr>
            <w:tcW w:w="8238" w:type="dxa"/>
            <w:gridSpan w:val="3"/>
          </w:tcPr>
          <w:p w14:paraId="593AB3D8">
            <w:pPr>
              <w:adjustRightInd w:val="0"/>
              <w:snapToGrid w:val="0"/>
              <w:spacing w:after="0" w:line="276" w:lineRule="auto"/>
              <w:rPr>
                <w:rFonts w:ascii="Arial" w:hAnsi="Arial" w:eastAsia="宋体" w:cs="Arial"/>
                <w:color w:val="auto"/>
                <w:szCs w:val="21"/>
                <w:highlight w:val="none"/>
              </w:rPr>
            </w:pPr>
            <w:r>
              <w:rPr>
                <w:rFonts w:ascii="Arial" w:hAnsi="Arial" w:eastAsia="宋体" w:cs="Arial"/>
                <w:bCs/>
                <w:color w:val="auto"/>
                <w:kern w:val="0"/>
                <w:szCs w:val="21"/>
                <w:highlight w:val="none"/>
              </w:rPr>
              <w:t>若供应商为本项目标的及标的涉及的相关材料、设备、人员、运输等购买保险的，相关费用由供应商自行承担。</w:t>
            </w:r>
          </w:p>
        </w:tc>
      </w:tr>
      <w:tr w14:paraId="24AE86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2" w:hRule="atLeast"/>
        </w:trPr>
        <w:tc>
          <w:tcPr>
            <w:tcW w:w="1616" w:type="dxa"/>
            <w:gridSpan w:val="4"/>
            <w:vAlign w:val="center"/>
          </w:tcPr>
          <w:p w14:paraId="2563B0BB">
            <w:pPr>
              <w:widowControl/>
              <w:snapToGrid w:val="0"/>
              <w:spacing w:after="0" w:line="276" w:lineRule="auto"/>
              <w:jc w:val="center"/>
              <w:rPr>
                <w:rFonts w:ascii="Arial" w:hAnsi="Arial" w:eastAsia="宋体" w:cs="Arial"/>
                <w:bCs/>
                <w:color w:val="auto"/>
                <w:kern w:val="0"/>
                <w:szCs w:val="21"/>
                <w:highlight w:val="none"/>
              </w:rPr>
            </w:pPr>
            <w:r>
              <w:rPr>
                <w:rFonts w:ascii="Arial" w:hAnsi="Arial" w:eastAsia="宋体" w:cs="Arial"/>
                <w:bCs/>
                <w:color w:val="auto"/>
                <w:kern w:val="0"/>
                <w:szCs w:val="21"/>
                <w:highlight w:val="none"/>
              </w:rPr>
              <w:t>（八）验收标准</w:t>
            </w:r>
          </w:p>
        </w:tc>
        <w:tc>
          <w:tcPr>
            <w:tcW w:w="8238" w:type="dxa"/>
            <w:gridSpan w:val="3"/>
          </w:tcPr>
          <w:p w14:paraId="7C7FCA60">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（1）质量标准：本项目执行国家相关标准、行业标准、地方标准或者其他标准、规范。如具体采购需求与标准、规范不一致的，高于标准、规范的按具体采购需求执行；低于标准、规范的按标准、规范执行。</w:t>
            </w:r>
            <w:r>
              <w:rPr>
                <w:rFonts w:ascii="Arial" w:hAnsi="Arial" w:eastAsia="宋体" w:cs="Arial"/>
                <w:bCs/>
                <w:color w:val="auto"/>
                <w:kern w:val="0"/>
                <w:szCs w:val="21"/>
                <w:highlight w:val="none"/>
              </w:rPr>
              <w:t>供应商</w:t>
            </w:r>
            <w:r>
              <w:rPr>
                <w:rFonts w:ascii="Arial" w:hAnsi="Arial" w:eastAsia="宋体" w:cs="Arial"/>
                <w:color w:val="auto"/>
                <w:szCs w:val="21"/>
                <w:highlight w:val="none"/>
              </w:rPr>
              <w:t>所提供的产品必须是全新、完好、无破损、未经使用的原装产品，产品符合制造厂家合格产品的出厂质量标准，且在正常安装、使用和保养条件下，其使用寿命期内各项指标均达到质量要求。</w:t>
            </w:r>
          </w:p>
          <w:p w14:paraId="4D83B9EA">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（2）产品到货后，采购人现场根据</w:t>
            </w:r>
            <w:r>
              <w:rPr>
                <w:rFonts w:hint="eastAsia" w:ascii="Arial" w:hAnsi="Arial" w:eastAsia="宋体" w:cs="Arial"/>
                <w:color w:val="auto"/>
                <w:szCs w:val="21"/>
                <w:highlight w:val="none"/>
              </w:rPr>
              <w:t>谈判</w:t>
            </w:r>
            <w:r>
              <w:rPr>
                <w:rFonts w:ascii="Arial" w:hAnsi="Arial" w:eastAsia="宋体" w:cs="Arial"/>
                <w:color w:val="auto"/>
                <w:szCs w:val="21"/>
                <w:highlight w:val="none"/>
              </w:rPr>
              <w:t>文件要求及</w:t>
            </w:r>
            <w:r>
              <w:rPr>
                <w:rFonts w:hint="eastAsia" w:ascii="Arial" w:hAnsi="Arial" w:eastAsia="宋体" w:cs="Arial"/>
                <w:color w:val="auto"/>
                <w:szCs w:val="21"/>
                <w:highlight w:val="none"/>
              </w:rPr>
              <w:t>响应</w:t>
            </w:r>
            <w:r>
              <w:rPr>
                <w:rFonts w:ascii="Arial" w:hAnsi="Arial" w:eastAsia="宋体" w:cs="Arial"/>
                <w:color w:val="auto"/>
                <w:szCs w:val="21"/>
                <w:highlight w:val="none"/>
              </w:rPr>
              <w:t>文件承诺逐条对应进行核验（含测试或试运行），核验不合格的，采购人有权退货，同时报相关监督管理部门，将</w:t>
            </w:r>
            <w:r>
              <w:rPr>
                <w:rFonts w:ascii="Arial" w:hAnsi="Arial" w:eastAsia="宋体" w:cs="Arial"/>
                <w:bCs/>
                <w:color w:val="auto"/>
                <w:kern w:val="0"/>
                <w:szCs w:val="21"/>
                <w:highlight w:val="none"/>
              </w:rPr>
              <w:t>供应商</w:t>
            </w:r>
            <w:r>
              <w:rPr>
                <w:rFonts w:ascii="Arial" w:hAnsi="Arial" w:eastAsia="宋体" w:cs="Arial"/>
                <w:color w:val="auto"/>
                <w:szCs w:val="21"/>
                <w:highlight w:val="none"/>
              </w:rPr>
              <w:t>纳入采购黑名单，由此造成采购人经济损失的由</w:t>
            </w:r>
            <w:r>
              <w:rPr>
                <w:rFonts w:hint="eastAsia" w:ascii="Arial" w:hAnsi="Arial" w:eastAsia="宋体" w:cs="Arial"/>
                <w:color w:val="auto"/>
                <w:szCs w:val="21"/>
                <w:highlight w:val="none"/>
              </w:rPr>
              <w:t>成交供应商</w:t>
            </w:r>
            <w:r>
              <w:rPr>
                <w:rFonts w:ascii="Arial" w:hAnsi="Arial" w:eastAsia="宋体" w:cs="Arial"/>
                <w:color w:val="auto"/>
                <w:szCs w:val="21"/>
                <w:highlight w:val="none"/>
              </w:rPr>
              <w:t>负责承担全部赔偿责任。</w:t>
            </w:r>
          </w:p>
          <w:p w14:paraId="5180155B">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（3）设备开机试运行，测试设备的技术性能指标，确认各项功能正常运行，同时检查随机文件应齐整。</w:t>
            </w:r>
          </w:p>
          <w:p w14:paraId="39C02B9C">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（4）验收时，采购人有权邀请国家认可的</w:t>
            </w:r>
            <w:r>
              <w:rPr>
                <w:rFonts w:ascii="Arial" w:hAnsi="Arial" w:eastAsia="宋体" w:cs="Arial"/>
                <w:bCs/>
                <w:color w:val="auto"/>
                <w:szCs w:val="21"/>
                <w:highlight w:val="none"/>
              </w:rPr>
              <w:t>第三方检测计量单位到现场进行校准</w:t>
            </w:r>
            <w:r>
              <w:rPr>
                <w:rFonts w:ascii="Arial" w:hAnsi="Arial" w:eastAsia="宋体" w:cs="Arial"/>
                <w:color w:val="auto"/>
                <w:szCs w:val="21"/>
                <w:highlight w:val="none"/>
              </w:rPr>
              <w:t>，并出具校准报告，</w:t>
            </w:r>
            <w:r>
              <w:rPr>
                <w:rFonts w:ascii="Arial" w:hAnsi="Arial" w:eastAsia="宋体" w:cs="Arial"/>
                <w:bCs/>
                <w:color w:val="auto"/>
                <w:szCs w:val="21"/>
                <w:highlight w:val="none"/>
              </w:rPr>
              <w:t>所涉及的相关费用</w:t>
            </w:r>
            <w:r>
              <w:rPr>
                <w:rFonts w:ascii="Arial" w:hAnsi="Arial" w:eastAsia="宋体" w:cs="Arial"/>
                <w:color w:val="auto"/>
                <w:szCs w:val="21"/>
                <w:highlight w:val="none"/>
              </w:rPr>
              <w:t>由</w:t>
            </w:r>
            <w:r>
              <w:rPr>
                <w:rFonts w:hint="eastAsia" w:ascii="Arial" w:hAnsi="Arial" w:eastAsia="宋体" w:cs="Arial"/>
                <w:color w:val="auto"/>
                <w:szCs w:val="21"/>
                <w:highlight w:val="none"/>
              </w:rPr>
              <w:t>成交供应商</w:t>
            </w:r>
            <w:r>
              <w:rPr>
                <w:rFonts w:ascii="Arial" w:hAnsi="Arial" w:eastAsia="宋体" w:cs="Arial"/>
                <w:color w:val="auto"/>
                <w:szCs w:val="21"/>
                <w:highlight w:val="none"/>
              </w:rPr>
              <w:t>承担（</w:t>
            </w:r>
            <w:r>
              <w:rPr>
                <w:rFonts w:ascii="Arial" w:hAnsi="Arial" w:eastAsia="宋体" w:cs="Arial"/>
                <w:bCs/>
                <w:color w:val="auto"/>
                <w:kern w:val="0"/>
                <w:szCs w:val="21"/>
                <w:highlight w:val="none"/>
              </w:rPr>
              <w:t>供应商</w:t>
            </w:r>
            <w:r>
              <w:rPr>
                <w:rFonts w:ascii="Arial" w:hAnsi="Arial" w:eastAsia="宋体" w:cs="Arial"/>
                <w:color w:val="auto"/>
                <w:szCs w:val="21"/>
                <w:highlight w:val="none"/>
              </w:rPr>
              <w:t>自行将费用综合考虑进入</w:t>
            </w:r>
            <w:r>
              <w:rPr>
                <w:rFonts w:hint="eastAsia" w:ascii="Arial" w:hAnsi="Arial" w:eastAsia="宋体" w:cs="Arial"/>
                <w:color w:val="auto"/>
                <w:szCs w:val="21"/>
                <w:highlight w:val="none"/>
              </w:rPr>
              <w:t>响应</w:t>
            </w:r>
            <w:r>
              <w:rPr>
                <w:rFonts w:ascii="Arial" w:hAnsi="Arial" w:eastAsia="宋体" w:cs="Arial"/>
                <w:color w:val="auto"/>
                <w:szCs w:val="21"/>
                <w:highlight w:val="none"/>
              </w:rPr>
              <w:t>报价中）</w:t>
            </w:r>
            <w:r>
              <w:rPr>
                <w:rFonts w:ascii="Arial" w:hAnsi="Arial" w:eastAsia="宋体" w:cs="Arial"/>
                <w:bCs/>
                <w:color w:val="auto"/>
                <w:szCs w:val="21"/>
                <w:highlight w:val="none"/>
              </w:rPr>
              <w:t>，采购人不再另行支付。校准不合格的，采购人不予验收。</w:t>
            </w:r>
          </w:p>
          <w:p w14:paraId="1C55DA90">
            <w:pPr>
              <w:adjustRightInd w:val="0"/>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（5）因产品质量问题发生争议的，应邀请国家认可的质量检测机构对产品质量进行鉴定。产品符合标准的，鉴定费由采购人承担；产品不符合标准的，鉴定费由</w:t>
            </w:r>
            <w:r>
              <w:rPr>
                <w:rFonts w:hint="eastAsia" w:ascii="Arial" w:hAnsi="Arial" w:eastAsia="宋体" w:cs="Arial"/>
                <w:color w:val="auto"/>
                <w:szCs w:val="21"/>
                <w:highlight w:val="none"/>
              </w:rPr>
              <w:t>成交供应商</w:t>
            </w:r>
            <w:r>
              <w:rPr>
                <w:rFonts w:ascii="Arial" w:hAnsi="Arial" w:eastAsia="宋体" w:cs="Arial"/>
                <w:color w:val="auto"/>
                <w:szCs w:val="21"/>
                <w:highlight w:val="none"/>
              </w:rPr>
              <w:t>承担。</w:t>
            </w:r>
          </w:p>
        </w:tc>
      </w:tr>
      <w:tr w14:paraId="639A5E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45" w:hRule="atLeast"/>
        </w:trPr>
        <w:tc>
          <w:tcPr>
            <w:tcW w:w="1616" w:type="dxa"/>
            <w:gridSpan w:val="4"/>
            <w:vAlign w:val="center"/>
          </w:tcPr>
          <w:p w14:paraId="5668D633">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（九）知识产权</w:t>
            </w:r>
          </w:p>
        </w:tc>
        <w:tc>
          <w:tcPr>
            <w:tcW w:w="8238" w:type="dxa"/>
            <w:gridSpan w:val="3"/>
          </w:tcPr>
          <w:p w14:paraId="0EEE3600">
            <w:pPr>
              <w:snapToGrid w:val="0"/>
              <w:spacing w:after="0" w:line="276" w:lineRule="auto"/>
              <w:jc w:val="left"/>
              <w:rPr>
                <w:rFonts w:ascii="Arial" w:hAnsi="Arial" w:eastAsia="宋体" w:cs="Arial"/>
                <w:color w:val="auto"/>
                <w:szCs w:val="21"/>
                <w:highlight w:val="none"/>
              </w:rPr>
            </w:pPr>
            <w:r>
              <w:rPr>
                <w:rFonts w:ascii="Arial" w:hAnsi="Arial" w:eastAsia="宋体" w:cs="Arial"/>
                <w:bCs/>
                <w:color w:val="auto"/>
                <w:kern w:val="0"/>
                <w:szCs w:val="21"/>
                <w:highlight w:val="none"/>
              </w:rPr>
              <w:t>供应商</w:t>
            </w:r>
            <w:r>
              <w:rPr>
                <w:rFonts w:ascii="Arial" w:hAnsi="Arial" w:eastAsia="宋体" w:cs="Arial"/>
                <w:color w:val="auto"/>
                <w:szCs w:val="21"/>
                <w:highlight w:val="none"/>
              </w:rPr>
              <w:t>保证所提供的产品及服务涉及到的知识产权和相关技术资料是合法取得的，采购人在使用产品及服务时不会侵犯任何第三方的专利权、商标权、工业设计权或其他权利，不会因为采购人的使用遭受第三方侵权指控，包括被责令致歉、停止使用、追偿或要求赔偿损失等。否则，</w:t>
            </w:r>
            <w:r>
              <w:rPr>
                <w:rFonts w:ascii="Arial" w:hAnsi="Arial" w:eastAsia="宋体" w:cs="Arial"/>
                <w:bCs/>
                <w:color w:val="auto"/>
                <w:kern w:val="0"/>
                <w:szCs w:val="21"/>
                <w:highlight w:val="none"/>
              </w:rPr>
              <w:t>供应商</w:t>
            </w:r>
            <w:r>
              <w:rPr>
                <w:rFonts w:ascii="Arial" w:hAnsi="Arial" w:eastAsia="宋体" w:cs="Arial"/>
                <w:color w:val="auto"/>
                <w:szCs w:val="21"/>
                <w:highlight w:val="none"/>
              </w:rPr>
              <w:t>负责解决由此引起的一切纠纷，采购人有权追究</w:t>
            </w:r>
            <w:r>
              <w:rPr>
                <w:rFonts w:hint="eastAsia" w:ascii="Arial" w:hAnsi="Arial" w:eastAsia="宋体" w:cs="Arial"/>
                <w:color w:val="auto"/>
                <w:szCs w:val="21"/>
                <w:highlight w:val="none"/>
              </w:rPr>
              <w:t>成交供应商</w:t>
            </w:r>
            <w:r>
              <w:rPr>
                <w:rFonts w:ascii="Arial" w:hAnsi="Arial" w:eastAsia="宋体" w:cs="Arial"/>
                <w:color w:val="auto"/>
                <w:szCs w:val="21"/>
                <w:highlight w:val="none"/>
              </w:rPr>
              <w:t>的法律责任，其不利后果由</w:t>
            </w:r>
            <w:r>
              <w:rPr>
                <w:rFonts w:ascii="Arial" w:hAnsi="Arial" w:eastAsia="宋体" w:cs="Arial"/>
                <w:bCs/>
                <w:color w:val="auto"/>
                <w:kern w:val="0"/>
                <w:szCs w:val="21"/>
                <w:highlight w:val="none"/>
              </w:rPr>
              <w:t>供应商</w:t>
            </w:r>
            <w:r>
              <w:rPr>
                <w:rFonts w:ascii="Arial" w:hAnsi="Arial" w:eastAsia="宋体" w:cs="Arial"/>
                <w:color w:val="auto"/>
                <w:szCs w:val="21"/>
                <w:highlight w:val="none"/>
              </w:rPr>
              <w:t>全部承担。</w:t>
            </w:r>
          </w:p>
        </w:tc>
      </w:tr>
      <w:tr w14:paraId="002EA8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873" w:hRule="atLeast"/>
        </w:trPr>
        <w:tc>
          <w:tcPr>
            <w:tcW w:w="1616" w:type="dxa"/>
            <w:gridSpan w:val="4"/>
            <w:vAlign w:val="center"/>
          </w:tcPr>
          <w:p w14:paraId="34342FF9">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（十）履约保证金</w:t>
            </w:r>
          </w:p>
        </w:tc>
        <w:tc>
          <w:tcPr>
            <w:tcW w:w="8238" w:type="dxa"/>
            <w:gridSpan w:val="3"/>
          </w:tcPr>
          <w:p w14:paraId="51213833">
            <w:pPr>
              <w:widowControl/>
              <w:adjustRightInd w:val="0"/>
              <w:snapToGrid w:val="0"/>
              <w:spacing w:after="0" w:line="312" w:lineRule="auto"/>
              <w:jc w:val="left"/>
              <w:rPr>
                <w:rFonts w:ascii="Arial" w:hAnsi="Arial" w:eastAsia="宋体" w:cs="Arial"/>
                <w:color w:val="auto"/>
                <w:szCs w:val="21"/>
                <w:highlight w:val="none"/>
              </w:rPr>
            </w:pPr>
            <w:r>
              <w:rPr>
                <w:rFonts w:ascii="Arial" w:hAnsi="Arial" w:eastAsia="宋体" w:cs="Arial"/>
                <w:color w:val="auto"/>
                <w:szCs w:val="21"/>
                <w:highlight w:val="none"/>
              </w:rPr>
              <w:t>履约保证金：在合同签订之前，成交供应商按成交金额的5%（如成交供应商为中小微企业的，按成交金额的2%））向采购人交纳履约保证金。履约保证金交纳方式：转账或电汇等非现金形式。履约保证金指定账户【开户名称：桂林理工大学，开户银行：中国银行桂林分行，账号：613257488744】。成交供应商须按上述规定的金额、方式将履约保证金转入桂林理工大学账户。否则，不予签订合同。</w:t>
            </w:r>
          </w:p>
          <w:p w14:paraId="0275E714">
            <w:pPr>
              <w:widowControl/>
              <w:snapToGrid w:val="0"/>
              <w:spacing w:after="0" w:line="312" w:lineRule="auto"/>
              <w:jc w:val="left"/>
              <w:rPr>
                <w:rFonts w:ascii="Arial" w:hAnsi="Arial" w:eastAsia="宋体" w:cs="Arial"/>
                <w:color w:val="auto"/>
                <w:szCs w:val="21"/>
                <w:highlight w:val="none"/>
              </w:rPr>
            </w:pPr>
            <w:r>
              <w:rPr>
                <w:rFonts w:ascii="Arial" w:hAnsi="Arial" w:eastAsia="宋体" w:cs="Arial"/>
                <w:color w:val="auto"/>
                <w:szCs w:val="21"/>
                <w:highlight w:val="none"/>
              </w:rPr>
              <w:t>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tc>
      </w:tr>
      <w:tr w14:paraId="1A2A85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2" w:hRule="atLeast"/>
        </w:trPr>
        <w:tc>
          <w:tcPr>
            <w:tcW w:w="1616" w:type="dxa"/>
            <w:gridSpan w:val="4"/>
            <w:vAlign w:val="center"/>
          </w:tcPr>
          <w:p w14:paraId="1915804D">
            <w:pPr>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（十一）违约责任</w:t>
            </w:r>
          </w:p>
        </w:tc>
        <w:tc>
          <w:tcPr>
            <w:tcW w:w="8238" w:type="dxa"/>
            <w:gridSpan w:val="3"/>
          </w:tcPr>
          <w:p w14:paraId="68E7CFA6">
            <w:pPr>
              <w:adjustRightInd w:val="0"/>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成交供应商所提供的产品名称、生产厂家、品牌、规格型号、技术参数等不符合投标（响应）文件承诺或质量不合格的，应在2日内及时更换，更换不及时的按逾期交货处罚；因质量问题采购人不同意接收的或特殊情况采购人同意接收的，成交供应商应向采购人支付违约货款额 5%违约金并赔偿采购人经济损失。</w:t>
            </w:r>
          </w:p>
          <w:p w14:paraId="20160067">
            <w:pPr>
              <w:adjustRightInd w:val="0"/>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2.成交供应商提供的货物如侵犯了第三方合法权益而引发的任何纠纷或诉讼，均由成交供应商负责交涉并承担全部责任。</w:t>
            </w:r>
          </w:p>
          <w:p w14:paraId="071A34E1">
            <w:pPr>
              <w:adjustRightInd w:val="0"/>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3.因包装、运输引起的货物损坏，按质量不合格处罚。</w:t>
            </w:r>
          </w:p>
          <w:p w14:paraId="136B5DD4">
            <w:pPr>
              <w:adjustRightInd w:val="0"/>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4.采购人无故延期接收货物、成交供应商逾期交货的，每天向对方偿付违约货款额3‰违约金，但违约金累计不得超过违约货款额5%，超过7天对方有权解除合同，违约方承担因此给对方造成经济损失；采购人延期付货款的，每天向成交供应商偿付延期货款额3‰滞纳金，但滞纳金累计不得超过延期货款额5%。</w:t>
            </w:r>
          </w:p>
          <w:p w14:paraId="18FB4970">
            <w:pPr>
              <w:adjustRightInd w:val="0"/>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5.成交供应商未按本合同和投标（响应）文件中规定的服务承诺提供售后服务的，成交供应商应按本合同合计金额 5%向采购人支付违约金。</w:t>
            </w:r>
          </w:p>
          <w:p w14:paraId="7B3D02BC">
            <w:pPr>
              <w:adjustRightInd w:val="0"/>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6.成交供应商提供的货物在质量保证期内，因设计、工艺或材料的缺陷和其它质量原因造成的问题，由成交供应商负责，费用从履约保证金中扣除，不足另补。</w:t>
            </w:r>
          </w:p>
          <w:p w14:paraId="6E9ED736">
            <w:pPr>
              <w:adjustRightInd w:val="0"/>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7.其它违约行为按违约货款额5%收取违约金并赔偿经济损失。</w:t>
            </w:r>
          </w:p>
          <w:p w14:paraId="5EB328A1">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8.成交供应商于响应文件中必须对所有产品的技术参数要求作出真实、有效的响应和承诺。所提供的产品必须为原装正品的、全新的、符合国家有关质量标准的产品。验收前，采购人现场根据采购文件要求及响应文件承诺对各项参数逐条对应进行核验，核验或检测数据不符合采购人要求及响应文件承诺的指标的，采购人有权终止合同执行并全部退货，由此造成采购人经济损失的由成交供应商负责承担全部赔偿责任并向采购人支付合同金额的30%违约赔偿金。如有异议，将交由国家认可并具有检验检测资质的第三方机构进行检验，若核验结果的各项参数指标不满足采购人要求及响应文件承诺的指标要求，所有产生的费用由成交供应商承担，并承担政府采购虚假竞标的相关法律责任。</w:t>
            </w:r>
          </w:p>
        </w:tc>
      </w:tr>
      <w:tr w14:paraId="175E36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2" w:hRule="atLeast"/>
        </w:trPr>
        <w:tc>
          <w:tcPr>
            <w:tcW w:w="1616" w:type="dxa"/>
            <w:gridSpan w:val="4"/>
            <w:vAlign w:val="center"/>
          </w:tcPr>
          <w:p w14:paraId="6C551C7F">
            <w:pPr>
              <w:pStyle w:val="12"/>
              <w:snapToGrid w:val="0"/>
              <w:spacing w:after="0" w:line="276" w:lineRule="auto"/>
              <w:jc w:val="center"/>
              <w:rPr>
                <w:rFonts w:ascii="Arial" w:hAnsi="Arial" w:eastAsia="宋体" w:cs="Arial"/>
                <w:color w:val="auto"/>
                <w:szCs w:val="21"/>
                <w:highlight w:val="none"/>
              </w:rPr>
            </w:pPr>
            <w:r>
              <w:rPr>
                <w:rFonts w:ascii="Arial" w:hAnsi="Arial" w:eastAsia="宋体" w:cs="Arial"/>
                <w:color w:val="auto"/>
                <w:szCs w:val="21"/>
                <w:highlight w:val="none"/>
              </w:rPr>
              <w:t>（十二）进口产品说明</w:t>
            </w:r>
          </w:p>
        </w:tc>
        <w:tc>
          <w:tcPr>
            <w:tcW w:w="8238" w:type="dxa"/>
            <w:gridSpan w:val="3"/>
          </w:tcPr>
          <w:p w14:paraId="18331805">
            <w:pPr>
              <w:adjustRightInd w:val="0"/>
              <w:snapToGrid w:val="0"/>
              <w:spacing w:after="0" w:line="312" w:lineRule="auto"/>
              <w:rPr>
                <w:rFonts w:ascii="Arial" w:hAnsi="Arial" w:eastAsia="宋体" w:cs="Arial"/>
                <w:b/>
                <w:bCs/>
                <w:color w:val="auto"/>
                <w:szCs w:val="21"/>
                <w:highlight w:val="none"/>
              </w:rPr>
            </w:pPr>
            <w:r>
              <w:rPr>
                <w:rFonts w:ascii="Arial" w:hAnsi="Arial" w:eastAsia="宋体" w:cs="Arial"/>
                <w:b/>
                <w:bCs/>
                <w:color w:val="auto"/>
                <w:szCs w:val="21"/>
                <w:highlight w:val="none"/>
              </w:rPr>
              <w:sym w:font="Wingdings 2" w:char="0052"/>
            </w:r>
            <w:r>
              <w:rPr>
                <w:rFonts w:ascii="Arial" w:hAnsi="Arial" w:eastAsia="宋体" w:cs="Arial"/>
                <w:b/>
                <w:bCs/>
                <w:color w:val="auto"/>
                <w:szCs w:val="21"/>
                <w:highlight w:val="none"/>
              </w:rPr>
              <w:t xml:space="preserve"> 本项目标的不接受进口产品参与谈判，如供应商选用进口产品谈判的，响应文件按无效处理。</w:t>
            </w:r>
          </w:p>
          <w:p w14:paraId="7B2D303C">
            <w:pPr>
              <w:adjustRightInd w:val="0"/>
              <w:snapToGrid w:val="0"/>
              <w:spacing w:after="0" w:line="312" w:lineRule="auto"/>
              <w:rPr>
                <w:rFonts w:ascii="Arial" w:hAnsi="Arial" w:eastAsia="宋体" w:cs="Arial"/>
                <w:color w:val="auto"/>
                <w:szCs w:val="21"/>
                <w:highlight w:val="none"/>
              </w:rPr>
            </w:pPr>
          </w:p>
          <w:p w14:paraId="0FA06563">
            <w:pPr>
              <w:snapToGrid w:val="0"/>
              <w:spacing w:after="0" w:line="276" w:lineRule="auto"/>
              <w:rPr>
                <w:rFonts w:ascii="Arial" w:hAnsi="Arial" w:eastAsia="宋体" w:cs="Arial"/>
                <w:color w:val="auto"/>
                <w:szCs w:val="21"/>
                <w:highlight w:val="none"/>
              </w:rPr>
            </w:pPr>
            <w:r>
              <w:rPr>
                <w:rFonts w:ascii="Arial" w:hAnsi="Arial" w:eastAsia="宋体" w:cs="Arial"/>
                <w:color w:val="auto"/>
                <w:szCs w:val="21"/>
                <w:highlight w:val="none"/>
              </w:rPr>
              <w:t>□ 1.本项目货物已办理进口产品手续，接受进口产品（即通过中国海关报关验放进入中国境内且产自关境外的产品）参与投标。但如选用进口产品时必须为原装进口产品（即通过中国海关报关验放进入中国境内且产自境外的产品），投标报价必须为人民币报价，若供应商选用进口产品投标用人民币之外的其他货币报价的，响应文件作无效处理；同时供应商必须负责办理进口产品所有相关手续并承担所有费用，采购人不再支付除中标价以外的任何费用，采购人协助办理免税审批手续。在进口产品最后报价相同的情况下，优先采购向我国企业转让技术、与我国企业签订消化吸收再创新方案的供应商的进口产品。2.供应商如所竞本项目货物产品为进口产品时，供应商的报价必须为免税价，如项目执行期间遭遇国家相关政策因素加征关税，所产生的加征关税等费用由供应商承担，供应商自行将此项风险综合考虑到投标报价中，采购人不再另行支付涉及的任何费用。</w:t>
            </w:r>
          </w:p>
        </w:tc>
      </w:tr>
      <w:tr w14:paraId="28F75A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 w:hRule="atLeast"/>
        </w:trPr>
        <w:tc>
          <w:tcPr>
            <w:tcW w:w="9854" w:type="dxa"/>
            <w:gridSpan w:val="7"/>
          </w:tcPr>
          <w:p w14:paraId="145F5973">
            <w:pPr>
              <w:snapToGrid w:val="0"/>
              <w:spacing w:after="0" w:line="276" w:lineRule="auto"/>
              <w:jc w:val="left"/>
              <w:rPr>
                <w:rFonts w:ascii="Arial" w:hAnsi="Arial" w:eastAsia="宋体" w:cs="Arial"/>
                <w:color w:val="auto"/>
                <w:szCs w:val="21"/>
                <w:highlight w:val="none"/>
              </w:rPr>
            </w:pPr>
            <w:r>
              <w:rPr>
                <w:rFonts w:ascii="Arial" w:hAnsi="Arial" w:eastAsia="宋体" w:cs="Arial"/>
                <w:b/>
                <w:color w:val="auto"/>
                <w:szCs w:val="21"/>
                <w:highlight w:val="none"/>
              </w:rPr>
              <w:t>四、</w:t>
            </w:r>
            <w:r>
              <w:rPr>
                <w:rFonts w:ascii="Arial" w:hAnsi="Arial" w:eastAsia="宋体" w:cs="Arial"/>
                <w:b/>
                <w:bCs/>
                <w:color w:val="auto"/>
                <w:szCs w:val="21"/>
                <w:highlight w:val="none"/>
              </w:rPr>
              <w:t>与实现项目目标相关的其他要求</w:t>
            </w:r>
          </w:p>
        </w:tc>
      </w:tr>
      <w:tr w14:paraId="678B74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3" w:hRule="atLeast"/>
        </w:trPr>
        <w:tc>
          <w:tcPr>
            <w:tcW w:w="1634" w:type="dxa"/>
            <w:gridSpan w:val="5"/>
            <w:tcBorders>
              <w:right w:val="single" w:color="auto" w:sz="4" w:space="0"/>
            </w:tcBorders>
            <w:vAlign w:val="center"/>
          </w:tcPr>
          <w:p w14:paraId="344F5D44">
            <w:pPr>
              <w:snapToGrid w:val="0"/>
              <w:spacing w:after="0" w:line="276" w:lineRule="auto"/>
              <w:jc w:val="left"/>
              <w:rPr>
                <w:rFonts w:ascii="Arial" w:hAnsi="Arial" w:eastAsia="宋体" w:cs="Arial"/>
                <w:b/>
                <w:color w:val="auto"/>
                <w:szCs w:val="21"/>
                <w:highlight w:val="none"/>
              </w:rPr>
            </w:pPr>
            <w:r>
              <w:rPr>
                <w:rFonts w:ascii="Arial" w:hAnsi="Arial" w:eastAsia="宋体" w:cs="Arial"/>
                <w:color w:val="auto"/>
                <w:szCs w:val="21"/>
                <w:highlight w:val="none"/>
              </w:rPr>
              <w:t>（十三）其他要求</w:t>
            </w:r>
          </w:p>
        </w:tc>
        <w:tc>
          <w:tcPr>
            <w:tcW w:w="8220" w:type="dxa"/>
            <w:gridSpan w:val="2"/>
          </w:tcPr>
          <w:p w14:paraId="68857BA0">
            <w:pPr>
              <w:snapToGrid w:val="0"/>
              <w:spacing w:after="0" w:line="276" w:lineRule="auto"/>
              <w:jc w:val="left"/>
              <w:rPr>
                <w:rFonts w:ascii="Arial" w:hAnsi="Arial" w:eastAsia="宋体" w:cs="Arial"/>
                <w:color w:val="auto"/>
                <w:szCs w:val="21"/>
                <w:highlight w:val="none"/>
              </w:rPr>
            </w:pPr>
            <w:r>
              <w:rPr>
                <w:rFonts w:hint="eastAsia" w:ascii="Arial" w:hAnsi="Arial" w:eastAsia="宋体" w:cs="Arial"/>
                <w:color w:val="auto"/>
                <w:szCs w:val="21"/>
                <w:highlight w:val="none"/>
              </w:rPr>
              <w:t>1</w:t>
            </w:r>
            <w:r>
              <w:rPr>
                <w:rFonts w:ascii="Arial" w:hAnsi="Arial" w:eastAsia="宋体" w:cs="Arial"/>
                <w:color w:val="auto"/>
                <w:szCs w:val="21"/>
                <w:highlight w:val="none"/>
              </w:rPr>
              <w:t>.本项目包含所有货物、</w:t>
            </w:r>
            <w:r>
              <w:rPr>
                <w:rFonts w:hint="eastAsia" w:ascii="Arial" w:hAnsi="Arial" w:eastAsia="宋体" w:cs="Arial"/>
                <w:color w:val="auto"/>
                <w:szCs w:val="21"/>
                <w:highlight w:val="none"/>
              </w:rPr>
              <w:t>服务价格、</w:t>
            </w:r>
            <w:r>
              <w:rPr>
                <w:rFonts w:ascii="Arial" w:hAnsi="Arial" w:eastAsia="宋体" w:cs="Arial"/>
                <w:color w:val="auto"/>
                <w:szCs w:val="21"/>
                <w:highlight w:val="none"/>
              </w:rPr>
              <w:t xml:space="preserve">随配附件、备品备件、运输、工具、安装、调试、各种辅材、售后服务、培训、税金等费用及其他所有可能发生的一切费用，对于本文件中未列明，而供应商认为必须的费用也需列入总报价，采购人不再支付任何费用。 </w:t>
            </w:r>
          </w:p>
          <w:p w14:paraId="63B9BCC3">
            <w:pPr>
              <w:snapToGrid w:val="0"/>
              <w:spacing w:after="0" w:line="276" w:lineRule="auto"/>
              <w:jc w:val="left"/>
              <w:rPr>
                <w:rFonts w:ascii="Arial" w:hAnsi="Arial" w:eastAsia="宋体" w:cs="Arial"/>
                <w:b w:val="0"/>
                <w:bCs/>
                <w:color w:val="auto"/>
                <w:szCs w:val="21"/>
                <w:highlight w:val="none"/>
              </w:rPr>
            </w:pPr>
            <w:r>
              <w:rPr>
                <w:rFonts w:ascii="Arial" w:hAnsi="Arial" w:eastAsia="宋体" w:cs="Arial"/>
                <w:b/>
                <w:bCs w:val="0"/>
                <w:color w:val="auto"/>
                <w:szCs w:val="21"/>
                <w:highlight w:val="none"/>
              </w:rPr>
              <w:t>2.</w:t>
            </w:r>
            <w:r>
              <w:rPr>
                <w:rFonts w:hint="eastAsia" w:ascii="Arial" w:hAnsi="Arial" w:eastAsia="宋体" w:cs="Arial"/>
                <w:b/>
                <w:color w:val="auto"/>
                <w:szCs w:val="21"/>
                <w:highlight w:val="none"/>
              </w:rPr>
              <w:t xml:space="preserve"> 供货时必须向采购人提供所投产品“项号1核心交换机”、“项号2本部校区态势感知系统维保”、“项号3南宁分校态势感知系统维保”由生产厂家出具的售后服务承诺书原件，否则不予验收。</w:t>
            </w:r>
          </w:p>
        </w:tc>
      </w:tr>
    </w:tbl>
    <w:p w14:paraId="6B04B7AC">
      <w:pPr>
        <w:widowControl/>
        <w:spacing w:line="312" w:lineRule="auto"/>
        <w:ind w:firstLine="420" w:firstLineChars="200"/>
        <w:jc w:val="left"/>
        <w:rPr>
          <w:rFonts w:ascii="Arial" w:hAnsi="Arial" w:eastAsia="宋体" w:cs="Arial"/>
          <w:b/>
          <w:color w:val="auto"/>
          <w:highlight w:val="none"/>
        </w:rPr>
      </w:pPr>
    </w:p>
    <w:p w14:paraId="2F073001">
      <w:pPr>
        <w:spacing w:line="312" w:lineRule="auto"/>
        <w:rPr>
          <w:rFonts w:ascii="Arial" w:hAnsi="Arial" w:eastAsia="宋体" w:cs="Arial"/>
          <w:b/>
          <w:color w:val="auto"/>
          <w:highlight w:val="none"/>
        </w:rPr>
      </w:pPr>
      <w:r>
        <w:rPr>
          <w:rFonts w:ascii="Arial" w:hAnsi="Arial" w:eastAsia="宋体" w:cs="Arial"/>
          <w:b/>
          <w:color w:val="auto"/>
          <w:highlight w:val="none"/>
        </w:rPr>
        <w:br w:type="page"/>
      </w:r>
    </w:p>
    <w:p w14:paraId="41C96D35">
      <w:pPr>
        <w:pStyle w:val="2"/>
        <w:snapToGrid w:val="0"/>
        <w:spacing w:before="0" w:after="0" w:line="312" w:lineRule="auto"/>
        <w:jc w:val="center"/>
        <w:rPr>
          <w:rFonts w:ascii="Arial" w:hAnsi="Arial" w:eastAsia="宋体" w:cs="Arial"/>
          <w:color w:val="auto"/>
          <w:szCs w:val="21"/>
          <w:highlight w:val="none"/>
        </w:rPr>
      </w:pPr>
      <w:bookmarkStart w:id="30" w:name="_Toc16632"/>
      <w:r>
        <w:rPr>
          <w:color w:val="auto"/>
          <w:highlight w:val="none"/>
        </w:rPr>
        <w:t>第四章  评审办法</w:t>
      </w:r>
      <w:bookmarkEnd w:id="29"/>
      <w:bookmarkEnd w:id="30"/>
    </w:p>
    <w:p w14:paraId="676F51BC">
      <w:pPr>
        <w:pStyle w:val="14"/>
        <w:snapToGrid w:val="0"/>
        <w:spacing w:after="0" w:line="312"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一、评审依据</w:t>
      </w:r>
    </w:p>
    <w:p w14:paraId="349F7E14">
      <w:pPr>
        <w:pStyle w:val="14"/>
        <w:snapToGrid w:val="0"/>
        <w:spacing w:after="0" w:line="312" w:lineRule="auto"/>
        <w:ind w:firstLine="420" w:firstLineChars="200"/>
        <w:rPr>
          <w:rFonts w:ascii="Arial" w:hAnsi="Arial" w:eastAsia="宋体" w:cs="Arial"/>
          <w:bCs/>
          <w:color w:val="auto"/>
          <w:highlight w:val="none"/>
        </w:rPr>
      </w:pPr>
      <w:r>
        <w:rPr>
          <w:rFonts w:ascii="Arial" w:hAnsi="Arial" w:eastAsia="宋体" w:cs="Arial"/>
          <w:bCs/>
          <w:color w:val="auto"/>
          <w:highlight w:val="none"/>
        </w:rPr>
        <w:t>1. 评审依据：谈判小组以谈判文件和响应文件为评审依据。</w:t>
      </w:r>
    </w:p>
    <w:p w14:paraId="65B48481">
      <w:pPr>
        <w:pStyle w:val="14"/>
        <w:snapToGrid w:val="0"/>
        <w:spacing w:after="0" w:line="312" w:lineRule="auto"/>
        <w:ind w:firstLine="420" w:firstLineChars="200"/>
        <w:rPr>
          <w:rFonts w:ascii="Arial" w:hAnsi="Arial" w:eastAsia="宋体" w:cs="Arial"/>
          <w:bCs/>
          <w:color w:val="auto"/>
          <w:highlight w:val="none"/>
        </w:rPr>
      </w:pPr>
      <w:r>
        <w:rPr>
          <w:rFonts w:ascii="Arial" w:hAnsi="Arial" w:eastAsia="宋体" w:cs="Arial"/>
          <w:bCs/>
          <w:color w:val="auto"/>
          <w:highlight w:val="none"/>
        </w:rPr>
        <w:t>2. 采购人和采购代理机构、竞争性谈判小组成员要严格遵守相关法律制度，依法履行各自职责，公正、客观、审慎地组织和参与评审工作。</w:t>
      </w:r>
    </w:p>
    <w:p w14:paraId="594C2E64">
      <w:pPr>
        <w:pStyle w:val="14"/>
        <w:snapToGrid w:val="0"/>
        <w:spacing w:after="0" w:line="312"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二、评审办法</w:t>
      </w:r>
    </w:p>
    <w:p w14:paraId="5A9C90E3">
      <w:pPr>
        <w:pStyle w:val="14"/>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1.谈判小组应当从质量和服务均能满足竞争性谈判文件全部实质性响应要求的供应商中，按照评审报价由低到高顺序提出3名以上（含3名）成交候选人。</w:t>
      </w:r>
    </w:p>
    <w:p w14:paraId="436F3725">
      <w:pPr>
        <w:pStyle w:val="14"/>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2.评审时，应当将通过资格性审查和符合性审查各供应商的评审报价，按照由低到高顺序排序；</w:t>
      </w:r>
    </w:p>
    <w:p w14:paraId="1CA368C0">
      <w:pPr>
        <w:pStyle w:val="14"/>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提供相同品牌产品的不同</w:t>
      </w:r>
      <w:r>
        <w:rPr>
          <w:rFonts w:hint="eastAsia" w:ascii="Arial" w:hAnsi="Arial" w:eastAsia="宋体" w:cs="Arial"/>
          <w:color w:val="auto"/>
          <w:szCs w:val="21"/>
          <w:highlight w:val="none"/>
        </w:rPr>
        <w:t>供应商</w:t>
      </w:r>
      <w:r>
        <w:rPr>
          <w:rFonts w:ascii="Arial" w:hAnsi="Arial" w:eastAsia="宋体" w:cs="Arial"/>
          <w:color w:val="auto"/>
          <w:szCs w:val="21"/>
          <w:highlight w:val="none"/>
        </w:rPr>
        <w:t>参加同一合同项下</w:t>
      </w:r>
      <w:r>
        <w:rPr>
          <w:rFonts w:hint="eastAsia" w:ascii="Arial" w:hAnsi="Arial" w:eastAsia="宋体" w:cs="Arial"/>
          <w:color w:val="auto"/>
          <w:szCs w:val="21"/>
          <w:highlight w:val="none"/>
        </w:rPr>
        <w:t>谈判</w:t>
      </w:r>
      <w:r>
        <w:rPr>
          <w:rFonts w:ascii="Arial" w:hAnsi="Arial" w:eastAsia="宋体" w:cs="Arial"/>
          <w:color w:val="auto"/>
          <w:szCs w:val="21"/>
          <w:highlight w:val="none"/>
        </w:rPr>
        <w:t>的，以其中通过资格审查、符合性审查</w:t>
      </w:r>
      <w:r>
        <w:rPr>
          <w:rFonts w:hint="eastAsia" w:ascii="Arial" w:hAnsi="Arial" w:eastAsia="宋体" w:cs="Arial"/>
          <w:color w:val="auto"/>
          <w:szCs w:val="21"/>
          <w:highlight w:val="none"/>
        </w:rPr>
        <w:t>、谈判</w:t>
      </w:r>
      <w:r>
        <w:rPr>
          <w:rFonts w:ascii="Arial" w:hAnsi="Arial" w:eastAsia="宋体" w:cs="Arial"/>
          <w:color w:val="auto"/>
          <w:szCs w:val="21"/>
          <w:highlight w:val="none"/>
        </w:rPr>
        <w:t>且</w:t>
      </w:r>
      <w:r>
        <w:rPr>
          <w:rFonts w:hint="eastAsia" w:ascii="Arial" w:hAnsi="Arial" w:eastAsia="宋体" w:cs="Arial"/>
          <w:color w:val="auto"/>
          <w:szCs w:val="21"/>
          <w:highlight w:val="none"/>
        </w:rPr>
        <w:t>最后</w:t>
      </w:r>
      <w:r>
        <w:rPr>
          <w:rFonts w:ascii="Arial" w:hAnsi="Arial" w:eastAsia="宋体" w:cs="Arial"/>
          <w:color w:val="auto"/>
          <w:szCs w:val="21"/>
          <w:highlight w:val="none"/>
        </w:rPr>
        <w:t>报价最低的参加</w:t>
      </w:r>
      <w:r>
        <w:rPr>
          <w:rFonts w:hint="eastAsia" w:ascii="Arial" w:hAnsi="Arial" w:eastAsia="宋体" w:cs="Arial"/>
          <w:color w:val="auto"/>
          <w:szCs w:val="21"/>
          <w:highlight w:val="none"/>
        </w:rPr>
        <w:t>报价</w:t>
      </w:r>
      <w:r>
        <w:rPr>
          <w:rFonts w:ascii="Arial" w:hAnsi="Arial" w:eastAsia="宋体" w:cs="Arial"/>
          <w:color w:val="auto"/>
          <w:szCs w:val="21"/>
          <w:highlight w:val="none"/>
        </w:rPr>
        <w:t>评审，</w:t>
      </w:r>
      <w:r>
        <w:rPr>
          <w:rFonts w:hint="eastAsia" w:ascii="Arial" w:hAnsi="Arial" w:eastAsia="宋体" w:cs="Arial"/>
          <w:color w:val="auto"/>
          <w:szCs w:val="21"/>
          <w:highlight w:val="none"/>
        </w:rPr>
        <w:t>最后</w:t>
      </w:r>
      <w:r>
        <w:rPr>
          <w:rFonts w:ascii="Arial" w:hAnsi="Arial" w:eastAsia="宋体" w:cs="Arial"/>
          <w:color w:val="auto"/>
          <w:szCs w:val="21"/>
          <w:highlight w:val="none"/>
        </w:rPr>
        <w:t>报价相同的，</w:t>
      </w:r>
      <w:r>
        <w:rPr>
          <w:rFonts w:hint="eastAsia" w:ascii="Arial" w:hAnsi="Arial" w:eastAsia="宋体" w:cs="Arial"/>
          <w:color w:val="auto"/>
          <w:szCs w:val="21"/>
          <w:highlight w:val="none"/>
        </w:rPr>
        <w:t>由采购人或者采购人委托谈判小组按照竞争性谈判文件规定的方式确定一个参加评审的供应商，竞争性谈判文件未规定的采取随机抽取方式确定，其他响应文件作无效处理。</w:t>
      </w:r>
    </w:p>
    <w:p w14:paraId="43F64D37">
      <w:pPr>
        <w:pStyle w:val="14"/>
        <w:snapToGrid w:val="0"/>
        <w:spacing w:after="0" w:line="312"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非单一产品采购项目，多家供应商提供的核心产品品牌相同的，按前款规定处理。</w:t>
      </w:r>
    </w:p>
    <w:p w14:paraId="5AFD0B0C">
      <w:pPr>
        <w:pStyle w:val="14"/>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除以上情况外，当评审报价相同时，以最后报价低的优先排序；当最后报价相同时，则依次按节能环保产品优先、技术指标高优先、售后服务优先原则排序。</w:t>
      </w:r>
    </w:p>
    <w:p w14:paraId="389DC3EB">
      <w:pPr>
        <w:pStyle w:val="14"/>
        <w:snapToGrid w:val="0"/>
        <w:spacing w:after="0" w:line="312"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3.评审报价为供应商的最后报价进行政策性扣除后的价格，评审报价只是作为评审时使用。最终成交供应商的成交金额等于最后报价。</w:t>
      </w:r>
    </w:p>
    <w:p w14:paraId="1771F22E">
      <w:pPr>
        <w:pStyle w:val="14"/>
        <w:snapToGrid w:val="0"/>
        <w:spacing w:after="0" w:line="312"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4.政策性扣除计算方法：</w:t>
      </w:r>
    </w:p>
    <w:p w14:paraId="09648018">
      <w:pPr>
        <w:pStyle w:val="14"/>
        <w:snapToGrid w:val="0"/>
        <w:spacing w:after="0" w:line="312"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1）根据《政府采购促进中小企业发展管理办法》（财库〔2020〕46号）规定，供应商在其响应文件中提供《中小企业声明函》，且其投标全部货物由小微企业制造的，对其最后报价给予10%的扣除，用扣除后的价格参加评审，扣除后的价格为评审报价，即评审报价=最后报价×（1-10%）。</w:t>
      </w:r>
    </w:p>
    <w:p w14:paraId="6F92C0BA">
      <w:pPr>
        <w:pStyle w:val="14"/>
        <w:snapToGrid w:val="0"/>
        <w:spacing w:after="0" w:line="312"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2）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监狱企业属于小型、微型企业的，不重复享受政策。</w:t>
      </w:r>
    </w:p>
    <w:p w14:paraId="6BF89F9F">
      <w:pPr>
        <w:pStyle w:val="14"/>
        <w:snapToGrid w:val="0"/>
        <w:spacing w:after="0" w:line="312"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3）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14:paraId="3C1080F0">
      <w:pPr>
        <w:pStyle w:val="14"/>
        <w:snapToGrid w:val="0"/>
        <w:spacing w:after="0" w:line="312"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（4）除上述情况外，评审报价=最后报价。</w:t>
      </w:r>
    </w:p>
    <w:p w14:paraId="602F397F">
      <w:pPr>
        <w:pStyle w:val="14"/>
        <w:snapToGrid w:val="0"/>
        <w:spacing w:after="0" w:line="312"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三、成交候选人确定原则</w:t>
      </w:r>
    </w:p>
    <w:p w14:paraId="0EBDB3D4">
      <w:pPr>
        <w:pStyle w:val="14"/>
        <w:tabs>
          <w:tab w:val="left" w:pos="4214"/>
        </w:tabs>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（1）采购单位应当确定谈判小组推荐排名第一的成交候选人为成交供应商。</w:t>
      </w:r>
    </w:p>
    <w:p w14:paraId="1EA874B4">
      <w:pPr>
        <w:pStyle w:val="14"/>
        <w:snapToGrid w:val="0"/>
        <w:spacing w:after="0" w:line="312" w:lineRule="auto"/>
        <w:ind w:firstLine="447" w:firstLineChars="213"/>
        <w:rPr>
          <w:rFonts w:ascii="Arial" w:hAnsi="Arial" w:eastAsia="宋体" w:cs="Arial"/>
          <w:color w:val="auto"/>
          <w:szCs w:val="21"/>
          <w:highlight w:val="none"/>
        </w:rPr>
      </w:pPr>
      <w:r>
        <w:rPr>
          <w:rFonts w:ascii="Arial" w:hAnsi="Arial" w:eastAsia="宋体" w:cs="Arial"/>
          <w:color w:val="auto"/>
          <w:szCs w:val="21"/>
          <w:highlight w:val="none"/>
        </w:rPr>
        <w:t>（2）排名第一的成交候选人放弃成交、因不可抗力提出不能履行合同，或因失信行为被取消成交候选人资格的，采购单位可以确定排名第二的成交候选人为成交供应商。</w:t>
      </w:r>
    </w:p>
    <w:p w14:paraId="3F91E912">
      <w:pPr>
        <w:pStyle w:val="14"/>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（3）排名第二的成交候选人因前款规定的同样原因不能签订合同的，采购单位可以确定排名第三的成交候选人为成交供应商。</w:t>
      </w:r>
    </w:p>
    <w:p w14:paraId="5BA71C8C">
      <w:pPr>
        <w:pStyle w:val="2"/>
        <w:spacing w:line="312" w:lineRule="auto"/>
        <w:jc w:val="center"/>
        <w:rPr>
          <w:rFonts w:ascii="Arial" w:hAnsi="Arial" w:eastAsia="宋体" w:cs="Arial"/>
          <w:color w:val="auto"/>
          <w:highlight w:val="none"/>
        </w:rPr>
      </w:pPr>
      <w:r>
        <w:rPr>
          <w:rFonts w:ascii="Arial" w:hAnsi="Arial" w:eastAsia="宋体" w:cs="Arial"/>
          <w:b w:val="0"/>
          <w:color w:val="auto"/>
          <w:highlight w:val="none"/>
        </w:rPr>
        <w:br w:type="page"/>
      </w:r>
      <w:bookmarkStart w:id="31" w:name="_Toc7117"/>
      <w:bookmarkStart w:id="32" w:name="_Toc16567"/>
      <w:r>
        <w:rPr>
          <w:rFonts w:ascii="Arial" w:hAnsi="Arial" w:eastAsia="宋体" w:cs="Arial"/>
          <w:bCs w:val="0"/>
          <w:color w:val="auto"/>
          <w:highlight w:val="none"/>
        </w:rPr>
        <w:t>第五章  采购合同（合同主要条款及格式）</w:t>
      </w:r>
      <w:bookmarkEnd w:id="31"/>
      <w:bookmarkEnd w:id="32"/>
    </w:p>
    <w:p w14:paraId="34FF0BDD">
      <w:pPr>
        <w:snapToGrid w:val="0"/>
        <w:spacing w:line="312" w:lineRule="auto"/>
        <w:ind w:right="480" w:firstLine="6720" w:firstLineChars="3200"/>
        <w:rPr>
          <w:rFonts w:ascii="Arial" w:hAnsi="Arial" w:eastAsia="宋体" w:cs="Arial"/>
          <w:bCs/>
          <w:color w:val="auto"/>
          <w:szCs w:val="21"/>
          <w:highlight w:val="none"/>
          <w:u w:val="single"/>
        </w:rPr>
      </w:pPr>
      <w:r>
        <w:rPr>
          <w:rFonts w:ascii="Arial" w:hAnsi="Arial" w:eastAsia="宋体" w:cs="Arial"/>
          <w:bCs/>
          <w:color w:val="auto"/>
          <w:szCs w:val="21"/>
          <w:highlight w:val="none"/>
        </w:rPr>
        <w:t>合同编号：</w:t>
      </w:r>
      <w:r>
        <w:rPr>
          <w:rFonts w:ascii="Arial" w:hAnsi="Arial" w:eastAsia="宋体" w:cs="Arial"/>
          <w:bCs/>
          <w:color w:val="auto"/>
          <w:szCs w:val="21"/>
          <w:highlight w:val="none"/>
          <w:u w:val="single"/>
        </w:rPr>
        <w:t xml:space="preserve">          </w:t>
      </w:r>
    </w:p>
    <w:p w14:paraId="3776F16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采购人（甲方）:</w:t>
      </w:r>
      <w:r>
        <w:rPr>
          <w:rFonts w:ascii="Arial" w:hAnsi="Arial" w:eastAsia="宋体" w:cs="Arial"/>
          <w:color w:val="auto"/>
          <w:szCs w:val="21"/>
          <w:highlight w:val="none"/>
          <w:u w:val="single"/>
        </w:rPr>
        <w:t xml:space="preserve">桂林理工大学      </w:t>
      </w:r>
      <w:r>
        <w:rPr>
          <w:rFonts w:ascii="Arial" w:hAnsi="Arial" w:eastAsia="宋体" w:cs="Arial"/>
          <w:color w:val="auto"/>
          <w:szCs w:val="21"/>
          <w:highlight w:val="none"/>
        </w:rPr>
        <w:t xml:space="preserve">               </w:t>
      </w:r>
    </w:p>
    <w:p w14:paraId="6918E220">
      <w:pPr>
        <w:snapToGrid w:val="0"/>
        <w:spacing w:after="0" w:line="312" w:lineRule="auto"/>
        <w:rPr>
          <w:rFonts w:ascii="Arial" w:hAnsi="Arial" w:eastAsia="宋体" w:cs="Arial"/>
          <w:color w:val="auto"/>
          <w:szCs w:val="21"/>
          <w:highlight w:val="none"/>
          <w:u w:val="single"/>
        </w:rPr>
      </w:pPr>
      <w:r>
        <w:rPr>
          <w:rFonts w:ascii="Arial" w:hAnsi="Arial" w:eastAsia="宋体" w:cs="Arial"/>
          <w:color w:val="auto"/>
          <w:szCs w:val="21"/>
          <w:highlight w:val="none"/>
        </w:rPr>
        <w:t>供应商（乙方）:</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 xml:space="preserve">               项目编号:</w:t>
      </w:r>
      <w:r>
        <w:rPr>
          <w:rFonts w:ascii="Arial" w:hAnsi="Arial" w:eastAsia="宋体" w:cs="Arial"/>
          <w:color w:val="auto"/>
          <w:szCs w:val="21"/>
          <w:highlight w:val="none"/>
          <w:u w:val="single"/>
        </w:rPr>
        <w:t xml:space="preserve">                </w:t>
      </w:r>
    </w:p>
    <w:p w14:paraId="7AA7C54E">
      <w:pPr>
        <w:snapToGrid w:val="0"/>
        <w:spacing w:after="0" w:line="312" w:lineRule="auto"/>
        <w:rPr>
          <w:rFonts w:ascii="Arial" w:hAnsi="Arial" w:eastAsia="宋体" w:cs="Arial"/>
          <w:color w:val="auto"/>
          <w:szCs w:val="21"/>
          <w:highlight w:val="none"/>
          <w:u w:val="single"/>
        </w:rPr>
      </w:pPr>
      <w:r>
        <w:rPr>
          <w:rFonts w:ascii="Arial" w:hAnsi="Arial" w:eastAsia="宋体" w:cs="Arial"/>
          <w:color w:val="auto"/>
          <w:szCs w:val="21"/>
          <w:highlight w:val="none"/>
        </w:rPr>
        <w:t>签订地点:</w:t>
      </w:r>
      <w:r>
        <w:rPr>
          <w:rFonts w:ascii="Arial" w:hAnsi="Arial" w:eastAsia="宋体" w:cs="Arial"/>
          <w:color w:val="auto"/>
          <w:szCs w:val="21"/>
          <w:highlight w:val="none"/>
          <w:u w:val="single"/>
        </w:rPr>
        <w:t xml:space="preserve">  广西桂林              </w:t>
      </w:r>
      <w:r>
        <w:rPr>
          <w:rFonts w:ascii="Arial" w:hAnsi="Arial" w:eastAsia="宋体" w:cs="Arial"/>
          <w:color w:val="auto"/>
          <w:szCs w:val="21"/>
          <w:highlight w:val="none"/>
        </w:rPr>
        <w:t xml:space="preserve">               签订时间:</w:t>
      </w:r>
      <w:r>
        <w:rPr>
          <w:rFonts w:ascii="Arial" w:hAnsi="Arial" w:eastAsia="宋体" w:cs="Arial"/>
          <w:color w:val="auto"/>
          <w:szCs w:val="21"/>
          <w:highlight w:val="none"/>
          <w:u w:val="single"/>
        </w:rPr>
        <w:t xml:space="preserve">                </w:t>
      </w:r>
    </w:p>
    <w:p w14:paraId="11493FD1">
      <w:pPr>
        <w:snapToGrid w:val="0"/>
        <w:spacing w:after="0"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根据《中华人民共和国政府采购法》、</w:t>
      </w:r>
      <w:r>
        <w:rPr>
          <w:rFonts w:ascii="Arial" w:hAnsi="Arial" w:eastAsia="宋体" w:cs="Arial"/>
          <w:color w:val="auto"/>
          <w:highlight w:val="none"/>
        </w:rPr>
        <w:t>《中华人民共和国政府采购法实施条例》、</w:t>
      </w:r>
      <w:r>
        <w:rPr>
          <w:rFonts w:ascii="Arial" w:hAnsi="Arial" w:eastAsia="宋体" w:cs="Arial"/>
          <w:color w:val="auto"/>
          <w:szCs w:val="21"/>
          <w:highlight w:val="none"/>
        </w:rPr>
        <w:t>《</w:t>
      </w:r>
      <w:r>
        <w:rPr>
          <w:rFonts w:ascii="Arial" w:hAnsi="Arial" w:eastAsia="宋体" w:cs="Arial"/>
          <w:color w:val="auto"/>
          <w:szCs w:val="21"/>
          <w:highlight w:val="none"/>
          <w:shd w:val="clear" w:color="auto" w:fill="FFFFFF"/>
        </w:rPr>
        <w:t>中华人民共和国民法典</w:t>
      </w:r>
      <w:r>
        <w:rPr>
          <w:rFonts w:ascii="Arial" w:hAnsi="Arial" w:eastAsia="宋体" w:cs="Arial"/>
          <w:color w:val="auto"/>
          <w:szCs w:val="21"/>
          <w:highlight w:val="none"/>
        </w:rPr>
        <w:t>》等法律、法规规定，甲乙双方签订本合同。</w:t>
      </w:r>
    </w:p>
    <w:p w14:paraId="4221FFC8">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第一条　合同标的</w:t>
      </w:r>
    </w:p>
    <w:p w14:paraId="2D5E60B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1.供货一览表</w:t>
      </w:r>
    </w:p>
    <w:tbl>
      <w:tblPr>
        <w:tblStyle w:val="24"/>
        <w:tblW w:w="970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701"/>
        <w:gridCol w:w="992"/>
        <w:gridCol w:w="1134"/>
        <w:gridCol w:w="851"/>
        <w:gridCol w:w="708"/>
        <w:gridCol w:w="709"/>
        <w:gridCol w:w="1016"/>
        <w:gridCol w:w="1564"/>
      </w:tblGrid>
      <w:tr w14:paraId="06710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1031" w:type="dxa"/>
            <w:vAlign w:val="center"/>
          </w:tcPr>
          <w:p w14:paraId="18B21EA2">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项号</w:t>
            </w:r>
          </w:p>
        </w:tc>
        <w:tc>
          <w:tcPr>
            <w:tcW w:w="1701" w:type="dxa"/>
            <w:vAlign w:val="center"/>
          </w:tcPr>
          <w:p w14:paraId="044DFCE1">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货物名称</w:t>
            </w:r>
          </w:p>
        </w:tc>
        <w:tc>
          <w:tcPr>
            <w:tcW w:w="992" w:type="dxa"/>
            <w:vAlign w:val="center"/>
          </w:tcPr>
          <w:p w14:paraId="3EEAF6EA">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30"/>
                <w:highlight w:val="none"/>
              </w:rPr>
              <w:t>厂家、品牌</w:t>
            </w:r>
          </w:p>
        </w:tc>
        <w:tc>
          <w:tcPr>
            <w:tcW w:w="1134" w:type="dxa"/>
            <w:vAlign w:val="center"/>
          </w:tcPr>
          <w:p w14:paraId="570F4B2B">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30"/>
                <w:highlight w:val="none"/>
              </w:rPr>
              <w:t>规格型号</w:t>
            </w:r>
          </w:p>
        </w:tc>
        <w:tc>
          <w:tcPr>
            <w:tcW w:w="851" w:type="dxa"/>
            <w:vAlign w:val="center"/>
          </w:tcPr>
          <w:p w14:paraId="00C39A80">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技术参数</w:t>
            </w:r>
          </w:p>
        </w:tc>
        <w:tc>
          <w:tcPr>
            <w:tcW w:w="708" w:type="dxa"/>
            <w:vAlign w:val="center"/>
          </w:tcPr>
          <w:p w14:paraId="6B0AC6DC">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数量</w:t>
            </w:r>
          </w:p>
          <w:p w14:paraId="177BE621">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①</w:t>
            </w:r>
          </w:p>
        </w:tc>
        <w:tc>
          <w:tcPr>
            <w:tcW w:w="709" w:type="dxa"/>
            <w:vAlign w:val="center"/>
          </w:tcPr>
          <w:p w14:paraId="073836EA">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单位</w:t>
            </w:r>
          </w:p>
        </w:tc>
        <w:tc>
          <w:tcPr>
            <w:tcW w:w="1016" w:type="dxa"/>
            <w:vAlign w:val="center"/>
          </w:tcPr>
          <w:p w14:paraId="129F67F5">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单价（元）</w:t>
            </w:r>
          </w:p>
          <w:p w14:paraId="0863D748">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②</w:t>
            </w:r>
          </w:p>
        </w:tc>
        <w:tc>
          <w:tcPr>
            <w:tcW w:w="1564" w:type="dxa"/>
            <w:vAlign w:val="center"/>
          </w:tcPr>
          <w:p w14:paraId="79469E40">
            <w:pPr>
              <w:snapToGrid w:val="0"/>
              <w:spacing w:after="0" w:line="312" w:lineRule="auto"/>
              <w:jc w:val="center"/>
              <w:rPr>
                <w:rFonts w:ascii="Arial" w:hAnsi="Arial" w:eastAsia="宋体" w:cs="Arial"/>
                <w:color w:val="auto"/>
                <w:szCs w:val="21"/>
                <w:highlight w:val="none"/>
              </w:rPr>
            </w:pPr>
            <w:r>
              <w:rPr>
                <w:rFonts w:ascii="Arial" w:hAnsi="Arial" w:eastAsia="宋体" w:cs="Arial"/>
                <w:b/>
                <w:color w:val="auto"/>
                <w:szCs w:val="21"/>
                <w:highlight w:val="none"/>
              </w:rPr>
              <w:t>单项合计金额</w:t>
            </w:r>
            <w:r>
              <w:rPr>
                <w:rFonts w:ascii="Arial" w:hAnsi="Arial" w:eastAsia="宋体" w:cs="Arial"/>
                <w:color w:val="auto"/>
                <w:szCs w:val="21"/>
                <w:highlight w:val="none"/>
              </w:rPr>
              <w:t>（元）</w:t>
            </w:r>
          </w:p>
          <w:p w14:paraId="2531E6D3">
            <w:pPr>
              <w:snapToGrid w:val="0"/>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③＝①×②</w:t>
            </w:r>
          </w:p>
        </w:tc>
      </w:tr>
      <w:tr w14:paraId="7850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14:paraId="38B125D8">
            <w:pPr>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1701" w:type="dxa"/>
            <w:vAlign w:val="center"/>
          </w:tcPr>
          <w:p w14:paraId="7F059B84">
            <w:pPr>
              <w:spacing w:after="0" w:line="312" w:lineRule="auto"/>
              <w:jc w:val="center"/>
              <w:rPr>
                <w:rFonts w:ascii="Arial" w:hAnsi="Arial" w:eastAsia="宋体" w:cs="Arial"/>
                <w:color w:val="auto"/>
                <w:szCs w:val="21"/>
                <w:highlight w:val="none"/>
              </w:rPr>
            </w:pPr>
          </w:p>
        </w:tc>
        <w:tc>
          <w:tcPr>
            <w:tcW w:w="992" w:type="dxa"/>
            <w:vAlign w:val="center"/>
          </w:tcPr>
          <w:p w14:paraId="152C252C">
            <w:pPr>
              <w:snapToGrid w:val="0"/>
              <w:spacing w:after="0" w:line="312" w:lineRule="auto"/>
              <w:rPr>
                <w:rFonts w:ascii="Arial" w:hAnsi="Arial" w:eastAsia="宋体" w:cs="Arial"/>
                <w:color w:val="auto"/>
                <w:szCs w:val="21"/>
                <w:highlight w:val="none"/>
              </w:rPr>
            </w:pPr>
          </w:p>
        </w:tc>
        <w:tc>
          <w:tcPr>
            <w:tcW w:w="1134" w:type="dxa"/>
            <w:vAlign w:val="center"/>
          </w:tcPr>
          <w:p w14:paraId="599AB32B">
            <w:pPr>
              <w:snapToGrid w:val="0"/>
              <w:spacing w:after="0" w:line="312" w:lineRule="auto"/>
              <w:rPr>
                <w:rFonts w:ascii="Arial" w:hAnsi="Arial" w:eastAsia="宋体" w:cs="Arial"/>
                <w:color w:val="auto"/>
                <w:szCs w:val="21"/>
                <w:highlight w:val="none"/>
              </w:rPr>
            </w:pPr>
          </w:p>
        </w:tc>
        <w:tc>
          <w:tcPr>
            <w:tcW w:w="851" w:type="dxa"/>
            <w:vAlign w:val="center"/>
          </w:tcPr>
          <w:p w14:paraId="1ED85C94">
            <w:pPr>
              <w:snapToGrid w:val="0"/>
              <w:spacing w:after="0" w:line="312" w:lineRule="auto"/>
              <w:rPr>
                <w:rFonts w:ascii="Arial" w:hAnsi="Arial" w:eastAsia="宋体" w:cs="Arial"/>
                <w:color w:val="auto"/>
                <w:szCs w:val="21"/>
                <w:highlight w:val="none"/>
              </w:rPr>
            </w:pPr>
          </w:p>
        </w:tc>
        <w:tc>
          <w:tcPr>
            <w:tcW w:w="708" w:type="dxa"/>
            <w:vAlign w:val="center"/>
          </w:tcPr>
          <w:p w14:paraId="6D645914">
            <w:pPr>
              <w:spacing w:after="0" w:line="312" w:lineRule="auto"/>
              <w:jc w:val="center"/>
              <w:rPr>
                <w:rFonts w:ascii="Arial" w:hAnsi="Arial" w:eastAsia="宋体" w:cs="Arial"/>
                <w:color w:val="auto"/>
                <w:szCs w:val="21"/>
                <w:highlight w:val="none"/>
              </w:rPr>
            </w:pPr>
          </w:p>
        </w:tc>
        <w:tc>
          <w:tcPr>
            <w:tcW w:w="709" w:type="dxa"/>
            <w:vAlign w:val="center"/>
          </w:tcPr>
          <w:p w14:paraId="3DBA40C3">
            <w:pPr>
              <w:spacing w:after="0" w:line="312" w:lineRule="auto"/>
              <w:jc w:val="center"/>
              <w:rPr>
                <w:rFonts w:ascii="Arial" w:hAnsi="Arial" w:eastAsia="宋体" w:cs="Arial"/>
                <w:color w:val="auto"/>
                <w:szCs w:val="21"/>
                <w:highlight w:val="none"/>
              </w:rPr>
            </w:pPr>
          </w:p>
        </w:tc>
        <w:tc>
          <w:tcPr>
            <w:tcW w:w="1016" w:type="dxa"/>
            <w:vAlign w:val="center"/>
          </w:tcPr>
          <w:p w14:paraId="2D535348">
            <w:pPr>
              <w:snapToGrid w:val="0"/>
              <w:spacing w:after="0" w:line="312" w:lineRule="auto"/>
              <w:rPr>
                <w:rFonts w:ascii="Arial" w:hAnsi="Arial" w:eastAsia="宋体" w:cs="Arial"/>
                <w:color w:val="auto"/>
                <w:szCs w:val="21"/>
                <w:highlight w:val="none"/>
              </w:rPr>
            </w:pPr>
          </w:p>
        </w:tc>
        <w:tc>
          <w:tcPr>
            <w:tcW w:w="1564" w:type="dxa"/>
            <w:vAlign w:val="center"/>
          </w:tcPr>
          <w:p w14:paraId="70AEADD8">
            <w:pPr>
              <w:snapToGrid w:val="0"/>
              <w:spacing w:after="0" w:line="312" w:lineRule="auto"/>
              <w:rPr>
                <w:rFonts w:ascii="Arial" w:hAnsi="Arial" w:eastAsia="宋体" w:cs="Arial"/>
                <w:color w:val="auto"/>
                <w:szCs w:val="21"/>
                <w:highlight w:val="none"/>
              </w:rPr>
            </w:pPr>
          </w:p>
        </w:tc>
      </w:tr>
      <w:tr w14:paraId="33FAE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14:paraId="39324AB2">
            <w:pPr>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1701" w:type="dxa"/>
            <w:vAlign w:val="center"/>
          </w:tcPr>
          <w:p w14:paraId="59686BA6">
            <w:pPr>
              <w:spacing w:after="0" w:line="312" w:lineRule="auto"/>
              <w:jc w:val="center"/>
              <w:rPr>
                <w:rFonts w:ascii="Arial" w:hAnsi="Arial" w:eastAsia="宋体" w:cs="Arial"/>
                <w:color w:val="auto"/>
                <w:szCs w:val="21"/>
                <w:highlight w:val="none"/>
              </w:rPr>
            </w:pPr>
          </w:p>
        </w:tc>
        <w:tc>
          <w:tcPr>
            <w:tcW w:w="992" w:type="dxa"/>
            <w:vAlign w:val="center"/>
          </w:tcPr>
          <w:p w14:paraId="15F6A91B">
            <w:pPr>
              <w:snapToGrid w:val="0"/>
              <w:spacing w:after="0" w:line="312" w:lineRule="auto"/>
              <w:rPr>
                <w:rFonts w:ascii="Arial" w:hAnsi="Arial" w:eastAsia="宋体" w:cs="Arial"/>
                <w:color w:val="auto"/>
                <w:szCs w:val="21"/>
                <w:highlight w:val="none"/>
              </w:rPr>
            </w:pPr>
          </w:p>
        </w:tc>
        <w:tc>
          <w:tcPr>
            <w:tcW w:w="1134" w:type="dxa"/>
            <w:vAlign w:val="center"/>
          </w:tcPr>
          <w:p w14:paraId="32C23691">
            <w:pPr>
              <w:snapToGrid w:val="0"/>
              <w:spacing w:after="0" w:line="312" w:lineRule="auto"/>
              <w:rPr>
                <w:rFonts w:ascii="Arial" w:hAnsi="Arial" w:eastAsia="宋体" w:cs="Arial"/>
                <w:color w:val="auto"/>
                <w:szCs w:val="21"/>
                <w:highlight w:val="none"/>
              </w:rPr>
            </w:pPr>
          </w:p>
        </w:tc>
        <w:tc>
          <w:tcPr>
            <w:tcW w:w="851" w:type="dxa"/>
            <w:vAlign w:val="center"/>
          </w:tcPr>
          <w:p w14:paraId="5FB436A2">
            <w:pPr>
              <w:snapToGrid w:val="0"/>
              <w:spacing w:after="0" w:line="312" w:lineRule="auto"/>
              <w:rPr>
                <w:rFonts w:ascii="Arial" w:hAnsi="Arial" w:eastAsia="宋体" w:cs="Arial"/>
                <w:color w:val="auto"/>
                <w:szCs w:val="21"/>
                <w:highlight w:val="none"/>
              </w:rPr>
            </w:pPr>
          </w:p>
        </w:tc>
        <w:tc>
          <w:tcPr>
            <w:tcW w:w="708" w:type="dxa"/>
            <w:vAlign w:val="center"/>
          </w:tcPr>
          <w:p w14:paraId="1FA0DC84">
            <w:pPr>
              <w:spacing w:after="0" w:line="312" w:lineRule="auto"/>
              <w:jc w:val="center"/>
              <w:rPr>
                <w:rFonts w:ascii="Arial" w:hAnsi="Arial" w:eastAsia="宋体" w:cs="Arial"/>
                <w:color w:val="auto"/>
                <w:szCs w:val="21"/>
                <w:highlight w:val="none"/>
              </w:rPr>
            </w:pPr>
          </w:p>
        </w:tc>
        <w:tc>
          <w:tcPr>
            <w:tcW w:w="709" w:type="dxa"/>
            <w:vAlign w:val="center"/>
          </w:tcPr>
          <w:p w14:paraId="79386A7F">
            <w:pPr>
              <w:spacing w:after="0" w:line="312" w:lineRule="auto"/>
              <w:jc w:val="center"/>
              <w:rPr>
                <w:rFonts w:ascii="Arial" w:hAnsi="Arial" w:eastAsia="宋体" w:cs="Arial"/>
                <w:color w:val="auto"/>
                <w:szCs w:val="21"/>
                <w:highlight w:val="none"/>
              </w:rPr>
            </w:pPr>
          </w:p>
        </w:tc>
        <w:tc>
          <w:tcPr>
            <w:tcW w:w="1016" w:type="dxa"/>
            <w:vAlign w:val="center"/>
          </w:tcPr>
          <w:p w14:paraId="045A9356">
            <w:pPr>
              <w:snapToGrid w:val="0"/>
              <w:spacing w:after="0" w:line="312" w:lineRule="auto"/>
              <w:rPr>
                <w:rFonts w:ascii="Arial" w:hAnsi="Arial" w:eastAsia="宋体" w:cs="Arial"/>
                <w:color w:val="auto"/>
                <w:szCs w:val="21"/>
                <w:highlight w:val="none"/>
              </w:rPr>
            </w:pPr>
          </w:p>
        </w:tc>
        <w:tc>
          <w:tcPr>
            <w:tcW w:w="1564" w:type="dxa"/>
            <w:vAlign w:val="center"/>
          </w:tcPr>
          <w:p w14:paraId="21D2EDD6">
            <w:pPr>
              <w:snapToGrid w:val="0"/>
              <w:spacing w:after="0" w:line="312" w:lineRule="auto"/>
              <w:rPr>
                <w:rFonts w:ascii="Arial" w:hAnsi="Arial" w:eastAsia="宋体" w:cs="Arial"/>
                <w:color w:val="auto"/>
                <w:szCs w:val="21"/>
                <w:highlight w:val="none"/>
              </w:rPr>
            </w:pPr>
          </w:p>
        </w:tc>
      </w:tr>
      <w:tr w14:paraId="45CB7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14:paraId="3BC6E986">
            <w:pPr>
              <w:widowControl/>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1701" w:type="dxa"/>
            <w:vAlign w:val="center"/>
          </w:tcPr>
          <w:p w14:paraId="58F98535">
            <w:pPr>
              <w:widowControl/>
              <w:spacing w:after="0" w:line="312" w:lineRule="auto"/>
              <w:jc w:val="center"/>
              <w:textAlignment w:val="center"/>
              <w:rPr>
                <w:rFonts w:ascii="Arial" w:hAnsi="Arial" w:eastAsia="宋体" w:cs="Arial"/>
                <w:color w:val="auto"/>
                <w:szCs w:val="21"/>
                <w:highlight w:val="none"/>
              </w:rPr>
            </w:pPr>
          </w:p>
        </w:tc>
        <w:tc>
          <w:tcPr>
            <w:tcW w:w="992" w:type="dxa"/>
            <w:vAlign w:val="center"/>
          </w:tcPr>
          <w:p w14:paraId="77781FB0">
            <w:pPr>
              <w:snapToGrid w:val="0"/>
              <w:spacing w:after="0" w:line="312" w:lineRule="auto"/>
              <w:rPr>
                <w:rFonts w:ascii="Arial" w:hAnsi="Arial" w:eastAsia="宋体" w:cs="Arial"/>
                <w:color w:val="auto"/>
                <w:szCs w:val="21"/>
                <w:highlight w:val="none"/>
              </w:rPr>
            </w:pPr>
          </w:p>
        </w:tc>
        <w:tc>
          <w:tcPr>
            <w:tcW w:w="1134" w:type="dxa"/>
            <w:vAlign w:val="center"/>
          </w:tcPr>
          <w:p w14:paraId="5664902F">
            <w:pPr>
              <w:snapToGrid w:val="0"/>
              <w:spacing w:after="0" w:line="312" w:lineRule="auto"/>
              <w:rPr>
                <w:rFonts w:ascii="Arial" w:hAnsi="Arial" w:eastAsia="宋体" w:cs="Arial"/>
                <w:color w:val="auto"/>
                <w:szCs w:val="21"/>
                <w:highlight w:val="none"/>
              </w:rPr>
            </w:pPr>
          </w:p>
        </w:tc>
        <w:tc>
          <w:tcPr>
            <w:tcW w:w="851" w:type="dxa"/>
            <w:vAlign w:val="center"/>
          </w:tcPr>
          <w:p w14:paraId="6AFC2E9E">
            <w:pPr>
              <w:snapToGrid w:val="0"/>
              <w:spacing w:after="0" w:line="312" w:lineRule="auto"/>
              <w:rPr>
                <w:rFonts w:ascii="Arial" w:hAnsi="Arial" w:eastAsia="宋体" w:cs="Arial"/>
                <w:color w:val="auto"/>
                <w:szCs w:val="21"/>
                <w:highlight w:val="none"/>
              </w:rPr>
            </w:pPr>
          </w:p>
        </w:tc>
        <w:tc>
          <w:tcPr>
            <w:tcW w:w="708" w:type="dxa"/>
            <w:vAlign w:val="center"/>
          </w:tcPr>
          <w:p w14:paraId="6795518A">
            <w:pPr>
              <w:spacing w:after="0" w:line="312" w:lineRule="auto"/>
              <w:jc w:val="center"/>
              <w:rPr>
                <w:rFonts w:ascii="Arial" w:hAnsi="Arial" w:eastAsia="宋体" w:cs="Arial"/>
                <w:color w:val="auto"/>
                <w:szCs w:val="21"/>
                <w:highlight w:val="none"/>
              </w:rPr>
            </w:pPr>
          </w:p>
        </w:tc>
        <w:tc>
          <w:tcPr>
            <w:tcW w:w="709" w:type="dxa"/>
            <w:vAlign w:val="center"/>
          </w:tcPr>
          <w:p w14:paraId="66661BEF">
            <w:pPr>
              <w:spacing w:after="0" w:line="312" w:lineRule="auto"/>
              <w:jc w:val="center"/>
              <w:rPr>
                <w:rFonts w:ascii="Arial" w:hAnsi="Arial" w:eastAsia="宋体" w:cs="Arial"/>
                <w:color w:val="auto"/>
                <w:szCs w:val="21"/>
                <w:highlight w:val="none"/>
              </w:rPr>
            </w:pPr>
          </w:p>
        </w:tc>
        <w:tc>
          <w:tcPr>
            <w:tcW w:w="1016" w:type="dxa"/>
            <w:vAlign w:val="center"/>
          </w:tcPr>
          <w:p w14:paraId="764A82E0">
            <w:pPr>
              <w:snapToGrid w:val="0"/>
              <w:spacing w:after="0" w:line="312" w:lineRule="auto"/>
              <w:rPr>
                <w:rFonts w:ascii="Arial" w:hAnsi="Arial" w:eastAsia="宋体" w:cs="Arial"/>
                <w:color w:val="auto"/>
                <w:szCs w:val="21"/>
                <w:highlight w:val="none"/>
              </w:rPr>
            </w:pPr>
          </w:p>
        </w:tc>
        <w:tc>
          <w:tcPr>
            <w:tcW w:w="1564" w:type="dxa"/>
            <w:vAlign w:val="center"/>
          </w:tcPr>
          <w:p w14:paraId="238BD086">
            <w:pPr>
              <w:snapToGrid w:val="0"/>
              <w:spacing w:after="0" w:line="312" w:lineRule="auto"/>
              <w:rPr>
                <w:rFonts w:ascii="Arial" w:hAnsi="Arial" w:eastAsia="宋体" w:cs="Arial"/>
                <w:color w:val="auto"/>
                <w:szCs w:val="21"/>
                <w:highlight w:val="none"/>
              </w:rPr>
            </w:pPr>
          </w:p>
        </w:tc>
      </w:tr>
      <w:tr w14:paraId="41E2E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9706" w:type="dxa"/>
            <w:gridSpan w:val="9"/>
            <w:vAlign w:val="center"/>
          </w:tcPr>
          <w:p w14:paraId="2979D4BC">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 xml:space="preserve">（合计金额）大写：                  </w:t>
            </w:r>
            <w:r>
              <w:rPr>
                <w:rFonts w:ascii="Arial" w:hAnsi="Arial" w:eastAsia="宋体" w:cs="Arial"/>
                <w:color w:val="auto"/>
                <w:spacing w:val="20"/>
                <w:szCs w:val="21"/>
                <w:highlight w:val="none"/>
              </w:rPr>
              <w:t>人民币（¥               ）</w:t>
            </w:r>
          </w:p>
        </w:tc>
      </w:tr>
    </w:tbl>
    <w:p w14:paraId="39A1E515">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2.</w:t>
      </w:r>
      <w:r>
        <w:rPr>
          <w:rFonts w:ascii="Arial" w:hAnsi="Arial" w:eastAsia="宋体" w:cs="Arial"/>
          <w:color w:val="auto"/>
          <w:highlight w:val="none"/>
        </w:rPr>
        <w:t>合同合计金额包括：</w:t>
      </w:r>
      <w:r>
        <w:rPr>
          <w:rFonts w:hint="eastAsia" w:ascii="Arial" w:hAnsi="Arial" w:eastAsia="宋体" w:cs="Arial"/>
          <w:color w:val="auto"/>
          <w:highlight w:val="none"/>
        </w:rPr>
        <w:t>包括</w:t>
      </w:r>
      <w:r>
        <w:rPr>
          <w:rFonts w:ascii="Arial" w:hAnsi="Arial" w:eastAsia="宋体" w:cs="Arial"/>
          <w:color w:val="auto"/>
          <w:szCs w:val="21"/>
          <w:highlight w:val="none"/>
        </w:rPr>
        <w:t>所有货物、</w:t>
      </w:r>
      <w:r>
        <w:rPr>
          <w:rFonts w:hint="eastAsia" w:ascii="Arial" w:hAnsi="Arial" w:eastAsia="宋体" w:cs="Arial"/>
          <w:color w:val="auto"/>
          <w:szCs w:val="21"/>
          <w:highlight w:val="none"/>
        </w:rPr>
        <w:t>服务价格、</w:t>
      </w:r>
      <w:r>
        <w:rPr>
          <w:rFonts w:ascii="Arial" w:hAnsi="Arial" w:eastAsia="宋体" w:cs="Arial"/>
          <w:color w:val="auto"/>
          <w:szCs w:val="21"/>
          <w:highlight w:val="none"/>
        </w:rPr>
        <w:t>随配附件、备品备件、运输、工具、安装、调试、各种辅材、售后服务、培训、税金等费用及其他所有可能发生的一切费用</w:t>
      </w:r>
      <w:r>
        <w:rPr>
          <w:rFonts w:hint="eastAsia" w:ascii="Arial" w:hAnsi="Arial" w:eastAsia="宋体" w:cs="Arial"/>
          <w:color w:val="auto"/>
          <w:highlight w:val="none"/>
        </w:rPr>
        <w:t>。</w:t>
      </w:r>
    </w:p>
    <w:p w14:paraId="12DE3438">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第二条　质量保证</w:t>
      </w:r>
    </w:p>
    <w:p w14:paraId="7185F6CC">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1.乙方所提供的产品名称、商标品牌、生产厂家、规格型号、技术参数等内容必须与</w:t>
      </w:r>
      <w:r>
        <w:rPr>
          <w:rFonts w:ascii="Arial" w:hAnsi="Arial" w:eastAsia="宋体" w:cs="Arial"/>
          <w:color w:val="auto"/>
          <w:highlight w:val="none"/>
        </w:rPr>
        <w:t>采购文件</w:t>
      </w:r>
      <w:r>
        <w:rPr>
          <w:rFonts w:ascii="Arial" w:hAnsi="Arial" w:eastAsia="宋体" w:cs="Arial"/>
          <w:color w:val="auto"/>
          <w:szCs w:val="21"/>
          <w:highlight w:val="none"/>
        </w:rPr>
        <w:t>规定及投标（响应）文件承诺相一致。乙方提供的节能和环保产品必须是列入政府采购</w:t>
      </w:r>
      <w:r>
        <w:rPr>
          <w:rFonts w:ascii="Arial" w:hAnsi="Arial" w:eastAsia="宋体" w:cs="Arial"/>
          <w:color w:val="auto"/>
          <w:highlight w:val="none"/>
        </w:rPr>
        <w:t>品目</w:t>
      </w:r>
      <w:r>
        <w:rPr>
          <w:rFonts w:ascii="Arial" w:hAnsi="Arial" w:eastAsia="宋体" w:cs="Arial"/>
          <w:color w:val="auto"/>
          <w:szCs w:val="21"/>
          <w:highlight w:val="none"/>
        </w:rPr>
        <w:t>清单的产品。</w:t>
      </w:r>
    </w:p>
    <w:p w14:paraId="3B59E1A0">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2.乙方所提供的货物必须是全新、未使用的原装产品，且在正常安装、使用和保养条件下，其使用寿命期内各项指标均达到</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规定或投标（响应）文件承诺的质量要求。</w:t>
      </w:r>
    </w:p>
    <w:p w14:paraId="02319829">
      <w:pPr>
        <w:tabs>
          <w:tab w:val="left" w:pos="900"/>
        </w:tabs>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第三条　权利保证</w:t>
      </w:r>
    </w:p>
    <w:p w14:paraId="43A718FD">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1.甲方在履行合同过程中提供给乙方的全部图纸、文件和其他含有数据和信息的资料，其知识产权属于甲方。</w:t>
      </w:r>
    </w:p>
    <w:p w14:paraId="7C766F4F">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乙方应保证所提供货物在使用时不会侵犯任何第三方的知识产权或者其他权利。如合同货物涉及知识产权，则乙方保证甲方在使用合同货物过程中免于受到第三方提出的有关知识产权侵权的主张、索赔或诉讼的伤害。</w:t>
      </w:r>
    </w:p>
    <w:p w14:paraId="669932E4">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3.如果甲方收到任何第三方有关知识产权的主张、索赔或诉讼，乙方在收到甲方通知后，应以甲方名义并在甲方的协助下，自负费用处理与第三方的索赔或诉讼，并赔偿甲方因此发生的费用和遭受的损失。如果乙方拒绝处理前述索赔或诉讼或在收到甲方通知后28日内未作表示，甲方可以自己的名义进行这些索赔或诉讼，因此发生的费用和遭受的损失均应由乙方承担。</w:t>
      </w:r>
    </w:p>
    <w:p w14:paraId="1E424526">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4.乙方应按</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规定或投标（响应）文件承诺的时间向甲方提供使用货物的有关技术资料。</w:t>
      </w:r>
    </w:p>
    <w:p w14:paraId="6F6380F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5.未经甲方书面同意，乙方不得将由甲方提供的有关合同或任何合同条款、规格、计划、图纸、样品或资料提供给与履行本合同无关的任何其他人。即使向履行本合同有关的人员提供，也应注意保密并限于履行合同的必需范围。</w:t>
      </w:r>
    </w:p>
    <w:p w14:paraId="57588755">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6.乙方保证将要交付的货物的所有权完全属于乙方且无任何抵押、质押、查封等产权瑕疵。</w:t>
      </w:r>
    </w:p>
    <w:p w14:paraId="7A4CB9D7">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第四条　货物包装、发运及运输</w:t>
      </w:r>
    </w:p>
    <w:p w14:paraId="6C8277DF">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1.乙方提供的货物均应按</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规定或投标（响应）文件承诺的要求的包装材料、包装标准、包装方式进行包装，每一包装单元内应附详细的装箱单和质量合格证。</w:t>
      </w:r>
    </w:p>
    <w:p w14:paraId="643D8F22">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2.乙方应在货物发运前对其进行满足运输距离、防水、防潮、防震、防锈和防破损装卸等要求包装，以保证货物安全运达甲方指定地点。</w:t>
      </w:r>
    </w:p>
    <w:p w14:paraId="28A90590">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3.货物在交付甲方前发生的风险均由乙方负责。</w:t>
      </w:r>
    </w:p>
    <w:p w14:paraId="7747229A">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4.使用说明书、质量检验证明书、随配附件和工具以及清单一并附于货物内，进口设备必须提供报关单。</w:t>
      </w:r>
    </w:p>
    <w:p w14:paraId="7F075E1C">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第五条　交付</w:t>
      </w:r>
    </w:p>
    <w:p w14:paraId="58B2553A">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1.交货时间：</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【按乙方投标（响应）文件中承诺的不超过</w:t>
      </w:r>
      <w:r>
        <w:rPr>
          <w:rFonts w:ascii="Arial" w:hAnsi="Arial" w:eastAsia="宋体" w:cs="Arial"/>
          <w:color w:val="auto"/>
          <w:highlight w:val="none"/>
        </w:rPr>
        <w:t>采购文件</w:t>
      </w:r>
      <w:r>
        <w:rPr>
          <w:rFonts w:ascii="Arial" w:hAnsi="Arial" w:eastAsia="宋体" w:cs="Arial"/>
          <w:color w:val="auto"/>
          <w:szCs w:val="21"/>
          <w:highlight w:val="none"/>
        </w:rPr>
        <w:t>要求的时间】；交付地点：</w:t>
      </w:r>
      <w:r>
        <w:rPr>
          <w:rFonts w:ascii="Arial" w:hAnsi="Arial" w:eastAsia="宋体" w:cs="Arial"/>
          <w:color w:val="auto"/>
          <w:szCs w:val="21"/>
          <w:highlight w:val="none"/>
          <w:u w:val="single"/>
        </w:rPr>
        <w:t>广西桂林市甲方指定地点</w:t>
      </w:r>
      <w:r>
        <w:rPr>
          <w:rFonts w:ascii="Arial" w:hAnsi="Arial" w:eastAsia="宋体" w:cs="Arial"/>
          <w:color w:val="auto"/>
          <w:szCs w:val="21"/>
          <w:highlight w:val="none"/>
        </w:rPr>
        <w:t>。乙方需在规定的交付期限内将货物送达甲方指定的地点，同时通知甲方货物已送达。</w:t>
      </w:r>
    </w:p>
    <w:p w14:paraId="4C7C720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2.乙方提供不符合</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规定或投标（响应）文件承诺的和本合同规定的货物，甲方有权拒绝接受。</w:t>
      </w:r>
    </w:p>
    <w:p w14:paraId="5D3050B6">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3.乙方应将所提供货物的装箱清单、</w:t>
      </w:r>
      <w:r>
        <w:rPr>
          <w:rFonts w:hint="eastAsia" w:ascii="Arial" w:hAnsi="Arial" w:eastAsia="宋体" w:cs="Arial"/>
          <w:color w:val="auto"/>
          <w:szCs w:val="21"/>
          <w:highlight w:val="none"/>
        </w:rPr>
        <w:t>采购人</w:t>
      </w:r>
      <w:r>
        <w:rPr>
          <w:rFonts w:ascii="Arial" w:hAnsi="Arial" w:eastAsia="宋体" w:cs="Arial"/>
          <w:color w:val="auto"/>
          <w:szCs w:val="21"/>
          <w:highlight w:val="none"/>
        </w:rPr>
        <w:t>手册、原厂保修卡、随机资料、工具和备品、备件等交付给甲方，货物属于进口产品的，供货时应同时附上中文使用说明书，如有缺失应在合理的规定时间内补齐，否则视为逾期交货。</w:t>
      </w:r>
    </w:p>
    <w:p w14:paraId="219536DA">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4.乙方交货前应对产品作出全面检查和对验收文件进行整理，并列出清单，作为甲方收货验收和使用的技术条件依据，检验的结果应随货物交甲方。</w:t>
      </w:r>
    </w:p>
    <w:p w14:paraId="74660FC6">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第六条　安装和培训</w:t>
      </w:r>
    </w:p>
    <w:p w14:paraId="0A78232F">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1.甲方应提供必要安装条件（如场地、电源、水源等）。</w:t>
      </w:r>
    </w:p>
    <w:p w14:paraId="3DEA661D">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2.乙方应当按照投标（响应）文件的承诺对甲方有关人员进行培训。培训时间、地点：</w:t>
      </w:r>
      <w:r>
        <w:rPr>
          <w:rFonts w:ascii="Arial" w:hAnsi="Arial" w:eastAsia="宋体" w:cs="Arial"/>
          <w:color w:val="auto"/>
          <w:szCs w:val="21"/>
          <w:highlight w:val="none"/>
          <w:u w:val="single"/>
        </w:rPr>
        <w:t>由甲方指定。</w:t>
      </w:r>
    </w:p>
    <w:p w14:paraId="645C4E89">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第七条  调试和验收</w:t>
      </w:r>
    </w:p>
    <w:p w14:paraId="443DBC1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1.甲方对乙方提交的货物依据</w:t>
      </w:r>
      <w:r>
        <w:rPr>
          <w:rFonts w:ascii="Arial" w:hAnsi="Arial" w:eastAsia="宋体" w:cs="Arial"/>
          <w:color w:val="auto"/>
          <w:highlight w:val="none"/>
        </w:rPr>
        <w:t>采购文件</w:t>
      </w:r>
      <w:r>
        <w:rPr>
          <w:rFonts w:ascii="Arial" w:hAnsi="Arial" w:eastAsia="宋体" w:cs="Arial"/>
          <w:color w:val="auto"/>
          <w:szCs w:val="21"/>
          <w:highlight w:val="none"/>
        </w:rPr>
        <w:t>上的技术规格要求和国家有关质量标准进行现场初步验收，外观、说明书符合</w:t>
      </w:r>
      <w:r>
        <w:rPr>
          <w:rFonts w:ascii="Arial" w:hAnsi="Arial" w:eastAsia="宋体" w:cs="Arial"/>
          <w:color w:val="auto"/>
          <w:highlight w:val="none"/>
        </w:rPr>
        <w:t>采购文件</w:t>
      </w:r>
      <w:r>
        <w:rPr>
          <w:rFonts w:ascii="Arial" w:hAnsi="Arial" w:eastAsia="宋体" w:cs="Arial"/>
          <w:color w:val="auto"/>
          <w:szCs w:val="21"/>
          <w:highlight w:val="none"/>
        </w:rPr>
        <w:t>技术要求的，给予签收，初步验收不合格的不予签收。</w:t>
      </w:r>
    </w:p>
    <w:p w14:paraId="0F662596">
      <w:pPr>
        <w:snapToGrid w:val="0"/>
        <w:spacing w:after="0" w:line="312" w:lineRule="auto"/>
        <w:rPr>
          <w:rFonts w:ascii="Arial" w:hAnsi="Arial" w:eastAsia="宋体" w:cs="Arial"/>
          <w:color w:val="auto"/>
          <w:szCs w:val="21"/>
          <w:highlight w:val="none"/>
        </w:rPr>
      </w:pPr>
      <w:r>
        <w:rPr>
          <w:rFonts w:ascii="Arial" w:hAnsi="Arial" w:eastAsia="宋体" w:cs="Arial"/>
          <w:color w:val="auto"/>
          <w:highlight w:val="none"/>
        </w:rPr>
        <w:t>2.乙方交货前应对产品作出全面检查和对验收文件进行整理，并列出清单，作为甲方收货验收和使用的技术条件依据，检验的结果应随货物交甲方。</w:t>
      </w:r>
    </w:p>
    <w:p w14:paraId="5CBCB3CC">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3.甲方对乙方提供的货物在使用前进行调试时，乙方需负责安装并培训甲方的使用操作人员，并协助甲方一起调试，直到货物安装调试后符合技术要求</w:t>
      </w:r>
      <w:r>
        <w:rPr>
          <w:rFonts w:ascii="Arial" w:hAnsi="Arial" w:eastAsia="宋体" w:cs="Arial"/>
          <w:color w:val="auto"/>
          <w:highlight w:val="none"/>
        </w:rPr>
        <w:t>，甲方才做最终验收。</w:t>
      </w:r>
    </w:p>
    <w:p w14:paraId="4E4A7DD0">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4.甲方应当在到货（安装、调试完）后，由甲方确认货物满足验收条件后</w:t>
      </w:r>
      <w:r>
        <w:rPr>
          <w:rFonts w:ascii="Arial" w:hAnsi="Arial" w:eastAsia="宋体" w:cs="Arial"/>
          <w:color w:val="auto"/>
          <w:szCs w:val="21"/>
          <w:highlight w:val="none"/>
          <w:u w:val="single"/>
        </w:rPr>
        <w:t>7个工作日</w:t>
      </w:r>
      <w:r>
        <w:rPr>
          <w:rFonts w:ascii="Arial" w:hAnsi="Arial" w:eastAsia="宋体" w:cs="Arial"/>
          <w:color w:val="auto"/>
          <w:szCs w:val="21"/>
          <w:highlight w:val="none"/>
        </w:rPr>
        <w:t>内进行验收，逾期不验收的，乙方可视同验收合格。验收时乙方必须在现场，验收完毕后作出验收结果报告，验收合格后由甲乙双方签署验收报告单，甲乙双方各执一份，验收费用由乙方负责。</w:t>
      </w:r>
    </w:p>
    <w:p w14:paraId="1AC97333">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5.采购人委托采购代理机构组织的验收项目，其验收时间以该项目验收方案确定的验收时间为准，验收结果以该项目验收报告结论为准。</w:t>
      </w:r>
    </w:p>
    <w:p w14:paraId="3D552ED0">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6.在验收过程中发现乙方有违约问题，可暂缓资金结算，待违约问题解决后，方可办理资金结算事宜。</w:t>
      </w:r>
    </w:p>
    <w:p w14:paraId="07F1BFC0">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7.甲方对验收有异议的，在验收后5个工作日内以书面形式向乙方提出，乙方应自收到甲方书面异议后</w:t>
      </w:r>
      <w:r>
        <w:rPr>
          <w:rFonts w:ascii="Arial" w:hAnsi="Arial" w:eastAsia="宋体" w:cs="Arial"/>
          <w:color w:val="auto"/>
          <w:szCs w:val="21"/>
          <w:highlight w:val="none"/>
          <w:u w:val="single"/>
        </w:rPr>
        <w:t xml:space="preserve"> 10 </w:t>
      </w:r>
      <w:r>
        <w:rPr>
          <w:rFonts w:ascii="Arial" w:hAnsi="Arial" w:eastAsia="宋体" w:cs="Arial"/>
          <w:color w:val="auto"/>
          <w:szCs w:val="21"/>
          <w:highlight w:val="none"/>
        </w:rPr>
        <w:t>日内及时予以解决。</w:t>
      </w:r>
    </w:p>
    <w:p w14:paraId="6055E896">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8.对技术复杂的货物，甲方应请国家认可的专业检测机构参与初步验收及最终验收，并由其出具质量检测报告。</w:t>
      </w:r>
    </w:p>
    <w:p w14:paraId="5AC8B967">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第八条　付款方式</w:t>
      </w:r>
    </w:p>
    <w:p w14:paraId="617D885F">
      <w:pPr>
        <w:snapToGrid w:val="0"/>
        <w:spacing w:after="0" w:line="312" w:lineRule="auto"/>
        <w:rPr>
          <w:rFonts w:ascii="Arial" w:hAnsi="Arial" w:eastAsia="宋体" w:cs="Arial"/>
          <w:color w:val="auto"/>
          <w:highlight w:val="none"/>
        </w:rPr>
      </w:pPr>
      <w:r>
        <w:rPr>
          <w:rFonts w:ascii="Arial" w:hAnsi="Arial" w:eastAsia="宋体" w:cs="Arial"/>
          <w:color w:val="auto"/>
          <w:highlight w:val="none"/>
        </w:rPr>
        <w:t>本项目通过最终验收后，</w:t>
      </w:r>
      <w:r>
        <w:rPr>
          <w:rFonts w:hint="eastAsia" w:ascii="Arial" w:hAnsi="Arial" w:eastAsia="宋体" w:cs="Arial"/>
          <w:color w:val="auto"/>
          <w:highlight w:val="none"/>
        </w:rPr>
        <w:t>乙方</w:t>
      </w:r>
      <w:r>
        <w:rPr>
          <w:rFonts w:ascii="Arial" w:hAnsi="Arial" w:eastAsia="宋体" w:cs="Arial"/>
          <w:color w:val="auto"/>
          <w:highlight w:val="none"/>
        </w:rPr>
        <w:t>开具全额发票（国产设备必须开具增值税专用发票）给</w:t>
      </w:r>
      <w:r>
        <w:rPr>
          <w:rFonts w:hint="eastAsia" w:ascii="Arial" w:hAnsi="Arial" w:eastAsia="宋体" w:cs="Arial"/>
          <w:color w:val="auto"/>
          <w:highlight w:val="none"/>
        </w:rPr>
        <w:t>甲方</w:t>
      </w:r>
      <w:r>
        <w:rPr>
          <w:rFonts w:ascii="Arial" w:hAnsi="Arial" w:eastAsia="宋体" w:cs="Arial"/>
          <w:color w:val="auto"/>
          <w:highlight w:val="none"/>
        </w:rPr>
        <w:t>，</w:t>
      </w:r>
      <w:r>
        <w:rPr>
          <w:rFonts w:hint="eastAsia" w:ascii="Arial" w:hAnsi="Arial" w:eastAsia="宋体" w:cs="Arial"/>
          <w:color w:val="auto"/>
          <w:highlight w:val="none"/>
        </w:rPr>
        <w:t>甲方</w:t>
      </w:r>
      <w:r>
        <w:rPr>
          <w:rFonts w:ascii="Arial" w:hAnsi="Arial" w:eastAsia="宋体" w:cs="Arial"/>
          <w:color w:val="auto"/>
          <w:highlight w:val="none"/>
        </w:rPr>
        <w:t>收到发票后10个工作日内一次性付清100%的合同价款（无息）。</w:t>
      </w:r>
    </w:p>
    <w:p w14:paraId="27E58A31">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第九条　履约保证金</w:t>
      </w:r>
    </w:p>
    <w:p w14:paraId="2BF33FEF">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1.履约保证金金额</w:t>
      </w:r>
      <w:r>
        <w:rPr>
          <w:rFonts w:ascii="Arial" w:hAnsi="Arial" w:eastAsia="宋体" w:cs="Arial"/>
          <w:color w:val="auto"/>
          <w:highlight w:val="none"/>
        </w:rPr>
        <w:t>：在合同签订之前，</w:t>
      </w:r>
      <w:r>
        <w:rPr>
          <w:rFonts w:hint="eastAsia" w:ascii="Arial" w:hAnsi="Arial" w:eastAsia="宋体" w:cs="Arial"/>
          <w:color w:val="auto"/>
          <w:highlight w:val="none"/>
        </w:rPr>
        <w:t>乙方</w:t>
      </w:r>
      <w:r>
        <w:rPr>
          <w:rFonts w:ascii="Arial" w:hAnsi="Arial" w:eastAsia="宋体" w:cs="Arial"/>
          <w:color w:val="auto"/>
          <w:highlight w:val="none"/>
        </w:rPr>
        <w:t>按成交金额的5%（如</w:t>
      </w:r>
      <w:r>
        <w:rPr>
          <w:rFonts w:hint="eastAsia" w:ascii="Arial" w:hAnsi="Arial" w:eastAsia="宋体" w:cs="Arial"/>
          <w:color w:val="auto"/>
          <w:highlight w:val="none"/>
        </w:rPr>
        <w:t>乙方</w:t>
      </w:r>
      <w:r>
        <w:rPr>
          <w:rFonts w:ascii="Arial" w:hAnsi="Arial" w:eastAsia="宋体" w:cs="Arial"/>
          <w:color w:val="auto"/>
          <w:highlight w:val="none"/>
        </w:rPr>
        <w:t>为中小微企业的，按成交金额的2%）向</w:t>
      </w:r>
      <w:r>
        <w:rPr>
          <w:rFonts w:hint="eastAsia" w:ascii="Arial" w:hAnsi="Arial" w:eastAsia="宋体" w:cs="Arial"/>
          <w:color w:val="auto"/>
          <w:highlight w:val="none"/>
        </w:rPr>
        <w:t>甲方</w:t>
      </w:r>
      <w:r>
        <w:rPr>
          <w:rFonts w:ascii="Arial" w:hAnsi="Arial" w:eastAsia="宋体" w:cs="Arial"/>
          <w:color w:val="auto"/>
          <w:highlight w:val="none"/>
        </w:rPr>
        <w:t>交纳履约保证金。</w:t>
      </w:r>
    </w:p>
    <w:p w14:paraId="2DE88E44">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2.履约保证金递交方式</w:t>
      </w:r>
      <w:r>
        <w:rPr>
          <w:rFonts w:ascii="Arial" w:hAnsi="Arial" w:eastAsia="宋体" w:cs="Arial"/>
          <w:color w:val="auto"/>
          <w:highlight w:val="none"/>
        </w:rPr>
        <w:t>：</w:t>
      </w:r>
      <w:r>
        <w:rPr>
          <w:rFonts w:ascii="Arial" w:hAnsi="Arial" w:eastAsia="宋体" w:cs="Arial"/>
          <w:color w:val="auto"/>
          <w:kern w:val="0"/>
          <w:szCs w:val="21"/>
          <w:highlight w:val="none"/>
        </w:rPr>
        <w:t>转账或电汇等非现金形式</w:t>
      </w:r>
      <w:r>
        <w:rPr>
          <w:rFonts w:ascii="Arial" w:hAnsi="Arial" w:eastAsia="宋体" w:cs="Arial"/>
          <w:color w:val="auto"/>
          <w:szCs w:val="21"/>
          <w:highlight w:val="none"/>
        </w:rPr>
        <w:t>。</w:t>
      </w:r>
    </w:p>
    <w:p w14:paraId="4DA68365">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3.履约保证金指定账户</w:t>
      </w:r>
    </w:p>
    <w:p w14:paraId="080B987B">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开户名称</w:t>
      </w:r>
      <w:r>
        <w:rPr>
          <w:rFonts w:ascii="Arial" w:hAnsi="Arial" w:eastAsia="宋体" w:cs="Arial"/>
          <w:color w:val="auto"/>
          <w:highlight w:val="none"/>
        </w:rPr>
        <w:t>：</w:t>
      </w:r>
      <w:r>
        <w:rPr>
          <w:rFonts w:ascii="Arial" w:hAnsi="Arial" w:eastAsia="宋体" w:cs="Arial"/>
          <w:color w:val="auto"/>
          <w:kern w:val="0"/>
          <w:szCs w:val="21"/>
          <w:highlight w:val="none"/>
          <w:u w:val="single"/>
        </w:rPr>
        <w:t>桂林理工大学</w:t>
      </w:r>
      <w:r>
        <w:rPr>
          <w:rFonts w:ascii="Arial" w:hAnsi="Arial" w:eastAsia="宋体" w:cs="Arial"/>
          <w:color w:val="auto"/>
          <w:szCs w:val="21"/>
          <w:highlight w:val="none"/>
        </w:rPr>
        <w:t>；</w:t>
      </w:r>
    </w:p>
    <w:p w14:paraId="3FE5518B">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开户银行</w:t>
      </w:r>
      <w:r>
        <w:rPr>
          <w:rFonts w:ascii="Arial" w:hAnsi="Arial" w:eastAsia="宋体" w:cs="Arial"/>
          <w:color w:val="auto"/>
          <w:highlight w:val="none"/>
        </w:rPr>
        <w:t>：</w:t>
      </w:r>
      <w:r>
        <w:rPr>
          <w:rFonts w:ascii="Arial" w:hAnsi="Arial" w:eastAsia="宋体" w:cs="Arial"/>
          <w:color w:val="auto"/>
          <w:kern w:val="0"/>
          <w:szCs w:val="21"/>
          <w:highlight w:val="none"/>
          <w:u w:val="single"/>
        </w:rPr>
        <w:t>中国银行桂林分行</w:t>
      </w:r>
      <w:r>
        <w:rPr>
          <w:rFonts w:ascii="Arial" w:hAnsi="Arial" w:eastAsia="宋体" w:cs="Arial"/>
          <w:color w:val="auto"/>
          <w:szCs w:val="21"/>
          <w:highlight w:val="none"/>
        </w:rPr>
        <w:t>；</w:t>
      </w:r>
    </w:p>
    <w:p w14:paraId="5B761770">
      <w:pPr>
        <w:snapToGrid w:val="0"/>
        <w:spacing w:after="0" w:line="312" w:lineRule="auto"/>
        <w:rPr>
          <w:rFonts w:ascii="Arial" w:hAnsi="Arial" w:eastAsia="宋体" w:cs="Arial"/>
          <w:color w:val="auto"/>
          <w:highlight w:val="none"/>
        </w:rPr>
      </w:pPr>
      <w:r>
        <w:rPr>
          <w:rFonts w:ascii="Arial" w:hAnsi="Arial" w:eastAsia="宋体" w:cs="Arial"/>
          <w:color w:val="auto"/>
          <w:szCs w:val="21"/>
          <w:highlight w:val="none"/>
        </w:rPr>
        <w:t>银行账号</w:t>
      </w:r>
      <w:r>
        <w:rPr>
          <w:rFonts w:ascii="Arial" w:hAnsi="Arial" w:eastAsia="宋体" w:cs="Arial"/>
          <w:color w:val="auto"/>
          <w:highlight w:val="none"/>
        </w:rPr>
        <w:t>：</w:t>
      </w:r>
      <w:r>
        <w:rPr>
          <w:rFonts w:ascii="Arial" w:hAnsi="Arial" w:eastAsia="宋体" w:cs="Arial"/>
          <w:color w:val="auto"/>
          <w:kern w:val="0"/>
          <w:szCs w:val="21"/>
          <w:highlight w:val="none"/>
          <w:u w:val="single"/>
        </w:rPr>
        <w:t>613257488744</w:t>
      </w:r>
      <w:r>
        <w:rPr>
          <w:rFonts w:ascii="Arial" w:hAnsi="Arial" w:eastAsia="宋体" w:cs="Arial"/>
          <w:color w:val="auto"/>
          <w:szCs w:val="21"/>
          <w:highlight w:val="none"/>
        </w:rPr>
        <w:t>。</w:t>
      </w:r>
    </w:p>
    <w:p w14:paraId="5C6E0AA3">
      <w:pPr>
        <w:snapToGrid w:val="0"/>
        <w:spacing w:after="0" w:line="312" w:lineRule="auto"/>
        <w:rPr>
          <w:rFonts w:ascii="Arial" w:hAnsi="Arial" w:eastAsia="宋体" w:cs="Arial"/>
          <w:color w:val="auto"/>
          <w:kern w:val="0"/>
          <w:highlight w:val="none"/>
        </w:rPr>
      </w:pPr>
      <w:r>
        <w:rPr>
          <w:rFonts w:ascii="Arial" w:hAnsi="Arial" w:eastAsia="宋体" w:cs="Arial"/>
          <w:color w:val="auto"/>
          <w:szCs w:val="21"/>
          <w:highlight w:val="none"/>
        </w:rPr>
        <w:t>4.履约保证金退付方式</w:t>
      </w:r>
      <w:r>
        <w:rPr>
          <w:rFonts w:ascii="Arial" w:hAnsi="Arial" w:eastAsia="宋体" w:cs="Arial"/>
          <w:color w:val="auto"/>
          <w:highlight w:val="none"/>
        </w:rPr>
        <w:t>、时间及条件</w:t>
      </w:r>
      <w:r>
        <w:rPr>
          <w:rFonts w:ascii="Arial" w:hAnsi="Arial" w:eastAsia="宋体" w:cs="Arial"/>
          <w:color w:val="auto"/>
          <w:kern w:val="0"/>
          <w:highlight w:val="none"/>
        </w:rPr>
        <w:t>：</w:t>
      </w:r>
    </w:p>
    <w:p w14:paraId="049AFF16">
      <w:pPr>
        <w:snapToGrid w:val="0"/>
        <w:spacing w:after="0" w:line="312" w:lineRule="auto"/>
        <w:rPr>
          <w:rFonts w:ascii="Arial" w:hAnsi="Arial" w:eastAsia="宋体" w:cs="Arial"/>
          <w:color w:val="auto"/>
          <w:highlight w:val="none"/>
        </w:rPr>
      </w:pPr>
      <w:r>
        <w:rPr>
          <w:rFonts w:ascii="Arial" w:hAnsi="Arial" w:eastAsia="宋体" w:cs="Arial"/>
          <w:color w:val="auto"/>
          <w:highlight w:val="none"/>
        </w:rPr>
        <w:t>（1）</w:t>
      </w:r>
      <w:r>
        <w:rPr>
          <w:rFonts w:hint="eastAsia" w:ascii="Arial" w:hAnsi="Arial" w:eastAsia="宋体" w:cs="Arial"/>
          <w:color w:val="auto"/>
          <w:highlight w:val="none"/>
        </w:rPr>
        <w:t>乙方</w:t>
      </w:r>
      <w:r>
        <w:rPr>
          <w:rFonts w:ascii="Arial" w:hAnsi="Arial" w:eastAsia="宋体" w:cs="Arial"/>
          <w:color w:val="auto"/>
          <w:highlight w:val="none"/>
        </w:rPr>
        <w:t>须按上述规定的金额、方式将履约保证金转入桂林理工大学账户。否则，不予签订合同。</w:t>
      </w:r>
    </w:p>
    <w:p w14:paraId="4938A9BC">
      <w:pPr>
        <w:snapToGrid w:val="0"/>
        <w:spacing w:after="0" w:line="312" w:lineRule="auto"/>
        <w:rPr>
          <w:rFonts w:ascii="Arial" w:hAnsi="Arial" w:eastAsia="宋体" w:cs="Arial"/>
          <w:color w:val="auto"/>
          <w:highlight w:val="none"/>
        </w:rPr>
      </w:pPr>
      <w:r>
        <w:rPr>
          <w:rFonts w:ascii="Arial" w:hAnsi="Arial" w:eastAsia="宋体" w:cs="Arial"/>
          <w:color w:val="auto"/>
          <w:highlight w:val="none"/>
        </w:rPr>
        <w:t>（2）履约保证金在</w:t>
      </w:r>
      <w:r>
        <w:rPr>
          <w:rFonts w:hint="eastAsia" w:ascii="Arial" w:hAnsi="Arial" w:eastAsia="宋体" w:cs="Arial"/>
          <w:color w:val="auto"/>
          <w:highlight w:val="none"/>
        </w:rPr>
        <w:t>乙方</w:t>
      </w:r>
      <w:r>
        <w:rPr>
          <w:rFonts w:ascii="Arial" w:hAnsi="Arial" w:eastAsia="宋体" w:cs="Arial"/>
          <w:color w:val="auto"/>
          <w:highlight w:val="none"/>
        </w:rPr>
        <w:t>履行完合同约定的权利义务（包括免费保修服务等）事项后7个工作日内，由</w:t>
      </w:r>
      <w:r>
        <w:rPr>
          <w:rFonts w:hint="eastAsia" w:ascii="Arial" w:hAnsi="Arial" w:eastAsia="宋体" w:cs="Arial"/>
          <w:color w:val="auto"/>
          <w:highlight w:val="none"/>
        </w:rPr>
        <w:t>乙方</w:t>
      </w:r>
      <w:r>
        <w:rPr>
          <w:rFonts w:ascii="Arial" w:hAnsi="Arial" w:eastAsia="宋体" w:cs="Arial"/>
          <w:color w:val="auto"/>
          <w:highlight w:val="none"/>
        </w:rPr>
        <w:t>凭履约保证金的申请表及合同向</w:t>
      </w:r>
      <w:r>
        <w:rPr>
          <w:rFonts w:hint="eastAsia" w:ascii="Arial" w:hAnsi="Arial" w:eastAsia="宋体" w:cs="Arial"/>
          <w:color w:val="auto"/>
          <w:highlight w:val="none"/>
        </w:rPr>
        <w:t>甲方</w:t>
      </w:r>
      <w:r>
        <w:rPr>
          <w:rFonts w:ascii="Arial" w:hAnsi="Arial" w:eastAsia="宋体" w:cs="Arial"/>
          <w:color w:val="auto"/>
          <w:highlight w:val="none"/>
        </w:rPr>
        <w:t>申请办理履约保证金退还手续，</w:t>
      </w:r>
      <w:r>
        <w:rPr>
          <w:rFonts w:hint="eastAsia" w:ascii="Arial" w:hAnsi="Arial" w:eastAsia="宋体" w:cs="Arial"/>
          <w:color w:val="auto"/>
          <w:highlight w:val="none"/>
        </w:rPr>
        <w:t>甲方</w:t>
      </w:r>
      <w:r>
        <w:rPr>
          <w:rFonts w:ascii="Arial" w:hAnsi="Arial" w:eastAsia="宋体" w:cs="Arial"/>
          <w:color w:val="auto"/>
          <w:highlight w:val="none"/>
        </w:rPr>
        <w:t>在收到合格材料后5个工作日内以银行转账方式如数退还（不计利息）。</w:t>
      </w:r>
    </w:p>
    <w:p w14:paraId="1DD47AB9">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第十条  税费</w:t>
      </w:r>
    </w:p>
    <w:p w14:paraId="7B74D47C">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本合同执行中相关的一切税费均由乙方负担。</w:t>
      </w:r>
    </w:p>
    <w:p w14:paraId="4C088B9D">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第十一条  售后服务及质保期</w:t>
      </w:r>
    </w:p>
    <w:p w14:paraId="7EE0D588">
      <w:pPr>
        <w:snapToGrid w:val="0"/>
        <w:spacing w:after="0" w:line="312" w:lineRule="auto"/>
        <w:rPr>
          <w:rFonts w:ascii="Arial" w:hAnsi="Arial" w:eastAsia="宋体" w:cs="Arial"/>
          <w:color w:val="auto"/>
          <w:szCs w:val="21"/>
          <w:highlight w:val="none"/>
        </w:rPr>
      </w:pPr>
      <w:r>
        <w:rPr>
          <w:rFonts w:ascii="Arial" w:hAnsi="Arial" w:eastAsia="宋体" w:cs="Arial"/>
          <w:bCs/>
          <w:color w:val="auto"/>
          <w:highlight w:val="none"/>
        </w:rPr>
        <w:t>1.</w:t>
      </w:r>
      <w:r>
        <w:rPr>
          <w:rFonts w:ascii="Arial" w:hAnsi="Arial" w:eastAsia="宋体" w:cs="Arial"/>
          <w:color w:val="auto"/>
          <w:highlight w:val="none"/>
        </w:rPr>
        <w:t>乙方应按采购文件规定的产品名称、生产厂家、品牌、规格型号、技术参数、质量标准向甲方提供未经使用的全新产品。不符合要求的，根据实际情况，经双方协商，可按以下办法处理</w:t>
      </w:r>
      <w:r>
        <w:rPr>
          <w:rFonts w:ascii="Arial" w:hAnsi="Arial" w:eastAsia="宋体" w:cs="Arial"/>
          <w:color w:val="auto"/>
          <w:szCs w:val="21"/>
          <w:highlight w:val="none"/>
        </w:rPr>
        <w:t>：</w:t>
      </w:r>
    </w:p>
    <w:p w14:paraId="126CB7E6">
      <w:pPr>
        <w:snapToGrid w:val="0"/>
        <w:spacing w:after="0" w:line="312" w:lineRule="auto"/>
        <w:rPr>
          <w:rFonts w:ascii="Arial" w:hAnsi="Arial" w:eastAsia="宋体" w:cs="Arial"/>
          <w:color w:val="auto"/>
          <w:highlight w:val="none"/>
        </w:rPr>
      </w:pPr>
      <w:r>
        <w:rPr>
          <w:rFonts w:ascii="Arial" w:hAnsi="Arial" w:eastAsia="宋体" w:cs="Arial"/>
          <w:color w:val="auto"/>
          <w:highlight w:val="none"/>
        </w:rPr>
        <w:t>⑴更换：由乙方承担所发生的全部费用。</w:t>
      </w:r>
    </w:p>
    <w:p w14:paraId="6FD79ED6">
      <w:pPr>
        <w:snapToGrid w:val="0"/>
        <w:spacing w:after="0" w:line="312" w:lineRule="auto"/>
        <w:rPr>
          <w:rFonts w:ascii="Arial" w:hAnsi="Arial" w:eastAsia="宋体" w:cs="Arial"/>
          <w:color w:val="auto"/>
          <w:highlight w:val="none"/>
        </w:rPr>
      </w:pPr>
      <w:r>
        <w:rPr>
          <w:rFonts w:ascii="Arial" w:hAnsi="Arial" w:eastAsia="宋体" w:cs="Arial"/>
          <w:color w:val="auto"/>
          <w:highlight w:val="none"/>
        </w:rPr>
        <w:t>⑵贬值处理：由甲乙双方合议定价。</w:t>
      </w:r>
    </w:p>
    <w:p w14:paraId="3DF55EFE">
      <w:pPr>
        <w:snapToGrid w:val="0"/>
        <w:spacing w:after="0" w:line="312" w:lineRule="auto"/>
        <w:rPr>
          <w:rFonts w:ascii="Arial" w:hAnsi="Arial" w:eastAsia="宋体" w:cs="Arial"/>
          <w:color w:val="auto"/>
          <w:highlight w:val="none"/>
        </w:rPr>
      </w:pPr>
      <w:r>
        <w:rPr>
          <w:rFonts w:ascii="Arial" w:hAnsi="Arial" w:eastAsia="宋体" w:cs="Arial"/>
          <w:color w:val="auto"/>
          <w:highlight w:val="none"/>
        </w:rPr>
        <w:t>⑶退货处理：乙方应退还甲方支付的合同款，同时应承担该货物的直接费用（运输、保险、检验、货款利息及银行手续费等）。</w:t>
      </w:r>
    </w:p>
    <w:p w14:paraId="094A1BC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w:t>
      </w:r>
      <w:r>
        <w:rPr>
          <w:rFonts w:ascii="Arial" w:hAnsi="Arial" w:eastAsia="宋体" w:cs="Arial"/>
          <w:color w:val="auto"/>
          <w:highlight w:val="none"/>
        </w:rPr>
        <w:t>如在使用过程中发生质量问题</w:t>
      </w:r>
      <w:r>
        <w:rPr>
          <w:rFonts w:ascii="Arial" w:hAnsi="Arial" w:eastAsia="宋体" w:cs="Arial"/>
          <w:color w:val="auto"/>
          <w:szCs w:val="21"/>
          <w:highlight w:val="none"/>
        </w:rPr>
        <w:t>，乙方在接到甲方通知后在按</w:t>
      </w:r>
      <w:r>
        <w:rPr>
          <w:rFonts w:ascii="Arial" w:hAnsi="Arial" w:eastAsia="宋体" w:cs="Arial"/>
          <w:color w:val="auto"/>
          <w:szCs w:val="21"/>
          <w:highlight w:val="none"/>
          <w:u w:val="single"/>
        </w:rPr>
        <w:t>乙方投标（响应）文件中承诺的不超过采购文件要求的响应时间</w:t>
      </w:r>
      <w:r>
        <w:rPr>
          <w:rFonts w:hint="eastAsia" w:ascii="Arial" w:hAnsi="Arial" w:eastAsia="宋体" w:cs="Arial"/>
          <w:color w:val="auto"/>
          <w:szCs w:val="21"/>
          <w:highlight w:val="none"/>
          <w:u w:val="single"/>
        </w:rPr>
        <w:t xml:space="preserve">    </w:t>
      </w:r>
      <w:r>
        <w:rPr>
          <w:rFonts w:ascii="Arial" w:hAnsi="Arial" w:eastAsia="宋体" w:cs="Arial"/>
          <w:color w:val="auto"/>
          <w:szCs w:val="21"/>
          <w:highlight w:val="none"/>
          <w:u w:val="single"/>
        </w:rPr>
        <w:t>小时内</w:t>
      </w:r>
      <w:r>
        <w:rPr>
          <w:rFonts w:ascii="Arial" w:hAnsi="Arial" w:eastAsia="宋体" w:cs="Arial"/>
          <w:color w:val="auto"/>
          <w:szCs w:val="21"/>
          <w:highlight w:val="none"/>
        </w:rPr>
        <w:t>到达甲方现场处理。</w:t>
      </w:r>
    </w:p>
    <w:p w14:paraId="7B196607">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3.在质保期内，乙方应对货物出现的质量及安全问题负责处理解决并承担一切费用。</w:t>
      </w:r>
    </w:p>
    <w:p w14:paraId="186C2397">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4.乙方应按照国家有关法律法规和“三包”规定以及</w:t>
      </w:r>
      <w:r>
        <w:rPr>
          <w:rFonts w:ascii="Arial" w:hAnsi="Arial" w:eastAsia="宋体" w:cs="Arial"/>
          <w:color w:val="auto"/>
          <w:highlight w:val="none"/>
        </w:rPr>
        <w:t>采购文件要求、</w:t>
      </w:r>
      <w:r>
        <w:rPr>
          <w:rFonts w:ascii="Arial" w:hAnsi="Arial" w:eastAsia="宋体" w:cs="Arial"/>
          <w:color w:val="auto"/>
          <w:szCs w:val="21"/>
          <w:highlight w:val="none"/>
        </w:rPr>
        <w:t>投标（响应）文件承诺和本合同所附的《售后服务承诺书》，为甲方提供售后服务。</w:t>
      </w:r>
    </w:p>
    <w:p w14:paraId="079E13E0">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5.货物质保期：按乙方投标（响应）文件中承诺的不少于</w:t>
      </w:r>
      <w:r>
        <w:rPr>
          <w:rFonts w:ascii="Arial" w:hAnsi="Arial" w:eastAsia="宋体" w:cs="Arial"/>
          <w:color w:val="auto"/>
          <w:highlight w:val="none"/>
        </w:rPr>
        <w:t>采购文件要求</w:t>
      </w:r>
      <w:r>
        <w:rPr>
          <w:rFonts w:ascii="Arial" w:hAnsi="Arial" w:eastAsia="宋体" w:cs="Arial"/>
          <w:color w:val="auto"/>
          <w:szCs w:val="21"/>
          <w:highlight w:val="none"/>
        </w:rPr>
        <w:t>的免费保修期限。</w:t>
      </w:r>
    </w:p>
    <w:p w14:paraId="566D3EC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6.乙方提供的服务承诺和售后服务及保修期责任等其它具体约定事项（见合同附件）。</w:t>
      </w:r>
    </w:p>
    <w:p w14:paraId="380F5B26">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7.上述的货物免费保修期为</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年（</w:t>
      </w:r>
      <w:r>
        <w:rPr>
          <w:rFonts w:ascii="Arial" w:hAnsi="Arial" w:eastAsia="宋体" w:cs="Arial"/>
          <w:color w:val="auto"/>
          <w:highlight w:val="none"/>
        </w:rPr>
        <w:t>免费保修期自设备验收合格之日起计算，</w:t>
      </w:r>
      <w:r>
        <w:rPr>
          <w:rFonts w:ascii="Arial" w:hAnsi="Arial" w:eastAsia="宋体" w:cs="Arial"/>
          <w:color w:val="auto"/>
          <w:szCs w:val="21"/>
          <w:highlight w:val="none"/>
        </w:rPr>
        <w:t>若乙方投标（响应）承诺免费保修期超过</w:t>
      </w:r>
      <w:r>
        <w:rPr>
          <w:rFonts w:ascii="Arial" w:hAnsi="Arial" w:eastAsia="宋体" w:cs="Arial"/>
          <w:color w:val="auto"/>
          <w:highlight w:val="none"/>
        </w:rPr>
        <w:t>采购文件</w:t>
      </w:r>
      <w:r>
        <w:rPr>
          <w:rFonts w:ascii="Arial" w:hAnsi="Arial" w:eastAsia="宋体" w:cs="Arial"/>
          <w:color w:val="auto"/>
          <w:szCs w:val="21"/>
          <w:highlight w:val="none"/>
        </w:rPr>
        <w:t>要求年限的，按其承诺执行），因人为因素出现的故障不在免费保修范围内。超过保修期的机器设备，终生维修，维修时只收部件成本费。</w:t>
      </w:r>
    </w:p>
    <w:p w14:paraId="40289360">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第十二条　违约责任</w:t>
      </w:r>
    </w:p>
    <w:p w14:paraId="6FAAAA28">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1.乙方所提供的产品名称、生产厂家、品牌、规格型号、技术参数等不符合投标（响应）文件承诺或质量不合格的，应在</w:t>
      </w:r>
      <w:r>
        <w:rPr>
          <w:rFonts w:ascii="Arial" w:hAnsi="Arial" w:eastAsia="宋体" w:cs="Arial"/>
          <w:color w:val="auto"/>
          <w:highlight w:val="none"/>
          <w:u w:val="single"/>
        </w:rPr>
        <w:t>2</w:t>
      </w:r>
      <w:r>
        <w:rPr>
          <w:rFonts w:ascii="Arial" w:hAnsi="Arial" w:eastAsia="宋体" w:cs="Arial"/>
          <w:color w:val="auto"/>
          <w:szCs w:val="21"/>
          <w:highlight w:val="none"/>
        </w:rPr>
        <w:t xml:space="preserve">日内及时更换，更换不及时的按逾期交货处罚；因质量问题甲方不同意接收的或特殊情况甲方同意接收的，乙方应向甲方支付违约货款额 </w:t>
      </w:r>
      <w:r>
        <w:rPr>
          <w:rFonts w:ascii="Arial" w:hAnsi="Arial" w:eastAsia="宋体" w:cs="Arial"/>
          <w:color w:val="auto"/>
          <w:szCs w:val="21"/>
          <w:highlight w:val="none"/>
          <w:u w:val="single"/>
        </w:rPr>
        <w:t>5%</w:t>
      </w:r>
      <w:r>
        <w:rPr>
          <w:rFonts w:ascii="Arial" w:hAnsi="Arial" w:eastAsia="宋体" w:cs="Arial"/>
          <w:color w:val="auto"/>
          <w:szCs w:val="21"/>
          <w:highlight w:val="none"/>
        </w:rPr>
        <w:t>违约金并赔偿甲方经济损失。</w:t>
      </w:r>
    </w:p>
    <w:p w14:paraId="014EAA09">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2.乙方提供的货物如侵犯了第三方合法权益而引发的任何纠纷或诉讼，均由乙方负责交涉并承担全部责任。</w:t>
      </w:r>
    </w:p>
    <w:p w14:paraId="41DDC528">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3.因包装、运输引起的货物损坏，按质量不合格处罚。</w:t>
      </w:r>
    </w:p>
    <w:p w14:paraId="73E1579C">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4.甲方无故延期接收货物、乙方逾期交货的，每天向对方偿付违约货款额3‰违约金，但违约金累计不得超过违约货款额</w:t>
      </w:r>
      <w:r>
        <w:rPr>
          <w:rFonts w:ascii="Arial" w:hAnsi="Arial" w:eastAsia="宋体" w:cs="Arial"/>
          <w:color w:val="auto"/>
          <w:szCs w:val="21"/>
          <w:highlight w:val="none"/>
          <w:u w:val="single"/>
        </w:rPr>
        <w:t>5%</w:t>
      </w:r>
      <w:r>
        <w:rPr>
          <w:rFonts w:ascii="Arial" w:hAnsi="Arial" w:eastAsia="宋体" w:cs="Arial"/>
          <w:color w:val="auto"/>
          <w:szCs w:val="21"/>
          <w:highlight w:val="none"/>
        </w:rPr>
        <w:t>，超过</w:t>
      </w:r>
      <w:r>
        <w:rPr>
          <w:rFonts w:ascii="Arial" w:hAnsi="Arial" w:eastAsia="宋体" w:cs="Arial"/>
          <w:color w:val="auto"/>
          <w:highlight w:val="none"/>
          <w:u w:val="single"/>
        </w:rPr>
        <w:t>7天</w:t>
      </w:r>
      <w:r>
        <w:rPr>
          <w:rFonts w:ascii="Arial" w:hAnsi="Arial" w:eastAsia="宋体" w:cs="Arial"/>
          <w:color w:val="auto"/>
          <w:szCs w:val="21"/>
          <w:highlight w:val="none"/>
        </w:rPr>
        <w:t>对方有权解除合同，违约方承担因此给对方造成经济损失；甲方延期付货款的，每天向乙方偿付延期货款额3‰滞纳金，但滞纳金累计不得超过延期货款额5%。</w:t>
      </w:r>
    </w:p>
    <w:p w14:paraId="26EAFD4D">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5.乙方未按本合同和投标（响应）文件中规定的服务承诺提供售后服务的，乙方应按本合同合计金额 5%向甲方支付违约金。</w:t>
      </w:r>
    </w:p>
    <w:p w14:paraId="20042FB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6.乙方提供的货物在质量保证期内，因设计、工艺或材料的缺陷和其它质量原因造成的问题，由乙方负责，费用从履约保证金中扣除，不足另补。</w:t>
      </w:r>
    </w:p>
    <w:p w14:paraId="5BA84B69">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7.其它违约行为按违约货款额5%收取违约金并赔偿经济损失。</w:t>
      </w:r>
    </w:p>
    <w:p w14:paraId="6261EE9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8.乙方于响应文件中必须对所有产品的技术参数要求作出真实、有效的响应和承诺。所提供的产品必须为原装正品的、全新的、符合国家有关质量标准的产品。验收前，甲方现场根据采购文件要求及响应文件承诺对各项参数逐条对应进行核验，核验或检测数据不符合甲方要求及响应文件承诺的指标的，甲方有权终止合同执行并全部退货，由此造成甲方经济损失的由成交供应商负责承担全部赔偿责任并向甲方支付合同金额的30%违约赔偿金。如有异议，将交由国家认可并具有检验检测资质的第三方机构进行检验，若核验结果的各项参数指标不满足甲方要求及响应文件承诺的指标要求，所有产生的费用由成交供应商承担，并承担政府采购虚假竞标的相关法律责任。</w:t>
      </w:r>
    </w:p>
    <w:p w14:paraId="620BACFD">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第十三条  不可抗力事件处理</w:t>
      </w:r>
    </w:p>
    <w:p w14:paraId="74F84956">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1.在合同有效期内，任何一方因不可抗力事件导致不能履行合同，则合同履行期可延长，其延长期与不可抗力影响期相同。</w:t>
      </w:r>
    </w:p>
    <w:p w14:paraId="742269DE">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2.不可抗力事件发生后，应立即通知对方，并寄送有关权威机构出具的证明。</w:t>
      </w:r>
    </w:p>
    <w:p w14:paraId="67444CC7">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3.不可抗力事件延续120天以上，双方应通过友好协商，确定是否继续履行合同。</w:t>
      </w:r>
    </w:p>
    <w:p w14:paraId="4242541F">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第十四条  合同争议解决</w:t>
      </w:r>
    </w:p>
    <w:p w14:paraId="05A1FD56">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1.因货物质量问题发生争议的，应邀请国家认可的质量检测机构对货物质量进行鉴定。货物符合标准的，鉴定费由甲方承担；货物不符合标准的，鉴定费由乙方承担。</w:t>
      </w:r>
    </w:p>
    <w:p w14:paraId="32807814">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2.因履行本合同引起的或与本合同有关的争议，甲乙双方应首先通过友好协商解决，如果协商不能解决，可向甲方所在地的人民法院提起诉讼。</w:t>
      </w:r>
    </w:p>
    <w:p w14:paraId="058B54B6">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第十五条  合同生效及其它</w:t>
      </w:r>
    </w:p>
    <w:p w14:paraId="4D3D7B7F">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1.合同经双方法定代表人（负责人/自然人）或委托代理人签字并加盖单位公章后生效（委托代理人签字的需后附法定代表人授权委托书，格式自拟）。</w:t>
      </w:r>
    </w:p>
    <w:p w14:paraId="4AB78583">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2.合同执行中涉及采购资金和采购内容修改或补充的，须经财政部门审批，并签书面补充协议报财政部门备案，方可作为主合同不可分割的一部分。</w:t>
      </w:r>
    </w:p>
    <w:p w14:paraId="7D89CC47">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3.本合同未尽事宜，遵照《</w:t>
      </w:r>
      <w:r>
        <w:rPr>
          <w:rFonts w:ascii="Arial" w:hAnsi="Arial" w:eastAsia="宋体" w:cs="Arial"/>
          <w:color w:val="auto"/>
          <w:szCs w:val="21"/>
          <w:highlight w:val="none"/>
          <w:shd w:val="clear" w:color="auto" w:fill="FFFFFF"/>
        </w:rPr>
        <w:t>中华人民共和国民法典</w:t>
      </w:r>
      <w:r>
        <w:rPr>
          <w:rFonts w:ascii="Arial" w:hAnsi="Arial" w:eastAsia="宋体" w:cs="Arial"/>
          <w:color w:val="auto"/>
          <w:szCs w:val="21"/>
          <w:highlight w:val="none"/>
        </w:rPr>
        <w:t>》有关条文执行。</w:t>
      </w:r>
    </w:p>
    <w:p w14:paraId="2A6EA9E5">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第十六条　合同的变更、终止与转让</w:t>
      </w:r>
    </w:p>
    <w:p w14:paraId="72787175">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1.除《中华人民共和国政府采购法》第五十条规定的情形外，本合同一经签订，甲乙双方不得擅自变更、中止或终止合同。</w:t>
      </w:r>
    </w:p>
    <w:p w14:paraId="11A58959">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2.乙方不得擅自转让其应履行的合同义务。</w:t>
      </w:r>
    </w:p>
    <w:p w14:paraId="1692C7EB">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第十七条　签订本合同依据</w:t>
      </w:r>
    </w:p>
    <w:p w14:paraId="180C38C6">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1.中标（成交）通知书；</w:t>
      </w:r>
    </w:p>
    <w:p w14:paraId="27EAB276">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2.乙方提供的投标(响应)文件、应答文件；</w:t>
      </w:r>
    </w:p>
    <w:p w14:paraId="71CD2AFC">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3.采购文件及更正公告（澄清或补充通知）；</w:t>
      </w:r>
    </w:p>
    <w:p w14:paraId="66F708BF">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4.标准、规范及有关技术文件；</w:t>
      </w:r>
    </w:p>
    <w:p w14:paraId="2E176353">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5.双方约定的其他合同文件。</w:t>
      </w:r>
    </w:p>
    <w:p w14:paraId="524A3C1F">
      <w:pPr>
        <w:snapToGrid w:val="0"/>
        <w:spacing w:after="0" w:line="312" w:lineRule="auto"/>
        <w:rPr>
          <w:rFonts w:ascii="Arial" w:hAnsi="Arial" w:eastAsia="宋体" w:cs="Arial"/>
          <w:color w:val="auto"/>
          <w:szCs w:val="21"/>
          <w:highlight w:val="none"/>
        </w:rPr>
      </w:pPr>
      <w:r>
        <w:rPr>
          <w:rFonts w:ascii="Arial" w:hAnsi="Arial" w:eastAsia="宋体" w:cs="Arial"/>
          <w:b/>
          <w:color w:val="auto"/>
          <w:szCs w:val="21"/>
          <w:highlight w:val="none"/>
        </w:rPr>
        <w:t>第十八条　本合同一式四份，具有同等法律效力，甲方两份、乙方一份、采购代理机构一份（可根据需要另增加）</w:t>
      </w:r>
      <w:r>
        <w:rPr>
          <w:rFonts w:ascii="Arial" w:hAnsi="Arial" w:eastAsia="宋体" w:cs="Arial"/>
          <w:color w:val="auto"/>
          <w:szCs w:val="21"/>
          <w:highlight w:val="none"/>
        </w:rPr>
        <w:t>。</w:t>
      </w:r>
    </w:p>
    <w:p w14:paraId="04F14A5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本合同甲乙双方签字并盖章后生效。</w:t>
      </w:r>
    </w:p>
    <w:p w14:paraId="37BE3769">
      <w:pPr>
        <w:snapToGrid w:val="0"/>
        <w:spacing w:after="0" w:line="312" w:lineRule="auto"/>
        <w:rPr>
          <w:rFonts w:ascii="Arial" w:hAnsi="Arial" w:eastAsia="宋体" w:cs="Arial"/>
          <w:color w:val="auto"/>
          <w:szCs w:val="21"/>
          <w:highlight w:val="none"/>
        </w:rPr>
      </w:pPr>
    </w:p>
    <w:tbl>
      <w:tblPr>
        <w:tblStyle w:val="24"/>
        <w:tblW w:w="9033"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72DE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trPr>
        <w:tc>
          <w:tcPr>
            <w:tcW w:w="4516" w:type="dxa"/>
            <w:vAlign w:val="center"/>
          </w:tcPr>
          <w:p w14:paraId="17609362">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 xml:space="preserve">甲方（章）           </w:t>
            </w:r>
          </w:p>
          <w:p w14:paraId="6F02E114">
            <w:pPr>
              <w:snapToGrid w:val="0"/>
              <w:spacing w:after="0" w:line="312" w:lineRule="auto"/>
              <w:rPr>
                <w:rFonts w:ascii="Arial" w:hAnsi="Arial" w:eastAsia="宋体" w:cs="Arial"/>
                <w:color w:val="auto"/>
                <w:szCs w:val="21"/>
                <w:highlight w:val="none"/>
              </w:rPr>
            </w:pPr>
          </w:p>
          <w:p w14:paraId="5C81AB3C">
            <w:pPr>
              <w:snapToGrid w:val="0"/>
              <w:spacing w:after="0" w:line="312" w:lineRule="auto"/>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年   月   日</w:t>
            </w:r>
          </w:p>
        </w:tc>
        <w:tc>
          <w:tcPr>
            <w:tcW w:w="4517" w:type="dxa"/>
            <w:vAlign w:val="center"/>
          </w:tcPr>
          <w:p w14:paraId="7592F715">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 xml:space="preserve">乙方（章）              </w:t>
            </w:r>
          </w:p>
          <w:p w14:paraId="221DDC1D">
            <w:pPr>
              <w:snapToGrid w:val="0"/>
              <w:spacing w:after="0" w:line="312" w:lineRule="auto"/>
              <w:rPr>
                <w:rFonts w:ascii="Arial" w:hAnsi="Arial" w:eastAsia="宋体" w:cs="Arial"/>
                <w:color w:val="auto"/>
                <w:szCs w:val="21"/>
                <w:highlight w:val="none"/>
              </w:rPr>
            </w:pPr>
          </w:p>
          <w:p w14:paraId="6E920532">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 xml:space="preserve">       年   月   日</w:t>
            </w:r>
          </w:p>
        </w:tc>
      </w:tr>
      <w:tr w14:paraId="554C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516" w:type="dxa"/>
            <w:vAlign w:val="center"/>
          </w:tcPr>
          <w:p w14:paraId="54304B23">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单位地址：桂林市七星区建干路12号</w:t>
            </w:r>
          </w:p>
        </w:tc>
        <w:tc>
          <w:tcPr>
            <w:tcW w:w="4517" w:type="dxa"/>
            <w:vAlign w:val="center"/>
          </w:tcPr>
          <w:p w14:paraId="5BBF4F29">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单位地址：</w:t>
            </w:r>
          </w:p>
        </w:tc>
      </w:tr>
      <w:tr w14:paraId="2626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4516" w:type="dxa"/>
            <w:vAlign w:val="center"/>
          </w:tcPr>
          <w:p w14:paraId="7CD7CD9C">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法定代表人：</w:t>
            </w:r>
          </w:p>
        </w:tc>
        <w:tc>
          <w:tcPr>
            <w:tcW w:w="4517" w:type="dxa"/>
            <w:vAlign w:val="center"/>
          </w:tcPr>
          <w:p w14:paraId="7DF7CAA9">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法定代表人：</w:t>
            </w:r>
          </w:p>
        </w:tc>
      </w:tr>
      <w:tr w14:paraId="0911F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4516" w:type="dxa"/>
            <w:vAlign w:val="center"/>
          </w:tcPr>
          <w:p w14:paraId="35930605">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委托代理人：</w:t>
            </w:r>
          </w:p>
        </w:tc>
        <w:tc>
          <w:tcPr>
            <w:tcW w:w="4517" w:type="dxa"/>
            <w:vAlign w:val="center"/>
          </w:tcPr>
          <w:p w14:paraId="645AC3AF">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委托代理人：</w:t>
            </w:r>
          </w:p>
        </w:tc>
      </w:tr>
      <w:tr w14:paraId="3E795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trPr>
        <w:tc>
          <w:tcPr>
            <w:tcW w:w="4516" w:type="dxa"/>
            <w:vAlign w:val="center"/>
          </w:tcPr>
          <w:p w14:paraId="10466B94">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电话：0773-5895090</w:t>
            </w:r>
          </w:p>
        </w:tc>
        <w:tc>
          <w:tcPr>
            <w:tcW w:w="4517" w:type="dxa"/>
            <w:vAlign w:val="center"/>
          </w:tcPr>
          <w:p w14:paraId="7899C722">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电话：</w:t>
            </w:r>
          </w:p>
        </w:tc>
      </w:tr>
      <w:tr w14:paraId="274D6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4516" w:type="dxa"/>
            <w:vAlign w:val="center"/>
          </w:tcPr>
          <w:p w14:paraId="4F0A51A5">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电子邮箱：zbk@glut.edu.cn</w:t>
            </w:r>
          </w:p>
        </w:tc>
        <w:tc>
          <w:tcPr>
            <w:tcW w:w="4517" w:type="dxa"/>
            <w:vAlign w:val="center"/>
          </w:tcPr>
          <w:p w14:paraId="59EAFF35">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电子邮箱：</w:t>
            </w:r>
          </w:p>
        </w:tc>
      </w:tr>
      <w:tr w14:paraId="484E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vAlign w:val="center"/>
          </w:tcPr>
          <w:p w14:paraId="605D2233">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开户银行：中国银行桂林分行</w:t>
            </w:r>
          </w:p>
        </w:tc>
        <w:tc>
          <w:tcPr>
            <w:tcW w:w="4517" w:type="dxa"/>
            <w:vAlign w:val="center"/>
          </w:tcPr>
          <w:p w14:paraId="6FF5EB3F">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开户银行：</w:t>
            </w:r>
          </w:p>
        </w:tc>
      </w:tr>
      <w:tr w14:paraId="5FB89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trPr>
        <w:tc>
          <w:tcPr>
            <w:tcW w:w="4516" w:type="dxa"/>
            <w:vAlign w:val="center"/>
          </w:tcPr>
          <w:p w14:paraId="100B1147">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账号：6132 5748 8744</w:t>
            </w:r>
          </w:p>
        </w:tc>
        <w:tc>
          <w:tcPr>
            <w:tcW w:w="4517" w:type="dxa"/>
            <w:vAlign w:val="center"/>
          </w:tcPr>
          <w:p w14:paraId="13A29847">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账号：</w:t>
            </w:r>
          </w:p>
        </w:tc>
      </w:tr>
      <w:tr w14:paraId="181AA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trPr>
        <w:tc>
          <w:tcPr>
            <w:tcW w:w="4516" w:type="dxa"/>
            <w:vAlign w:val="center"/>
          </w:tcPr>
          <w:p w14:paraId="4800C8DB">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邮政编码：5410044</w:t>
            </w:r>
          </w:p>
        </w:tc>
        <w:tc>
          <w:tcPr>
            <w:tcW w:w="4517" w:type="dxa"/>
            <w:vAlign w:val="center"/>
          </w:tcPr>
          <w:p w14:paraId="61265F16">
            <w:pPr>
              <w:snapToGrid w:val="0"/>
              <w:spacing w:after="0" w:line="312" w:lineRule="auto"/>
              <w:rPr>
                <w:rFonts w:ascii="Arial" w:hAnsi="Arial" w:eastAsia="宋体" w:cs="Arial"/>
                <w:color w:val="auto"/>
                <w:szCs w:val="21"/>
                <w:highlight w:val="none"/>
              </w:rPr>
            </w:pPr>
            <w:r>
              <w:rPr>
                <w:rFonts w:ascii="Arial" w:hAnsi="Arial" w:eastAsia="宋体" w:cs="Arial"/>
                <w:color w:val="auto"/>
                <w:szCs w:val="21"/>
                <w:highlight w:val="none"/>
              </w:rPr>
              <w:t>邮政编码：</w:t>
            </w:r>
          </w:p>
        </w:tc>
      </w:tr>
    </w:tbl>
    <w:p w14:paraId="5280DCE7">
      <w:pPr>
        <w:snapToGrid w:val="0"/>
        <w:spacing w:line="312" w:lineRule="auto"/>
        <w:jc w:val="center"/>
        <w:rPr>
          <w:rFonts w:ascii="Arial" w:hAnsi="Arial" w:eastAsia="宋体" w:cs="Arial"/>
          <w:b/>
          <w:color w:val="auto"/>
          <w:sz w:val="28"/>
          <w:szCs w:val="28"/>
          <w:highlight w:val="none"/>
        </w:rPr>
      </w:pPr>
    </w:p>
    <w:p w14:paraId="34A76C3A">
      <w:pPr>
        <w:snapToGrid w:val="0"/>
        <w:spacing w:line="312" w:lineRule="auto"/>
        <w:jc w:val="center"/>
        <w:rPr>
          <w:rFonts w:ascii="Arial" w:hAnsi="Arial" w:eastAsia="宋体" w:cs="Arial"/>
          <w:b/>
          <w:color w:val="auto"/>
          <w:sz w:val="28"/>
          <w:szCs w:val="28"/>
          <w:highlight w:val="none"/>
        </w:rPr>
      </w:pPr>
    </w:p>
    <w:p w14:paraId="15EFAC8A">
      <w:pPr>
        <w:snapToGrid w:val="0"/>
        <w:spacing w:line="312" w:lineRule="auto"/>
        <w:jc w:val="center"/>
        <w:rPr>
          <w:rFonts w:ascii="Arial" w:hAnsi="Arial" w:eastAsia="宋体" w:cs="Arial"/>
          <w:b/>
          <w:color w:val="auto"/>
          <w:sz w:val="28"/>
          <w:szCs w:val="28"/>
          <w:highlight w:val="none"/>
        </w:rPr>
      </w:pPr>
    </w:p>
    <w:p w14:paraId="26BAD7D7">
      <w:pPr>
        <w:snapToGrid w:val="0"/>
        <w:spacing w:line="312" w:lineRule="auto"/>
        <w:jc w:val="center"/>
        <w:rPr>
          <w:rFonts w:ascii="Arial" w:hAnsi="Arial" w:eastAsia="宋体" w:cs="Arial"/>
          <w:b/>
          <w:color w:val="auto"/>
          <w:sz w:val="28"/>
          <w:szCs w:val="28"/>
          <w:highlight w:val="none"/>
        </w:rPr>
      </w:pPr>
    </w:p>
    <w:p w14:paraId="68F7254D">
      <w:pPr>
        <w:snapToGrid w:val="0"/>
        <w:spacing w:line="312" w:lineRule="auto"/>
        <w:jc w:val="center"/>
        <w:rPr>
          <w:rFonts w:ascii="Arial" w:hAnsi="Arial" w:eastAsia="宋体" w:cs="Arial"/>
          <w:b/>
          <w:color w:val="auto"/>
          <w:sz w:val="28"/>
          <w:szCs w:val="28"/>
          <w:highlight w:val="none"/>
        </w:rPr>
      </w:pPr>
    </w:p>
    <w:p w14:paraId="6C5EDEC6">
      <w:pPr>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0E95500A">
      <w:pPr>
        <w:snapToGrid w:val="0"/>
        <w:spacing w:line="312" w:lineRule="auto"/>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合 同 附 件</w:t>
      </w:r>
    </w:p>
    <w:p w14:paraId="112C37B9">
      <w:pPr>
        <w:snapToGrid w:val="0"/>
        <w:spacing w:line="312" w:lineRule="auto"/>
        <w:ind w:firstLine="105" w:firstLineChars="50"/>
        <w:rPr>
          <w:rFonts w:ascii="Arial" w:hAnsi="Arial" w:eastAsia="宋体" w:cs="Arial"/>
          <w:color w:val="auto"/>
          <w:szCs w:val="21"/>
          <w:highlight w:val="none"/>
        </w:rPr>
      </w:pPr>
      <w:r>
        <w:rPr>
          <w:rFonts w:ascii="Arial" w:hAnsi="Arial" w:eastAsia="宋体" w:cs="Arial"/>
          <w:color w:val="auto"/>
          <w:szCs w:val="21"/>
          <w:highlight w:val="none"/>
        </w:rPr>
        <w:t>一般货物类</w:t>
      </w:r>
    </w:p>
    <w:tbl>
      <w:tblPr>
        <w:tblStyle w:val="24"/>
        <w:tblW w:w="0" w:type="auto"/>
        <w:tblInd w:w="213" w:type="dxa"/>
        <w:tblLayout w:type="fixed"/>
        <w:tblCellMar>
          <w:top w:w="0" w:type="dxa"/>
          <w:left w:w="108" w:type="dxa"/>
          <w:bottom w:w="0" w:type="dxa"/>
          <w:right w:w="108" w:type="dxa"/>
        </w:tblCellMar>
      </w:tblPr>
      <w:tblGrid>
        <w:gridCol w:w="8522"/>
      </w:tblGrid>
      <w:tr w14:paraId="23360A7B">
        <w:tblPrEx>
          <w:tblCellMar>
            <w:top w:w="0" w:type="dxa"/>
            <w:left w:w="108" w:type="dxa"/>
            <w:bottom w:w="0" w:type="dxa"/>
            <w:right w:w="108" w:type="dxa"/>
          </w:tblCellMar>
        </w:tblPrEx>
        <w:trPr>
          <w:trHeight w:val="1226" w:hRule="atLeast"/>
        </w:trPr>
        <w:tc>
          <w:tcPr>
            <w:tcW w:w="8522" w:type="dxa"/>
            <w:tcBorders>
              <w:top w:val="single" w:color="auto" w:sz="4" w:space="0"/>
              <w:left w:val="single" w:color="auto" w:sz="4" w:space="0"/>
              <w:right w:val="single" w:color="auto" w:sz="4" w:space="0"/>
            </w:tcBorders>
          </w:tcPr>
          <w:p w14:paraId="68626E80">
            <w:pPr>
              <w:snapToGrid w:val="0"/>
              <w:spacing w:line="312" w:lineRule="auto"/>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1．供应商承诺具体事项：</w:t>
            </w:r>
          </w:p>
        </w:tc>
      </w:tr>
      <w:tr w14:paraId="16777C79">
        <w:tblPrEx>
          <w:tblCellMar>
            <w:top w:w="0" w:type="dxa"/>
            <w:left w:w="108" w:type="dxa"/>
            <w:bottom w:w="0" w:type="dxa"/>
            <w:right w:w="108" w:type="dxa"/>
          </w:tblCellMar>
        </w:tblPrEx>
        <w:trPr>
          <w:trHeight w:val="1228" w:hRule="atLeast"/>
        </w:trPr>
        <w:tc>
          <w:tcPr>
            <w:tcW w:w="8522" w:type="dxa"/>
            <w:tcBorders>
              <w:top w:val="single" w:color="auto" w:sz="4" w:space="0"/>
              <w:left w:val="single" w:color="auto" w:sz="4" w:space="0"/>
              <w:right w:val="single" w:color="auto" w:sz="4" w:space="0"/>
            </w:tcBorders>
          </w:tcPr>
          <w:p w14:paraId="6B3CCC53">
            <w:pPr>
              <w:snapToGrid w:val="0"/>
              <w:spacing w:line="312" w:lineRule="auto"/>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2．售后服务具体事项：</w:t>
            </w:r>
          </w:p>
        </w:tc>
      </w:tr>
      <w:tr w14:paraId="68E91E5F">
        <w:tblPrEx>
          <w:tblCellMar>
            <w:top w:w="0" w:type="dxa"/>
            <w:left w:w="108" w:type="dxa"/>
            <w:bottom w:w="0" w:type="dxa"/>
            <w:right w:w="108" w:type="dxa"/>
          </w:tblCellMar>
        </w:tblPrEx>
        <w:trPr>
          <w:trHeight w:val="1088" w:hRule="atLeast"/>
        </w:trPr>
        <w:tc>
          <w:tcPr>
            <w:tcW w:w="8522" w:type="dxa"/>
            <w:tcBorders>
              <w:top w:val="single" w:color="auto" w:sz="4" w:space="0"/>
              <w:left w:val="single" w:color="auto" w:sz="4" w:space="0"/>
              <w:right w:val="single" w:color="auto" w:sz="4" w:space="0"/>
            </w:tcBorders>
          </w:tcPr>
          <w:p w14:paraId="00EEEC3A">
            <w:pPr>
              <w:snapToGrid w:val="0"/>
              <w:spacing w:line="312" w:lineRule="auto"/>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3．保修期责任：</w:t>
            </w:r>
          </w:p>
        </w:tc>
      </w:tr>
      <w:tr w14:paraId="5860836E">
        <w:tblPrEx>
          <w:tblCellMar>
            <w:top w:w="0" w:type="dxa"/>
            <w:left w:w="108" w:type="dxa"/>
            <w:bottom w:w="0" w:type="dxa"/>
            <w:right w:w="108" w:type="dxa"/>
          </w:tblCellMar>
        </w:tblPrEx>
        <w:trPr>
          <w:trHeight w:val="1360" w:hRule="atLeast"/>
        </w:trPr>
        <w:tc>
          <w:tcPr>
            <w:tcW w:w="8522" w:type="dxa"/>
            <w:tcBorders>
              <w:top w:val="single" w:color="auto" w:sz="4" w:space="0"/>
              <w:left w:val="single" w:color="auto" w:sz="4" w:space="0"/>
              <w:bottom w:val="single" w:color="auto" w:sz="4" w:space="0"/>
              <w:right w:val="single" w:color="auto" w:sz="4" w:space="0"/>
            </w:tcBorders>
          </w:tcPr>
          <w:p w14:paraId="523F1048">
            <w:pPr>
              <w:snapToGrid w:val="0"/>
              <w:spacing w:line="312" w:lineRule="auto"/>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4．其他具体事项：</w:t>
            </w:r>
          </w:p>
        </w:tc>
      </w:tr>
    </w:tbl>
    <w:p w14:paraId="099EF4AC">
      <w:pPr>
        <w:tabs>
          <w:tab w:val="left" w:pos="900"/>
        </w:tabs>
        <w:snapToGrid w:val="0"/>
        <w:spacing w:line="312" w:lineRule="auto"/>
        <w:rPr>
          <w:rFonts w:ascii="Arial" w:hAnsi="Arial" w:eastAsia="宋体" w:cs="Arial"/>
          <w:b/>
          <w:color w:val="auto"/>
          <w:szCs w:val="21"/>
          <w:highlight w:val="none"/>
        </w:rPr>
      </w:pPr>
      <w:r>
        <w:rPr>
          <w:rFonts w:ascii="Arial" w:hAnsi="Arial" w:eastAsia="宋体" w:cs="Arial"/>
          <w:color w:val="auto"/>
          <w:szCs w:val="21"/>
          <w:highlight w:val="none"/>
        </w:rPr>
        <w:t>注：售后服务事项填不下时可另加附页</w:t>
      </w:r>
      <w:r>
        <w:rPr>
          <w:rFonts w:ascii="Arial" w:hAnsi="Arial" w:eastAsia="宋体" w:cs="Arial"/>
          <w:bCs/>
          <w:color w:val="auto"/>
          <w:szCs w:val="21"/>
          <w:highlight w:val="none"/>
        </w:rPr>
        <w:br w:type="page"/>
      </w:r>
    </w:p>
    <w:p w14:paraId="321D1891">
      <w:pPr>
        <w:pStyle w:val="2"/>
        <w:spacing w:line="312" w:lineRule="auto"/>
        <w:jc w:val="center"/>
        <w:rPr>
          <w:color w:val="auto"/>
          <w:highlight w:val="none"/>
        </w:rPr>
      </w:pPr>
      <w:bookmarkStart w:id="33" w:name="_Toc25244"/>
      <w:bookmarkStart w:id="34" w:name="_Toc15843"/>
      <w:r>
        <w:rPr>
          <w:color w:val="auto"/>
          <w:highlight w:val="none"/>
        </w:rPr>
        <w:t>第六章 响应文件（格式）</w:t>
      </w:r>
      <w:bookmarkEnd w:id="33"/>
      <w:bookmarkEnd w:id="34"/>
    </w:p>
    <w:p w14:paraId="2144415A">
      <w:pPr>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r>
        <w:rPr>
          <w:rFonts w:ascii="Arial" w:hAnsi="Arial" w:eastAsia="宋体" w:cs="Arial"/>
          <w:b/>
          <w:color w:val="auto"/>
          <w:sz w:val="32"/>
          <w:szCs w:val="32"/>
          <w:highlight w:val="none"/>
        </w:rPr>
        <w:t>一、响应文件袋（盒、箱）标记</w:t>
      </w:r>
    </w:p>
    <w:p w14:paraId="528BE8E5">
      <w:pPr>
        <w:snapToGrid w:val="0"/>
        <w:spacing w:before="165" w:beforeLines="50" w:after="50" w:line="312" w:lineRule="auto"/>
        <w:jc w:val="center"/>
        <w:rPr>
          <w:rFonts w:ascii="Arial" w:hAnsi="Arial" w:eastAsia="宋体" w:cs="Arial"/>
          <w:bCs/>
          <w:color w:val="auto"/>
          <w:sz w:val="32"/>
          <w:szCs w:val="32"/>
          <w:highlight w:val="none"/>
        </w:rPr>
      </w:pPr>
    </w:p>
    <w:p w14:paraId="5C7272CE">
      <w:pPr>
        <w:snapToGrid w:val="0"/>
        <w:spacing w:before="165" w:beforeLines="50" w:after="50" w:line="312" w:lineRule="auto"/>
        <w:jc w:val="center"/>
        <w:rPr>
          <w:rFonts w:ascii="Arial" w:hAnsi="Arial" w:eastAsia="宋体" w:cs="Arial"/>
          <w:bCs/>
          <w:color w:val="auto"/>
          <w:sz w:val="32"/>
          <w:szCs w:val="32"/>
          <w:highlight w:val="none"/>
        </w:rPr>
      </w:pPr>
      <w:r>
        <w:rPr>
          <w:rFonts w:ascii="Arial" w:hAnsi="Arial" w:eastAsia="宋体" w:cs="Arial"/>
          <w:bCs/>
          <w:color w:val="auto"/>
          <w:sz w:val="32"/>
          <w:szCs w:val="32"/>
          <w:highlight w:val="none"/>
        </w:rPr>
        <w:t>响 应 文 件</w:t>
      </w:r>
    </w:p>
    <w:p w14:paraId="2DAB2BF8">
      <w:pPr>
        <w:snapToGrid w:val="0"/>
        <w:spacing w:before="165" w:beforeLines="50" w:after="50" w:line="312" w:lineRule="auto"/>
        <w:rPr>
          <w:rFonts w:ascii="Arial" w:hAnsi="Arial" w:eastAsia="宋体" w:cs="Arial"/>
          <w:bCs/>
          <w:color w:val="auto"/>
          <w:sz w:val="24"/>
          <w:szCs w:val="20"/>
          <w:highlight w:val="none"/>
        </w:rPr>
      </w:pPr>
    </w:p>
    <w:p w14:paraId="1AC2887C">
      <w:pPr>
        <w:snapToGrid w:val="0"/>
        <w:spacing w:before="165" w:beforeLines="50" w:after="50" w:line="312" w:lineRule="auto"/>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项目名称：</w:t>
      </w:r>
    </w:p>
    <w:p w14:paraId="33FACA26">
      <w:pPr>
        <w:snapToGrid w:val="0"/>
        <w:spacing w:before="165" w:beforeLines="50" w:after="50" w:line="312" w:lineRule="auto"/>
        <w:ind w:firstLine="360" w:firstLineChars="150"/>
        <w:rPr>
          <w:rFonts w:ascii="Arial" w:hAnsi="Arial" w:eastAsia="宋体" w:cs="Arial"/>
          <w:bCs/>
          <w:color w:val="auto"/>
          <w:sz w:val="24"/>
          <w:szCs w:val="20"/>
          <w:highlight w:val="none"/>
        </w:rPr>
      </w:pPr>
    </w:p>
    <w:p w14:paraId="3729EA1F">
      <w:pPr>
        <w:snapToGrid w:val="0"/>
        <w:spacing w:before="165" w:beforeLines="50" w:after="50" w:line="312" w:lineRule="auto"/>
        <w:ind w:firstLine="360" w:firstLineChars="150"/>
        <w:rPr>
          <w:rFonts w:ascii="Arial" w:hAnsi="Arial" w:eastAsia="宋体" w:cs="Arial"/>
          <w:bCs/>
          <w:color w:val="auto"/>
          <w:sz w:val="24"/>
          <w:szCs w:val="20"/>
          <w:highlight w:val="none"/>
        </w:rPr>
      </w:pPr>
    </w:p>
    <w:p w14:paraId="5E078AB1">
      <w:pPr>
        <w:snapToGrid w:val="0"/>
        <w:spacing w:before="165" w:beforeLines="50" w:after="50" w:line="312" w:lineRule="auto"/>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项目编号：</w:t>
      </w:r>
    </w:p>
    <w:p w14:paraId="62608390">
      <w:pPr>
        <w:snapToGrid w:val="0"/>
        <w:spacing w:before="165" w:beforeLines="50" w:after="50" w:line="312" w:lineRule="auto"/>
        <w:rPr>
          <w:rFonts w:ascii="Arial" w:hAnsi="Arial" w:eastAsia="宋体" w:cs="Arial"/>
          <w:bCs/>
          <w:color w:val="auto"/>
          <w:sz w:val="24"/>
          <w:highlight w:val="none"/>
        </w:rPr>
      </w:pPr>
    </w:p>
    <w:p w14:paraId="2BA40E4B">
      <w:pPr>
        <w:snapToGrid w:val="0"/>
        <w:spacing w:before="165" w:beforeLines="50" w:after="50" w:line="312" w:lineRule="auto"/>
        <w:ind w:firstLine="360" w:firstLineChars="150"/>
        <w:rPr>
          <w:rFonts w:ascii="Arial" w:hAnsi="Arial" w:eastAsia="宋体" w:cs="Arial"/>
          <w:bCs/>
          <w:color w:val="auto"/>
          <w:sz w:val="24"/>
          <w:highlight w:val="none"/>
        </w:rPr>
      </w:pPr>
    </w:p>
    <w:p w14:paraId="4FC52B10">
      <w:pPr>
        <w:snapToGrid w:val="0"/>
        <w:spacing w:before="165" w:beforeLines="50" w:after="50" w:line="312" w:lineRule="auto"/>
        <w:ind w:firstLine="360" w:firstLineChars="150"/>
        <w:rPr>
          <w:rFonts w:hint="eastAsia" w:ascii="Arial" w:hAnsi="Arial" w:eastAsia="宋体" w:cs="Arial"/>
          <w:bCs/>
          <w:color w:val="auto"/>
          <w:sz w:val="24"/>
          <w:highlight w:val="none"/>
          <w:lang w:eastAsia="zh-CN"/>
        </w:rPr>
      </w:pPr>
      <w:r>
        <w:rPr>
          <w:rFonts w:ascii="Arial" w:hAnsi="Arial" w:eastAsia="宋体" w:cs="Arial"/>
          <w:bCs/>
          <w:color w:val="auto"/>
          <w:sz w:val="24"/>
          <w:highlight w:val="none"/>
        </w:rPr>
        <w:t>采购代理机构：</w:t>
      </w:r>
      <w:r>
        <w:rPr>
          <w:rFonts w:hint="eastAsia" w:ascii="Arial" w:hAnsi="Arial" w:eastAsia="宋体" w:cs="Arial"/>
          <w:bCs/>
          <w:color w:val="auto"/>
          <w:sz w:val="24"/>
          <w:highlight w:val="none"/>
          <w:lang w:eastAsia="zh-CN"/>
        </w:rPr>
        <w:t>广西机电设备招标有限公司</w:t>
      </w:r>
    </w:p>
    <w:p w14:paraId="5A11DA28">
      <w:pPr>
        <w:snapToGrid w:val="0"/>
        <w:spacing w:before="165" w:beforeLines="50" w:after="50" w:line="312" w:lineRule="auto"/>
        <w:ind w:firstLine="360" w:firstLineChars="150"/>
        <w:rPr>
          <w:rFonts w:ascii="Arial" w:hAnsi="Arial" w:eastAsia="宋体" w:cs="Arial"/>
          <w:bCs/>
          <w:color w:val="auto"/>
          <w:sz w:val="24"/>
          <w:highlight w:val="none"/>
        </w:rPr>
      </w:pPr>
    </w:p>
    <w:p w14:paraId="79EB0619">
      <w:pPr>
        <w:snapToGrid w:val="0"/>
        <w:spacing w:before="165" w:beforeLines="50" w:after="50" w:line="312" w:lineRule="auto"/>
        <w:ind w:firstLine="360" w:firstLineChars="150"/>
        <w:rPr>
          <w:rFonts w:ascii="Arial" w:hAnsi="Arial" w:eastAsia="宋体" w:cs="Arial"/>
          <w:bCs/>
          <w:color w:val="auto"/>
          <w:sz w:val="24"/>
          <w:highlight w:val="none"/>
        </w:rPr>
      </w:pPr>
    </w:p>
    <w:p w14:paraId="4855D78E">
      <w:pPr>
        <w:snapToGrid w:val="0"/>
        <w:spacing w:before="165" w:beforeLines="50" w:after="50" w:line="312" w:lineRule="auto"/>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供应商名称：</w:t>
      </w:r>
    </w:p>
    <w:p w14:paraId="203B40C6">
      <w:pPr>
        <w:snapToGrid w:val="0"/>
        <w:spacing w:before="165" w:beforeLines="50" w:after="50" w:line="312" w:lineRule="auto"/>
        <w:ind w:firstLine="360" w:firstLineChars="150"/>
        <w:rPr>
          <w:rFonts w:ascii="Arial" w:hAnsi="Arial" w:eastAsia="宋体" w:cs="Arial"/>
          <w:bCs/>
          <w:color w:val="auto"/>
          <w:sz w:val="24"/>
          <w:highlight w:val="none"/>
        </w:rPr>
      </w:pPr>
    </w:p>
    <w:p w14:paraId="1C30ABC5">
      <w:pPr>
        <w:snapToGrid w:val="0"/>
        <w:spacing w:before="165" w:beforeLines="50" w:after="50" w:line="312" w:lineRule="auto"/>
        <w:ind w:firstLine="360" w:firstLineChars="150"/>
        <w:rPr>
          <w:rFonts w:ascii="Arial" w:hAnsi="Arial" w:eastAsia="宋体" w:cs="Arial"/>
          <w:bCs/>
          <w:color w:val="auto"/>
          <w:sz w:val="24"/>
          <w:highlight w:val="none"/>
        </w:rPr>
      </w:pPr>
    </w:p>
    <w:p w14:paraId="123A751E">
      <w:pPr>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67ABBD7D">
      <w:pPr>
        <w:spacing w:line="312" w:lineRule="auto"/>
        <w:rPr>
          <w:rFonts w:ascii="Arial" w:hAnsi="Arial" w:eastAsia="宋体" w:cs="Arial"/>
          <w:b/>
          <w:color w:val="auto"/>
          <w:sz w:val="32"/>
          <w:szCs w:val="32"/>
          <w:highlight w:val="none"/>
        </w:rPr>
      </w:pPr>
    </w:p>
    <w:p w14:paraId="42914A17">
      <w:pPr>
        <w:snapToGrid w:val="0"/>
        <w:spacing w:before="165" w:beforeLines="50" w:after="50" w:line="312" w:lineRule="auto"/>
        <w:jc w:val="right"/>
        <w:rPr>
          <w:rFonts w:ascii="Arial" w:hAnsi="Arial" w:eastAsia="宋体" w:cs="Arial"/>
          <w:bCs/>
          <w:color w:val="auto"/>
          <w:sz w:val="32"/>
          <w:szCs w:val="32"/>
          <w:highlight w:val="none"/>
        </w:rPr>
      </w:pPr>
      <w:r>
        <w:rPr>
          <w:rFonts w:ascii="Arial" w:hAnsi="Arial" w:eastAsia="宋体" w:cs="Arial"/>
          <w:bCs/>
          <w:color w:val="auto"/>
          <w:sz w:val="32"/>
          <w:szCs w:val="32"/>
          <w:highlight w:val="none"/>
        </w:rPr>
        <w:t>正本/副本</w:t>
      </w:r>
    </w:p>
    <w:p w14:paraId="5AD41A7D">
      <w:pPr>
        <w:snapToGrid w:val="0"/>
        <w:spacing w:before="165" w:beforeLines="50" w:after="50" w:line="312" w:lineRule="auto"/>
        <w:jc w:val="center"/>
        <w:rPr>
          <w:rFonts w:ascii="Arial" w:hAnsi="Arial" w:eastAsia="宋体" w:cs="Arial"/>
          <w:bCs/>
          <w:color w:val="auto"/>
          <w:sz w:val="32"/>
          <w:szCs w:val="32"/>
          <w:highlight w:val="none"/>
        </w:rPr>
      </w:pPr>
    </w:p>
    <w:p w14:paraId="160907DA">
      <w:pPr>
        <w:snapToGrid w:val="0"/>
        <w:spacing w:before="165" w:beforeLines="50" w:after="50" w:line="312" w:lineRule="auto"/>
        <w:jc w:val="center"/>
        <w:rPr>
          <w:rFonts w:ascii="Arial" w:hAnsi="Arial" w:eastAsia="宋体" w:cs="Arial"/>
          <w:bCs/>
          <w:color w:val="auto"/>
          <w:sz w:val="32"/>
          <w:szCs w:val="32"/>
          <w:highlight w:val="none"/>
        </w:rPr>
      </w:pPr>
      <w:r>
        <w:rPr>
          <w:rFonts w:ascii="Arial" w:hAnsi="Arial" w:eastAsia="宋体" w:cs="Arial"/>
          <w:bCs/>
          <w:color w:val="auto"/>
          <w:sz w:val="32"/>
          <w:szCs w:val="32"/>
          <w:highlight w:val="none"/>
        </w:rPr>
        <w:t>响 应 文 件</w:t>
      </w:r>
    </w:p>
    <w:p w14:paraId="737EF2E2">
      <w:pPr>
        <w:snapToGrid w:val="0"/>
        <w:spacing w:before="165" w:beforeLines="50" w:after="50" w:line="312" w:lineRule="auto"/>
        <w:rPr>
          <w:rFonts w:ascii="Arial" w:hAnsi="Arial" w:eastAsia="宋体" w:cs="Arial"/>
          <w:bCs/>
          <w:color w:val="auto"/>
          <w:sz w:val="24"/>
          <w:szCs w:val="20"/>
          <w:highlight w:val="none"/>
        </w:rPr>
      </w:pPr>
    </w:p>
    <w:p w14:paraId="6838CD3F">
      <w:pPr>
        <w:snapToGrid w:val="0"/>
        <w:spacing w:before="165" w:beforeLines="50" w:after="50" w:line="312" w:lineRule="auto"/>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项目名称：</w:t>
      </w:r>
    </w:p>
    <w:p w14:paraId="6626E18C">
      <w:pPr>
        <w:snapToGrid w:val="0"/>
        <w:spacing w:before="165" w:beforeLines="50" w:after="50" w:line="312" w:lineRule="auto"/>
        <w:ind w:firstLine="360" w:firstLineChars="150"/>
        <w:rPr>
          <w:rFonts w:ascii="Arial" w:hAnsi="Arial" w:eastAsia="宋体" w:cs="Arial"/>
          <w:bCs/>
          <w:color w:val="auto"/>
          <w:sz w:val="24"/>
          <w:szCs w:val="20"/>
          <w:highlight w:val="none"/>
        </w:rPr>
      </w:pPr>
    </w:p>
    <w:p w14:paraId="7CA794C4">
      <w:pPr>
        <w:snapToGrid w:val="0"/>
        <w:spacing w:before="165" w:beforeLines="50" w:after="50" w:line="312" w:lineRule="auto"/>
        <w:ind w:firstLine="360" w:firstLineChars="150"/>
        <w:rPr>
          <w:rFonts w:ascii="Arial" w:hAnsi="Arial" w:eastAsia="宋体" w:cs="Arial"/>
          <w:bCs/>
          <w:color w:val="auto"/>
          <w:sz w:val="24"/>
          <w:szCs w:val="20"/>
          <w:highlight w:val="none"/>
        </w:rPr>
      </w:pPr>
    </w:p>
    <w:p w14:paraId="44032C66">
      <w:pPr>
        <w:snapToGrid w:val="0"/>
        <w:spacing w:before="165" w:beforeLines="50" w:after="50" w:line="312" w:lineRule="auto"/>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项目编号：</w:t>
      </w:r>
    </w:p>
    <w:p w14:paraId="48CB0F02">
      <w:pPr>
        <w:snapToGrid w:val="0"/>
        <w:spacing w:before="165" w:beforeLines="50" w:after="50" w:line="312" w:lineRule="auto"/>
        <w:ind w:firstLine="360" w:firstLineChars="150"/>
        <w:rPr>
          <w:rFonts w:ascii="Arial" w:hAnsi="Arial" w:eastAsia="宋体" w:cs="Arial"/>
          <w:bCs/>
          <w:color w:val="auto"/>
          <w:sz w:val="24"/>
          <w:szCs w:val="20"/>
          <w:highlight w:val="none"/>
        </w:rPr>
      </w:pPr>
    </w:p>
    <w:p w14:paraId="310BA448">
      <w:pPr>
        <w:spacing w:line="312" w:lineRule="auto"/>
        <w:rPr>
          <w:rFonts w:ascii="Arial" w:hAnsi="Arial" w:eastAsia="宋体" w:cs="Arial"/>
          <w:color w:val="auto"/>
          <w:szCs w:val="21"/>
          <w:highlight w:val="none"/>
        </w:rPr>
      </w:pPr>
    </w:p>
    <w:p w14:paraId="26AA2EDB">
      <w:pPr>
        <w:snapToGrid w:val="0"/>
        <w:spacing w:before="165" w:beforeLines="50" w:after="50" w:line="312" w:lineRule="auto"/>
        <w:ind w:firstLine="360" w:firstLineChars="150"/>
        <w:rPr>
          <w:rFonts w:hint="eastAsia" w:ascii="Arial" w:hAnsi="Arial" w:eastAsia="宋体" w:cs="Arial"/>
          <w:bCs/>
          <w:color w:val="auto"/>
          <w:sz w:val="24"/>
          <w:highlight w:val="none"/>
          <w:lang w:eastAsia="zh-CN"/>
        </w:rPr>
      </w:pPr>
      <w:r>
        <w:rPr>
          <w:rFonts w:ascii="Arial" w:hAnsi="Arial" w:eastAsia="宋体" w:cs="Arial"/>
          <w:bCs/>
          <w:color w:val="auto"/>
          <w:sz w:val="24"/>
          <w:highlight w:val="none"/>
        </w:rPr>
        <w:t>采购代理机构：</w:t>
      </w:r>
      <w:r>
        <w:rPr>
          <w:rFonts w:hint="eastAsia" w:ascii="Arial" w:hAnsi="Arial" w:eastAsia="宋体" w:cs="Arial"/>
          <w:bCs/>
          <w:color w:val="auto"/>
          <w:sz w:val="24"/>
          <w:highlight w:val="none"/>
          <w:lang w:eastAsia="zh-CN"/>
        </w:rPr>
        <w:t>广西机电设备招标有限公司</w:t>
      </w:r>
    </w:p>
    <w:p w14:paraId="69D45316">
      <w:pPr>
        <w:snapToGrid w:val="0"/>
        <w:spacing w:before="165" w:beforeLines="50" w:after="50" w:line="312" w:lineRule="auto"/>
        <w:ind w:firstLine="360" w:firstLineChars="150"/>
        <w:rPr>
          <w:rFonts w:ascii="Arial" w:hAnsi="Arial" w:eastAsia="宋体" w:cs="Arial"/>
          <w:bCs/>
          <w:color w:val="auto"/>
          <w:sz w:val="24"/>
          <w:highlight w:val="none"/>
        </w:rPr>
      </w:pPr>
    </w:p>
    <w:p w14:paraId="1184506E">
      <w:pPr>
        <w:snapToGrid w:val="0"/>
        <w:spacing w:before="165" w:beforeLines="50" w:after="50" w:line="312" w:lineRule="auto"/>
        <w:ind w:firstLine="360" w:firstLineChars="150"/>
        <w:rPr>
          <w:rFonts w:ascii="Arial" w:hAnsi="Arial" w:eastAsia="宋体" w:cs="Arial"/>
          <w:bCs/>
          <w:color w:val="auto"/>
          <w:sz w:val="24"/>
          <w:highlight w:val="none"/>
        </w:rPr>
      </w:pPr>
    </w:p>
    <w:p w14:paraId="1C0E52D8">
      <w:pPr>
        <w:snapToGrid w:val="0"/>
        <w:spacing w:before="165" w:beforeLines="50" w:after="50" w:line="312" w:lineRule="auto"/>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供应商名称：</w:t>
      </w:r>
    </w:p>
    <w:p w14:paraId="6C8CFBDD">
      <w:pPr>
        <w:spacing w:line="312" w:lineRule="auto"/>
        <w:rPr>
          <w:rFonts w:ascii="Arial" w:hAnsi="Arial" w:eastAsia="宋体" w:cs="Arial"/>
          <w:b/>
          <w:color w:val="auto"/>
          <w:sz w:val="32"/>
          <w:szCs w:val="32"/>
          <w:highlight w:val="none"/>
        </w:rPr>
      </w:pPr>
    </w:p>
    <w:p w14:paraId="77A72D7D">
      <w:pPr>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r>
        <w:rPr>
          <w:rFonts w:ascii="Arial" w:hAnsi="Arial" w:eastAsia="宋体" w:cs="Arial"/>
          <w:b/>
          <w:color w:val="auto"/>
          <w:sz w:val="32"/>
          <w:szCs w:val="32"/>
          <w:highlight w:val="none"/>
        </w:rPr>
        <w:t>二、响应文件组成</w:t>
      </w:r>
    </w:p>
    <w:p w14:paraId="63891D4D">
      <w:pPr>
        <w:spacing w:line="312" w:lineRule="auto"/>
        <w:rPr>
          <w:rFonts w:ascii="Arial" w:hAnsi="Arial" w:eastAsia="宋体" w:cs="Arial"/>
          <w:b/>
          <w:bCs/>
          <w:color w:val="auto"/>
          <w:sz w:val="24"/>
          <w:highlight w:val="none"/>
        </w:rPr>
      </w:pPr>
    </w:p>
    <w:p w14:paraId="1E360DC8">
      <w:pPr>
        <w:spacing w:line="312" w:lineRule="auto"/>
        <w:rPr>
          <w:rFonts w:ascii="Arial" w:hAnsi="Arial" w:eastAsia="宋体" w:cs="Arial"/>
          <w:b/>
          <w:bCs/>
          <w:color w:val="auto"/>
          <w:sz w:val="24"/>
          <w:highlight w:val="none"/>
        </w:rPr>
      </w:pPr>
    </w:p>
    <w:p w14:paraId="1ABB8055">
      <w:pPr>
        <w:spacing w:line="312" w:lineRule="auto"/>
        <w:rPr>
          <w:rFonts w:ascii="Arial" w:hAnsi="Arial" w:eastAsia="宋体" w:cs="Arial"/>
          <w:b/>
          <w:bCs/>
          <w:color w:val="auto"/>
          <w:sz w:val="24"/>
          <w:highlight w:val="none"/>
        </w:rPr>
      </w:pPr>
      <w:r>
        <w:rPr>
          <w:rFonts w:ascii="Arial" w:hAnsi="Arial" w:eastAsia="宋体" w:cs="Arial"/>
          <w:b/>
          <w:bCs/>
          <w:color w:val="auto"/>
          <w:sz w:val="24"/>
          <w:highlight w:val="none"/>
        </w:rPr>
        <w:t>（一）</w:t>
      </w:r>
      <w:r>
        <w:rPr>
          <w:rFonts w:ascii="Arial" w:hAnsi="Arial" w:eastAsia="宋体" w:cs="Arial"/>
          <w:b/>
          <w:color w:val="auto"/>
          <w:sz w:val="32"/>
          <w:szCs w:val="32"/>
          <w:highlight w:val="none"/>
        </w:rPr>
        <w:t>资格性响应证明材料</w:t>
      </w:r>
    </w:p>
    <w:p w14:paraId="26370C14">
      <w:pPr>
        <w:spacing w:line="312" w:lineRule="auto"/>
        <w:rPr>
          <w:rFonts w:ascii="Arial" w:hAnsi="Arial" w:eastAsia="宋体" w:cs="Arial"/>
          <w:b/>
          <w:bCs/>
          <w:color w:val="auto"/>
          <w:sz w:val="24"/>
          <w:highlight w:val="none"/>
        </w:rPr>
      </w:pPr>
    </w:p>
    <w:p w14:paraId="28D734E2">
      <w:pPr>
        <w:spacing w:line="312" w:lineRule="auto"/>
        <w:rPr>
          <w:rFonts w:ascii="Arial" w:hAnsi="Arial" w:eastAsia="宋体" w:cs="Arial"/>
          <w:b/>
          <w:bCs/>
          <w:color w:val="auto"/>
          <w:sz w:val="24"/>
          <w:highlight w:val="none"/>
        </w:rPr>
      </w:pPr>
    </w:p>
    <w:p w14:paraId="63147EDE">
      <w:pPr>
        <w:spacing w:line="312" w:lineRule="auto"/>
        <w:rPr>
          <w:rFonts w:ascii="Arial" w:hAnsi="Arial" w:eastAsia="宋体" w:cs="Arial"/>
          <w:b/>
          <w:bCs/>
          <w:color w:val="auto"/>
          <w:sz w:val="24"/>
          <w:highlight w:val="none"/>
        </w:rPr>
      </w:pPr>
    </w:p>
    <w:p w14:paraId="2453F067">
      <w:pPr>
        <w:spacing w:line="312" w:lineRule="auto"/>
        <w:rPr>
          <w:rFonts w:ascii="Arial" w:hAnsi="Arial" w:eastAsia="宋体" w:cs="Arial"/>
          <w:b/>
          <w:bCs/>
          <w:color w:val="auto"/>
          <w:sz w:val="24"/>
          <w:highlight w:val="none"/>
        </w:rPr>
      </w:pPr>
      <w:r>
        <w:rPr>
          <w:rFonts w:ascii="Arial" w:hAnsi="Arial" w:eastAsia="宋体" w:cs="Arial"/>
          <w:b/>
          <w:bCs/>
          <w:color w:val="auto"/>
          <w:sz w:val="24"/>
          <w:highlight w:val="none"/>
        </w:rPr>
        <w:t>（二）</w:t>
      </w:r>
      <w:r>
        <w:rPr>
          <w:rFonts w:ascii="Arial" w:hAnsi="Arial" w:eastAsia="宋体" w:cs="Arial"/>
          <w:b/>
          <w:color w:val="auto"/>
          <w:sz w:val="32"/>
          <w:szCs w:val="32"/>
          <w:highlight w:val="none"/>
        </w:rPr>
        <w:t>符合性响应证明材料</w:t>
      </w:r>
    </w:p>
    <w:p w14:paraId="433A6C85">
      <w:pPr>
        <w:spacing w:line="312" w:lineRule="auto"/>
        <w:rPr>
          <w:rFonts w:ascii="Arial" w:hAnsi="Arial" w:eastAsia="宋体" w:cs="Arial"/>
          <w:b/>
          <w:bCs/>
          <w:color w:val="auto"/>
          <w:sz w:val="24"/>
          <w:highlight w:val="none"/>
        </w:rPr>
      </w:pPr>
    </w:p>
    <w:p w14:paraId="336200A3">
      <w:pPr>
        <w:spacing w:line="312" w:lineRule="auto"/>
        <w:rPr>
          <w:rFonts w:ascii="Arial" w:hAnsi="Arial" w:eastAsia="宋体" w:cs="Arial"/>
          <w:b/>
          <w:bCs/>
          <w:color w:val="auto"/>
          <w:sz w:val="24"/>
          <w:highlight w:val="none"/>
        </w:rPr>
      </w:pPr>
    </w:p>
    <w:p w14:paraId="51BF2A48">
      <w:pPr>
        <w:spacing w:line="312" w:lineRule="auto"/>
        <w:rPr>
          <w:rFonts w:ascii="Arial" w:hAnsi="Arial" w:eastAsia="宋体" w:cs="Arial"/>
          <w:b/>
          <w:bCs/>
          <w:color w:val="auto"/>
          <w:sz w:val="24"/>
          <w:highlight w:val="none"/>
        </w:rPr>
      </w:pPr>
    </w:p>
    <w:p w14:paraId="2DC5E76C">
      <w:pPr>
        <w:spacing w:line="312" w:lineRule="auto"/>
        <w:rPr>
          <w:rFonts w:ascii="Arial" w:hAnsi="Arial" w:eastAsia="宋体" w:cs="Arial"/>
          <w:b/>
          <w:bCs/>
          <w:color w:val="auto"/>
          <w:sz w:val="24"/>
          <w:highlight w:val="none"/>
        </w:rPr>
      </w:pPr>
      <w:r>
        <w:rPr>
          <w:rFonts w:ascii="Arial" w:hAnsi="Arial" w:eastAsia="宋体" w:cs="Arial"/>
          <w:b/>
          <w:bCs/>
          <w:color w:val="auto"/>
          <w:sz w:val="24"/>
          <w:highlight w:val="none"/>
        </w:rPr>
        <w:t>（三）</w:t>
      </w:r>
      <w:r>
        <w:rPr>
          <w:rFonts w:ascii="Arial" w:hAnsi="Arial" w:eastAsia="宋体" w:cs="Arial"/>
          <w:b/>
          <w:color w:val="auto"/>
          <w:sz w:val="32"/>
          <w:szCs w:val="32"/>
          <w:highlight w:val="none"/>
        </w:rPr>
        <w:t>其它有效证明材料</w:t>
      </w:r>
    </w:p>
    <w:p w14:paraId="1C4BD6DB">
      <w:pPr>
        <w:tabs>
          <w:tab w:val="left" w:pos="1305"/>
        </w:tabs>
        <w:spacing w:line="312" w:lineRule="auto"/>
        <w:jc w:val="center"/>
        <w:rPr>
          <w:rFonts w:ascii="Arial" w:hAnsi="Arial" w:eastAsia="宋体" w:cs="Arial"/>
          <w:color w:val="auto"/>
          <w:sz w:val="24"/>
          <w:highlight w:val="none"/>
        </w:rPr>
      </w:pPr>
      <w:r>
        <w:rPr>
          <w:rFonts w:ascii="Arial" w:hAnsi="Arial" w:eastAsia="宋体" w:cs="Arial"/>
          <w:b/>
          <w:color w:val="auto"/>
          <w:sz w:val="32"/>
          <w:szCs w:val="32"/>
          <w:highlight w:val="none"/>
        </w:rPr>
        <w:br w:type="page"/>
      </w:r>
      <w:r>
        <w:rPr>
          <w:rFonts w:ascii="Arial" w:hAnsi="Arial" w:eastAsia="宋体" w:cs="Arial"/>
          <w:b/>
          <w:color w:val="auto"/>
          <w:sz w:val="32"/>
          <w:szCs w:val="32"/>
          <w:highlight w:val="none"/>
        </w:rPr>
        <w:t>（一）资格性响应证明材料目录</w:t>
      </w:r>
    </w:p>
    <w:p w14:paraId="247E4103">
      <w:pPr>
        <w:tabs>
          <w:tab w:val="left" w:pos="1305"/>
        </w:tabs>
        <w:spacing w:after="0" w:line="312" w:lineRule="auto"/>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1.响应函</w:t>
      </w:r>
      <w:r>
        <w:rPr>
          <w:rFonts w:ascii="Arial" w:hAnsi="Arial" w:eastAsia="宋体" w:cs="Arial"/>
          <w:b/>
          <w:color w:val="auto"/>
          <w:szCs w:val="21"/>
          <w:highlight w:val="none"/>
        </w:rPr>
        <w:t>（必须提供）</w:t>
      </w:r>
    </w:p>
    <w:p w14:paraId="1A90E570">
      <w:pPr>
        <w:tabs>
          <w:tab w:val="left" w:pos="1305"/>
        </w:tabs>
        <w:spacing w:after="0" w:line="312" w:lineRule="auto"/>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2.供应商相应的法定代表人（负责人）身份证正反两面复印件</w:t>
      </w:r>
      <w:r>
        <w:rPr>
          <w:rFonts w:ascii="Arial" w:hAnsi="Arial" w:eastAsia="宋体" w:cs="Arial"/>
          <w:b/>
          <w:color w:val="auto"/>
          <w:szCs w:val="21"/>
          <w:highlight w:val="none"/>
        </w:rPr>
        <w:t>（必须提供）</w:t>
      </w:r>
    </w:p>
    <w:p w14:paraId="43BEA8E4">
      <w:pPr>
        <w:tabs>
          <w:tab w:val="left" w:pos="1305"/>
        </w:tabs>
        <w:spacing w:after="0" w:line="312" w:lineRule="auto"/>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3.供应商的授权委托书原件、委托代理人身份证正反面复印件</w:t>
      </w:r>
      <w:r>
        <w:rPr>
          <w:rFonts w:ascii="Arial" w:hAnsi="Arial" w:eastAsia="宋体" w:cs="Arial"/>
          <w:b/>
          <w:color w:val="auto"/>
          <w:szCs w:val="21"/>
          <w:highlight w:val="none"/>
        </w:rPr>
        <w:t>（委托代理时必须提供）</w:t>
      </w:r>
    </w:p>
    <w:p w14:paraId="04621D4E">
      <w:pPr>
        <w:tabs>
          <w:tab w:val="left" w:pos="1305"/>
        </w:tabs>
        <w:spacing w:after="0" w:line="312" w:lineRule="auto"/>
        <w:ind w:firstLine="550" w:firstLineChars="262"/>
        <w:rPr>
          <w:rFonts w:ascii="Arial" w:hAnsi="Arial" w:eastAsia="宋体" w:cs="Arial"/>
          <w:b/>
          <w:color w:val="auto"/>
          <w:szCs w:val="21"/>
          <w:highlight w:val="none"/>
        </w:rPr>
      </w:pPr>
      <w:r>
        <w:rPr>
          <w:rFonts w:ascii="Arial" w:hAnsi="Arial" w:eastAsia="宋体" w:cs="Arial"/>
          <w:color w:val="auto"/>
          <w:szCs w:val="21"/>
          <w:highlight w:val="none"/>
        </w:rPr>
        <w:t>4.供应商的法人或者其他组织营业执照等证明文件复印件</w:t>
      </w:r>
      <w:r>
        <w:rPr>
          <w:rFonts w:ascii="Arial" w:hAnsi="Arial" w:eastAsia="宋体" w:cs="Arial"/>
          <w:b/>
          <w:color w:val="auto"/>
          <w:szCs w:val="21"/>
          <w:highlight w:val="none"/>
        </w:rPr>
        <w:t>（必须提供）</w:t>
      </w:r>
    </w:p>
    <w:p w14:paraId="430AF115">
      <w:pPr>
        <w:tabs>
          <w:tab w:val="left" w:pos="1305"/>
        </w:tabs>
        <w:spacing w:after="0" w:line="312" w:lineRule="auto"/>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15CF91DE">
      <w:pPr>
        <w:tabs>
          <w:tab w:val="left" w:pos="1305"/>
        </w:tabs>
        <w:spacing w:after="0" w:line="312" w:lineRule="auto"/>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5.供应商</w:t>
      </w:r>
      <w:r>
        <w:rPr>
          <w:rFonts w:hint="eastAsia" w:ascii="Arial" w:hAnsi="Arial" w:eastAsia="宋体" w:cs="Arial"/>
          <w:color w:val="auto"/>
          <w:szCs w:val="21"/>
          <w:highlight w:val="none"/>
        </w:rPr>
        <w:t>2024年</w:t>
      </w:r>
      <w:r>
        <w:rPr>
          <w:rFonts w:ascii="Arial" w:hAnsi="Arial" w:eastAsia="宋体" w:cs="Arial"/>
          <w:color w:val="auto"/>
          <w:szCs w:val="21"/>
          <w:highlight w:val="none"/>
        </w:rPr>
        <w:t>的审计报告或财务报表（至少包含资产负债表、利润表、现金流量表）（</w:t>
      </w:r>
      <w:r>
        <w:rPr>
          <w:rFonts w:hint="eastAsia" w:ascii="Arial" w:hAnsi="Arial" w:eastAsia="宋体" w:cs="Arial"/>
          <w:color w:val="auto"/>
          <w:szCs w:val="21"/>
          <w:highlight w:val="none"/>
        </w:rPr>
        <w:t>2025年</w:t>
      </w:r>
      <w:r>
        <w:rPr>
          <w:rFonts w:ascii="Arial" w:hAnsi="Arial" w:eastAsia="宋体" w:cs="Arial"/>
          <w:color w:val="auto"/>
          <w:szCs w:val="21"/>
          <w:highlight w:val="none"/>
        </w:rPr>
        <w:t>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w:t>
      </w:r>
      <w:r>
        <w:rPr>
          <w:rFonts w:ascii="Arial" w:hAnsi="Arial" w:eastAsia="宋体" w:cs="Arial"/>
          <w:b/>
          <w:bCs/>
          <w:color w:val="auto"/>
          <w:szCs w:val="21"/>
          <w:highlight w:val="none"/>
        </w:rPr>
        <w:t>（必须提供）</w:t>
      </w:r>
    </w:p>
    <w:p w14:paraId="571B9FF4">
      <w:pPr>
        <w:tabs>
          <w:tab w:val="left" w:pos="1305"/>
        </w:tabs>
        <w:spacing w:after="0" w:line="312" w:lineRule="auto"/>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w:t>
      </w:r>
      <w:r>
        <w:rPr>
          <w:rFonts w:ascii="Arial" w:hAnsi="Arial" w:eastAsia="宋体" w:cs="Arial"/>
          <w:b/>
          <w:bCs/>
          <w:color w:val="auto"/>
          <w:szCs w:val="21"/>
          <w:highlight w:val="none"/>
        </w:rPr>
        <w:t>（必须提供）</w:t>
      </w:r>
    </w:p>
    <w:p w14:paraId="59D43738">
      <w:pPr>
        <w:tabs>
          <w:tab w:val="left" w:pos="1305"/>
        </w:tabs>
        <w:spacing w:after="0" w:line="312" w:lineRule="auto"/>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7.供应商至响应文件递交截止时间前6个月内，任意1个月依法缴纳社会保障资金的相关材料复印件</w:t>
      </w:r>
      <w:r>
        <w:rPr>
          <w:rFonts w:ascii="Arial" w:hAnsi="Arial" w:eastAsia="宋体" w:cs="Arial"/>
          <w:b/>
          <w:bCs/>
          <w:color w:val="auto"/>
          <w:szCs w:val="21"/>
          <w:highlight w:val="none"/>
        </w:rPr>
        <w:t>（必须提供）</w:t>
      </w:r>
    </w:p>
    <w:p w14:paraId="3D57488B">
      <w:pPr>
        <w:tabs>
          <w:tab w:val="left" w:pos="1305"/>
        </w:tabs>
        <w:spacing w:after="0" w:line="312" w:lineRule="auto"/>
        <w:ind w:firstLine="525" w:firstLineChars="250"/>
        <w:rPr>
          <w:rFonts w:ascii="Arial" w:hAnsi="Arial" w:eastAsia="宋体" w:cs="Arial"/>
          <w:b/>
          <w:bCs/>
          <w:color w:val="auto"/>
          <w:szCs w:val="21"/>
          <w:highlight w:val="none"/>
        </w:rPr>
      </w:pPr>
      <w:r>
        <w:rPr>
          <w:rFonts w:ascii="Arial" w:hAnsi="Arial" w:eastAsia="宋体" w:cs="Arial"/>
          <w:color w:val="auto"/>
          <w:szCs w:val="21"/>
          <w:highlight w:val="none"/>
        </w:rPr>
        <w:t>8.供应商参加采购活动前3年内在经营活动中没有重大违法记录及有关信用信息的书面声明</w:t>
      </w:r>
      <w:r>
        <w:rPr>
          <w:rFonts w:ascii="Arial" w:hAnsi="Arial" w:eastAsia="宋体" w:cs="Arial"/>
          <w:b/>
          <w:bCs/>
          <w:color w:val="auto"/>
          <w:szCs w:val="21"/>
          <w:highlight w:val="none"/>
        </w:rPr>
        <w:t>（必须提供）</w:t>
      </w:r>
    </w:p>
    <w:p w14:paraId="5886D73C">
      <w:pPr>
        <w:tabs>
          <w:tab w:val="left" w:pos="1305"/>
        </w:tabs>
        <w:spacing w:after="0" w:line="312" w:lineRule="auto"/>
        <w:ind w:firstLine="525" w:firstLineChars="250"/>
        <w:rPr>
          <w:rFonts w:ascii="Arial" w:hAnsi="Arial" w:eastAsia="宋体" w:cs="Arial"/>
          <w:b/>
          <w:bCs/>
          <w:color w:val="auto"/>
          <w:szCs w:val="21"/>
          <w:highlight w:val="none"/>
        </w:rPr>
      </w:pPr>
      <w:r>
        <w:rPr>
          <w:rFonts w:ascii="Arial" w:hAnsi="Arial" w:eastAsia="宋体" w:cs="Arial"/>
          <w:color w:val="auto"/>
          <w:szCs w:val="21"/>
          <w:highlight w:val="none"/>
        </w:rPr>
        <w:t>9.供应商股东及出资信息表</w:t>
      </w:r>
      <w:r>
        <w:rPr>
          <w:rFonts w:ascii="Arial" w:hAnsi="Arial" w:eastAsia="宋体" w:cs="Arial"/>
          <w:b/>
          <w:bCs/>
          <w:color w:val="auto"/>
          <w:szCs w:val="21"/>
          <w:highlight w:val="none"/>
        </w:rPr>
        <w:t>（必须提供）</w:t>
      </w:r>
    </w:p>
    <w:p w14:paraId="47FBF15D">
      <w:pPr>
        <w:tabs>
          <w:tab w:val="left" w:pos="1305"/>
        </w:tabs>
        <w:spacing w:after="0" w:line="312" w:lineRule="auto"/>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10.供应商参加本项目无围标串标行为的承诺函</w:t>
      </w:r>
      <w:r>
        <w:rPr>
          <w:rFonts w:ascii="Arial" w:hAnsi="Arial" w:eastAsia="宋体" w:cs="Arial"/>
          <w:b/>
          <w:bCs/>
          <w:color w:val="auto"/>
          <w:szCs w:val="21"/>
          <w:highlight w:val="none"/>
        </w:rPr>
        <w:t>（必须提供）</w:t>
      </w:r>
    </w:p>
    <w:p w14:paraId="27674B16">
      <w:pPr>
        <w:spacing w:after="0" w:line="312" w:lineRule="auto"/>
        <w:ind w:firstLine="630" w:firstLineChars="300"/>
        <w:rPr>
          <w:rFonts w:ascii="Arial" w:hAnsi="Arial" w:eastAsia="宋体" w:cs="Arial"/>
          <w:b/>
          <w:color w:val="auto"/>
          <w:sz w:val="28"/>
          <w:szCs w:val="28"/>
          <w:highlight w:val="none"/>
        </w:rPr>
      </w:pPr>
      <w:r>
        <w:rPr>
          <w:rFonts w:ascii="Arial" w:hAnsi="Arial" w:eastAsia="宋体" w:cs="Arial"/>
          <w:bCs/>
          <w:color w:val="auto"/>
          <w:szCs w:val="21"/>
          <w:highlight w:val="none"/>
        </w:rPr>
        <w:t>11.谈判保证缴纳证明材料复印件</w:t>
      </w:r>
      <w:r>
        <w:rPr>
          <w:rFonts w:ascii="Arial" w:hAnsi="Arial" w:eastAsia="宋体" w:cs="Arial"/>
          <w:b/>
          <w:color w:val="auto"/>
          <w:szCs w:val="21"/>
          <w:highlight w:val="none"/>
        </w:rPr>
        <w:t>（必须提供）</w:t>
      </w:r>
    </w:p>
    <w:p w14:paraId="40B85DB7">
      <w:pPr>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r>
        <w:rPr>
          <w:rFonts w:ascii="Arial" w:hAnsi="Arial" w:eastAsia="宋体" w:cs="Arial"/>
          <w:b/>
          <w:color w:val="auto"/>
          <w:sz w:val="28"/>
          <w:szCs w:val="28"/>
          <w:highlight w:val="none"/>
        </w:rPr>
        <w:t>1. 响应函（必须提供）</w:t>
      </w:r>
    </w:p>
    <w:p w14:paraId="7BEFFD55">
      <w:pPr>
        <w:spacing w:after="0" w:line="312" w:lineRule="auto"/>
        <w:rPr>
          <w:rFonts w:ascii="Arial" w:hAnsi="Arial" w:eastAsia="宋体" w:cs="Arial"/>
          <w:b/>
          <w:color w:val="auto"/>
          <w:sz w:val="24"/>
          <w:highlight w:val="none"/>
        </w:rPr>
      </w:pPr>
      <w:r>
        <w:rPr>
          <w:rFonts w:ascii="Arial" w:hAnsi="Arial" w:eastAsia="宋体" w:cs="Arial"/>
          <w:b/>
          <w:color w:val="auto"/>
          <w:sz w:val="24"/>
          <w:highlight w:val="none"/>
        </w:rPr>
        <w:t>附件：</w:t>
      </w:r>
    </w:p>
    <w:p w14:paraId="40D6AD80">
      <w:pPr>
        <w:pStyle w:val="14"/>
        <w:spacing w:after="0" w:line="312" w:lineRule="auto"/>
        <w:ind w:firstLine="800" w:firstLineChars="250"/>
        <w:jc w:val="center"/>
        <w:rPr>
          <w:rFonts w:ascii="Arial" w:hAnsi="Arial" w:eastAsia="宋体" w:cs="Arial"/>
          <w:b/>
          <w:color w:val="auto"/>
          <w:sz w:val="32"/>
          <w:highlight w:val="none"/>
        </w:rPr>
      </w:pPr>
      <w:r>
        <w:rPr>
          <w:rFonts w:ascii="Arial" w:hAnsi="Arial" w:eastAsia="宋体" w:cs="Arial"/>
          <w:b/>
          <w:color w:val="auto"/>
          <w:sz w:val="32"/>
          <w:highlight w:val="none"/>
        </w:rPr>
        <w:t>响 应 函 （格 式）</w:t>
      </w:r>
    </w:p>
    <w:p w14:paraId="06CAD8A7">
      <w:pPr>
        <w:spacing w:after="0" w:line="312" w:lineRule="auto"/>
        <w:rPr>
          <w:rFonts w:ascii="Arial" w:hAnsi="Arial" w:eastAsia="宋体" w:cs="Arial"/>
          <w:color w:val="auto"/>
          <w:highlight w:val="none"/>
        </w:rPr>
      </w:pPr>
      <w:r>
        <w:rPr>
          <w:rFonts w:ascii="Arial" w:hAnsi="Arial" w:eastAsia="宋体" w:cs="Arial"/>
          <w:color w:val="auto"/>
          <w:szCs w:val="21"/>
          <w:highlight w:val="none"/>
        </w:rPr>
        <w:t>致：</w:t>
      </w:r>
      <w:r>
        <w:rPr>
          <w:rFonts w:hint="eastAsia" w:ascii="Arial" w:hAnsi="Arial" w:eastAsia="宋体" w:cs="Arial"/>
          <w:color w:val="auto"/>
          <w:szCs w:val="21"/>
          <w:highlight w:val="none"/>
          <w:u w:val="single"/>
          <w:lang w:eastAsia="zh-CN"/>
        </w:rPr>
        <w:t>广西机电设备招标有限公司</w:t>
      </w:r>
      <w:r>
        <w:rPr>
          <w:rFonts w:ascii="Arial" w:hAnsi="Arial" w:eastAsia="宋体" w:cs="Arial"/>
          <w:color w:val="auto"/>
          <w:szCs w:val="21"/>
          <w:highlight w:val="none"/>
          <w:u w:val="single"/>
        </w:rPr>
        <w:t xml:space="preserve"> </w:t>
      </w:r>
    </w:p>
    <w:p w14:paraId="2EE62748">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根据贵方</w:t>
      </w:r>
      <w:r>
        <w:rPr>
          <w:rFonts w:ascii="Arial" w:hAnsi="Arial" w:eastAsia="宋体" w:cs="Arial"/>
          <w:color w:val="auto"/>
          <w:highlight w:val="none"/>
          <w:u w:val="single"/>
        </w:rPr>
        <w:t xml:space="preserve">         </w:t>
      </w:r>
      <w:r>
        <w:rPr>
          <w:rFonts w:ascii="Arial" w:hAnsi="Arial" w:eastAsia="宋体" w:cs="Arial"/>
          <w:color w:val="auto"/>
          <w:highlight w:val="none"/>
        </w:rPr>
        <w:t xml:space="preserve">项目谈判文件，项目编号 </w:t>
      </w:r>
      <w:r>
        <w:rPr>
          <w:rFonts w:ascii="Arial" w:hAnsi="Arial" w:eastAsia="宋体" w:cs="Arial"/>
          <w:color w:val="auto"/>
          <w:highlight w:val="none"/>
          <w:u w:val="single"/>
        </w:rPr>
        <w:t xml:space="preserve">               </w:t>
      </w:r>
      <w:r>
        <w:rPr>
          <w:rFonts w:ascii="Arial" w:hAnsi="Arial" w:eastAsia="宋体" w:cs="Arial"/>
          <w:color w:val="auto"/>
          <w:szCs w:val="21"/>
          <w:highlight w:val="none"/>
        </w:rPr>
        <w:t>，签字代表</w:t>
      </w:r>
      <w:r>
        <w:rPr>
          <w:rFonts w:ascii="Arial" w:hAnsi="Arial" w:eastAsia="宋体" w:cs="Arial"/>
          <w:color w:val="auto"/>
          <w:highlight w:val="none"/>
          <w:u w:val="single"/>
        </w:rPr>
        <w:t xml:space="preserve">         </w:t>
      </w:r>
      <w:r>
        <w:rPr>
          <w:rFonts w:ascii="Arial" w:hAnsi="Arial" w:eastAsia="宋体" w:cs="Arial"/>
          <w:color w:val="auto"/>
          <w:highlight w:val="none"/>
        </w:rPr>
        <w:t xml:space="preserve">（姓名）经正式授权并代表供应商 </w:t>
      </w:r>
      <w:r>
        <w:rPr>
          <w:rFonts w:ascii="Arial" w:hAnsi="Arial" w:eastAsia="宋体" w:cs="Arial"/>
          <w:color w:val="auto"/>
          <w:highlight w:val="none"/>
          <w:u w:val="single"/>
        </w:rPr>
        <w:t xml:space="preserve">                                   （</w:t>
      </w:r>
      <w:r>
        <w:rPr>
          <w:rFonts w:ascii="Arial" w:hAnsi="Arial" w:eastAsia="宋体" w:cs="Arial"/>
          <w:color w:val="auto"/>
          <w:highlight w:val="none"/>
        </w:rPr>
        <w:t>供应商单位名称），提交响应文件正本一份，副本二份。</w:t>
      </w:r>
    </w:p>
    <w:p w14:paraId="4E7DB9DD">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据此函，签字代表宣布同意如下：</w:t>
      </w:r>
    </w:p>
    <w:p w14:paraId="485042C7">
      <w:pPr>
        <w:pStyle w:val="14"/>
        <w:spacing w:after="0" w:line="312" w:lineRule="auto"/>
        <w:ind w:firstLine="420"/>
        <w:rPr>
          <w:rFonts w:ascii="Arial" w:hAnsi="Arial" w:eastAsia="宋体" w:cs="Arial"/>
          <w:b/>
          <w:bCs/>
          <w:color w:val="auto"/>
          <w:highlight w:val="none"/>
        </w:rPr>
      </w:pPr>
      <w:r>
        <w:rPr>
          <w:rFonts w:ascii="Arial" w:hAnsi="Arial" w:eastAsia="宋体" w:cs="Arial"/>
          <w:color w:val="auto"/>
          <w:highlight w:val="none"/>
        </w:rPr>
        <w:t>1.按谈判文件项目采购需求作出如下报价：谈判</w:t>
      </w:r>
      <w:r>
        <w:rPr>
          <w:rFonts w:hint="eastAsia" w:ascii="Arial" w:hAnsi="Arial" w:eastAsia="宋体" w:cs="Arial"/>
          <w:color w:val="auto"/>
          <w:highlight w:val="none"/>
        </w:rPr>
        <w:t>总</w:t>
      </w:r>
      <w:r>
        <w:rPr>
          <w:rFonts w:ascii="Arial" w:hAnsi="Arial" w:eastAsia="宋体" w:cs="Arial"/>
          <w:color w:val="auto"/>
          <w:highlight w:val="none"/>
        </w:rPr>
        <w:t>报价（大写）</w:t>
      </w:r>
      <w:r>
        <w:rPr>
          <w:rFonts w:ascii="Arial" w:hAnsi="Arial" w:eastAsia="宋体" w:cs="Arial"/>
          <w:color w:val="auto"/>
          <w:highlight w:val="none"/>
          <w:u w:val="single"/>
        </w:rPr>
        <w:t xml:space="preserve">       </w:t>
      </w:r>
      <w:r>
        <w:rPr>
          <w:rFonts w:ascii="Arial" w:hAnsi="Arial" w:eastAsia="宋体" w:cs="Arial"/>
          <w:color w:val="auto"/>
          <w:highlight w:val="none"/>
        </w:rPr>
        <w:t>元人民币(￥</w:t>
      </w:r>
      <w:r>
        <w:rPr>
          <w:rFonts w:ascii="Arial" w:hAnsi="Arial" w:eastAsia="宋体" w:cs="Arial"/>
          <w:color w:val="auto"/>
          <w:highlight w:val="none"/>
          <w:u w:val="single"/>
        </w:rPr>
        <w:t xml:space="preserve">    </w:t>
      </w:r>
      <w:r>
        <w:rPr>
          <w:rFonts w:ascii="Arial" w:hAnsi="Arial" w:eastAsia="宋体" w:cs="Arial"/>
          <w:color w:val="auto"/>
          <w:highlight w:val="none"/>
        </w:rPr>
        <w:t>)。</w:t>
      </w:r>
    </w:p>
    <w:p w14:paraId="4A1EB0EC">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2.我方承诺已具备谈判文件规定的供应商资格条件。</w:t>
      </w:r>
    </w:p>
    <w:p w14:paraId="16762567">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3.我方已详细审核谈判文件，包括修改文件（如有的话）和有关附件，将自行承担因对全部谈判文件理解不正确或误解而产生的相应后果。</w:t>
      </w:r>
    </w:p>
    <w:p w14:paraId="4D85A7D3">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4.响应文件有效期为</w:t>
      </w:r>
      <w:r>
        <w:rPr>
          <w:rFonts w:ascii="Arial" w:hAnsi="Arial" w:eastAsia="宋体" w:cs="Arial"/>
          <w:color w:val="auto"/>
          <w:szCs w:val="21"/>
          <w:highlight w:val="none"/>
        </w:rPr>
        <w:t>响应文件递交截止时间之日起90天。</w:t>
      </w:r>
    </w:p>
    <w:p w14:paraId="1B842777">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5.如我方成交：</w:t>
      </w:r>
    </w:p>
    <w:p w14:paraId="37EAC398">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（1）我方承诺在收到成交通知书后，在成交通知书规定的期限内与采购人签订合同。</w:t>
      </w:r>
    </w:p>
    <w:p w14:paraId="445E5D02">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（2）我方承诺按照谈判文件规定递交履约担保。</w:t>
      </w:r>
    </w:p>
    <w:p w14:paraId="7322F7CE">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（3）我方承诺本响应文件至本项目合同履行完毕止均保持有效，按谈判文件及相关法律、法规的规定履行合同责任和义务。</w:t>
      </w:r>
    </w:p>
    <w:p w14:paraId="1F899120">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与本项目有关的正式通讯地址为：</w:t>
      </w:r>
    </w:p>
    <w:p w14:paraId="7B9132B1">
      <w:pPr>
        <w:pStyle w:val="14"/>
        <w:spacing w:after="0" w:line="312" w:lineRule="auto"/>
        <w:ind w:firstLine="420"/>
        <w:rPr>
          <w:rFonts w:ascii="Arial" w:hAnsi="Arial" w:eastAsia="宋体" w:cs="Arial"/>
          <w:color w:val="auto"/>
          <w:highlight w:val="none"/>
        </w:rPr>
      </w:pPr>
    </w:p>
    <w:p w14:paraId="0C52A7BD">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地址：</w:t>
      </w:r>
      <w:r>
        <w:rPr>
          <w:rFonts w:ascii="Arial" w:hAnsi="Arial" w:eastAsia="宋体" w:cs="Arial"/>
          <w:color w:val="auto"/>
          <w:highlight w:val="none"/>
          <w:u w:val="single"/>
        </w:rPr>
        <w:t xml:space="preserve">                                   </w:t>
      </w:r>
      <w:r>
        <w:rPr>
          <w:rFonts w:ascii="Arial" w:hAnsi="Arial" w:eastAsia="宋体" w:cs="Arial"/>
          <w:color w:val="auto"/>
          <w:highlight w:val="none"/>
        </w:rPr>
        <w:t xml:space="preserve"> 邮编：</w:t>
      </w:r>
      <w:r>
        <w:rPr>
          <w:rFonts w:ascii="Arial" w:hAnsi="Arial" w:eastAsia="宋体" w:cs="Arial"/>
          <w:color w:val="auto"/>
          <w:highlight w:val="none"/>
          <w:u w:val="single"/>
        </w:rPr>
        <w:t xml:space="preserve">          </w:t>
      </w:r>
      <w:r>
        <w:rPr>
          <w:rFonts w:ascii="Arial" w:hAnsi="Arial" w:eastAsia="宋体" w:cs="Arial"/>
          <w:color w:val="auto"/>
          <w:highlight w:val="none"/>
        </w:rPr>
        <w:t xml:space="preserve">  邮箱：</w:t>
      </w:r>
      <w:r>
        <w:rPr>
          <w:rFonts w:ascii="Arial" w:hAnsi="Arial" w:eastAsia="宋体" w:cs="Arial"/>
          <w:color w:val="auto"/>
          <w:highlight w:val="none"/>
          <w:u w:val="single"/>
        </w:rPr>
        <w:t xml:space="preserve">             </w:t>
      </w:r>
      <w:r>
        <w:rPr>
          <w:rFonts w:ascii="Arial" w:hAnsi="Arial" w:eastAsia="宋体" w:cs="Arial"/>
          <w:color w:val="auto"/>
          <w:highlight w:val="none"/>
        </w:rPr>
        <w:t xml:space="preserve"> </w:t>
      </w:r>
    </w:p>
    <w:p w14:paraId="59F9C5D1">
      <w:pPr>
        <w:pStyle w:val="14"/>
        <w:spacing w:after="0" w:line="312" w:lineRule="auto"/>
        <w:ind w:firstLine="420"/>
        <w:rPr>
          <w:rFonts w:ascii="Arial" w:hAnsi="Arial" w:eastAsia="宋体" w:cs="Arial"/>
          <w:color w:val="auto"/>
          <w:highlight w:val="none"/>
          <w:u w:val="single"/>
        </w:rPr>
      </w:pPr>
      <w:r>
        <w:rPr>
          <w:rFonts w:ascii="Arial" w:hAnsi="Arial" w:eastAsia="宋体" w:cs="Arial"/>
          <w:color w:val="auto"/>
          <w:highlight w:val="none"/>
        </w:rPr>
        <w:t>办公电话：</w:t>
      </w:r>
      <w:r>
        <w:rPr>
          <w:rFonts w:ascii="Arial" w:hAnsi="Arial" w:eastAsia="宋体" w:cs="Arial"/>
          <w:color w:val="auto"/>
          <w:highlight w:val="none"/>
          <w:u w:val="single"/>
        </w:rPr>
        <w:t xml:space="preserve">                </w:t>
      </w:r>
      <w:r>
        <w:rPr>
          <w:rFonts w:ascii="Arial" w:hAnsi="Arial" w:eastAsia="宋体" w:cs="Arial"/>
          <w:color w:val="auto"/>
          <w:highlight w:val="none"/>
        </w:rPr>
        <w:t xml:space="preserve">   传真：</w:t>
      </w:r>
      <w:r>
        <w:rPr>
          <w:rFonts w:ascii="Arial" w:hAnsi="Arial" w:eastAsia="宋体" w:cs="Arial"/>
          <w:color w:val="auto"/>
          <w:highlight w:val="none"/>
          <w:u w:val="single"/>
        </w:rPr>
        <w:t xml:space="preserve">            </w:t>
      </w:r>
    </w:p>
    <w:p w14:paraId="5E26B9B1">
      <w:pPr>
        <w:pStyle w:val="14"/>
        <w:spacing w:after="0" w:line="312" w:lineRule="auto"/>
        <w:ind w:firstLine="420"/>
        <w:rPr>
          <w:rFonts w:ascii="Arial" w:hAnsi="Arial" w:eastAsia="宋体" w:cs="Arial"/>
          <w:color w:val="auto"/>
          <w:highlight w:val="none"/>
          <w:u w:val="single"/>
        </w:rPr>
      </w:pPr>
      <w:r>
        <w:rPr>
          <w:rFonts w:ascii="Arial" w:hAnsi="Arial" w:eastAsia="宋体" w:cs="Arial"/>
          <w:color w:val="auto"/>
          <w:highlight w:val="none"/>
        </w:rPr>
        <w:t>委托代理人联系电话：</w:t>
      </w:r>
      <w:r>
        <w:rPr>
          <w:rFonts w:ascii="Arial" w:hAnsi="Arial" w:eastAsia="宋体" w:cs="Arial"/>
          <w:color w:val="auto"/>
          <w:highlight w:val="none"/>
          <w:u w:val="single"/>
        </w:rPr>
        <w:t xml:space="preserve">                </w:t>
      </w:r>
    </w:p>
    <w:p w14:paraId="0EAEA22E">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开户名称：</w:t>
      </w:r>
      <w:r>
        <w:rPr>
          <w:rFonts w:ascii="Arial" w:hAnsi="Arial" w:eastAsia="宋体" w:cs="Arial"/>
          <w:color w:val="auto"/>
          <w:highlight w:val="none"/>
          <w:u w:val="single"/>
        </w:rPr>
        <w:t xml:space="preserve">                                        </w:t>
      </w:r>
    </w:p>
    <w:p w14:paraId="5C90813F">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开户银行：</w:t>
      </w:r>
      <w:r>
        <w:rPr>
          <w:rFonts w:ascii="Arial" w:hAnsi="Arial" w:eastAsia="宋体" w:cs="Arial"/>
          <w:color w:val="auto"/>
          <w:highlight w:val="none"/>
          <w:u w:val="single"/>
        </w:rPr>
        <w:t xml:space="preserve">                               　       </w:t>
      </w:r>
    </w:p>
    <w:p w14:paraId="2EBB331E">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账号：</w:t>
      </w:r>
      <w:r>
        <w:rPr>
          <w:rFonts w:ascii="Arial" w:hAnsi="Arial" w:eastAsia="宋体" w:cs="Arial"/>
          <w:color w:val="auto"/>
          <w:highlight w:val="none"/>
          <w:u w:val="single"/>
        </w:rPr>
        <w:t xml:space="preserve">                                   　　　   </w:t>
      </w:r>
    </w:p>
    <w:p w14:paraId="5EA4C895">
      <w:pPr>
        <w:pStyle w:val="14"/>
        <w:spacing w:after="0" w:line="312" w:lineRule="auto"/>
        <w:ind w:firstLine="420"/>
        <w:rPr>
          <w:rFonts w:ascii="Arial" w:hAnsi="Arial" w:eastAsia="宋体" w:cs="Arial"/>
          <w:color w:val="auto"/>
          <w:highlight w:val="non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72AFEF4A">
      <w:pPr>
        <w:pStyle w:val="14"/>
        <w:spacing w:after="0" w:line="312" w:lineRule="auto"/>
        <w:ind w:firstLine="42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627BF10D">
      <w:pPr>
        <w:pStyle w:val="14"/>
        <w:spacing w:after="0" w:line="312" w:lineRule="auto"/>
        <w:ind w:firstLine="420"/>
        <w:rPr>
          <w:rFonts w:ascii="Arial" w:hAnsi="Arial" w:eastAsia="宋体" w:cs="Arial"/>
          <w:color w:val="auto"/>
          <w:highlight w:val="none"/>
          <w:u w:val="single"/>
        </w:rPr>
      </w:pPr>
      <w:r>
        <w:rPr>
          <w:rFonts w:ascii="Arial" w:hAnsi="Arial" w:eastAsia="宋体" w:cs="Arial"/>
          <w:bCs/>
          <w:color w:val="auto"/>
          <w:highlight w:val="none"/>
        </w:rPr>
        <w:t>响应</w:t>
      </w:r>
      <w:r>
        <w:rPr>
          <w:rFonts w:ascii="Arial" w:hAnsi="Arial" w:eastAsia="宋体" w:cs="Arial"/>
          <w:color w:val="auto"/>
          <w:highlight w:val="none"/>
        </w:rPr>
        <w:t>日期：</w:t>
      </w:r>
      <w:r>
        <w:rPr>
          <w:rFonts w:ascii="Arial" w:hAnsi="Arial" w:eastAsia="宋体" w:cs="Arial"/>
          <w:color w:val="auto"/>
          <w:highlight w:val="none"/>
          <w:u w:val="single"/>
        </w:rPr>
        <w:t xml:space="preserve">                               </w:t>
      </w:r>
    </w:p>
    <w:p w14:paraId="47DB73A3">
      <w:pPr>
        <w:pStyle w:val="14"/>
        <w:spacing w:after="0" w:line="312" w:lineRule="auto"/>
        <w:ind w:firstLine="420"/>
        <w:rPr>
          <w:rFonts w:ascii="Arial" w:hAnsi="Arial" w:eastAsia="宋体" w:cs="Arial"/>
          <w:bCs/>
          <w:color w:val="auto"/>
          <w:highlight w:val="none"/>
        </w:rPr>
      </w:pPr>
    </w:p>
    <w:p w14:paraId="48F00DFB">
      <w:pPr>
        <w:pStyle w:val="14"/>
        <w:spacing w:after="0" w:line="312" w:lineRule="auto"/>
        <w:ind w:left="840" w:leftChars="200" w:hanging="420" w:hangingChars="200"/>
        <w:rPr>
          <w:rFonts w:ascii="Arial" w:hAnsi="Arial" w:eastAsia="宋体" w:cs="Arial"/>
          <w:bCs/>
          <w:color w:val="auto"/>
          <w:highlight w:val="none"/>
        </w:rPr>
      </w:pPr>
      <w:r>
        <w:rPr>
          <w:rFonts w:ascii="Arial" w:hAnsi="Arial" w:eastAsia="宋体" w:cs="Arial"/>
          <w:bCs/>
          <w:color w:val="auto"/>
          <w:highlight w:val="none"/>
        </w:rPr>
        <w:t>注：1.未按照本响应函（格式）要求填报的响应函将被视为非实质性响应竞争性谈判文件要求，从而导致该响应被拒绝。</w:t>
      </w:r>
    </w:p>
    <w:p w14:paraId="3C5520E3">
      <w:pPr>
        <w:pStyle w:val="14"/>
        <w:spacing w:after="0" w:line="312" w:lineRule="auto"/>
        <w:ind w:left="840" w:leftChars="400"/>
        <w:rPr>
          <w:rFonts w:ascii="Arial" w:hAnsi="Arial" w:eastAsia="宋体" w:cs="Arial"/>
          <w:bCs/>
          <w:color w:val="auto"/>
          <w:highlight w:val="none"/>
        </w:rPr>
      </w:pPr>
      <w:r>
        <w:rPr>
          <w:rFonts w:ascii="Arial" w:hAnsi="Arial" w:eastAsia="宋体" w:cs="Arial"/>
          <w:bCs/>
          <w:color w:val="auto"/>
          <w:szCs w:val="21"/>
          <w:highlight w:val="none"/>
        </w:rPr>
        <w:t>2.供应商必须按</w:t>
      </w:r>
      <w:r>
        <w:rPr>
          <w:rFonts w:ascii="Arial" w:hAnsi="Arial" w:eastAsia="宋体" w:cs="Arial"/>
          <w:bCs/>
          <w:color w:val="auto"/>
          <w:highlight w:val="none"/>
        </w:rPr>
        <w:t>本响应函（格式）</w:t>
      </w:r>
      <w:r>
        <w:rPr>
          <w:rFonts w:ascii="Arial" w:hAnsi="Arial" w:eastAsia="宋体" w:cs="Arial"/>
          <w:bCs/>
          <w:color w:val="auto"/>
          <w:szCs w:val="21"/>
          <w:highlight w:val="none"/>
        </w:rPr>
        <w:t>要求注明清楚联系方式（包括地址、邮编、邮箱、电话等），从而确保成交结果等相关信息能及时通知到位。</w:t>
      </w:r>
    </w:p>
    <w:p w14:paraId="28DB81FA">
      <w:pPr>
        <w:pStyle w:val="14"/>
        <w:spacing w:after="0" w:line="312" w:lineRule="auto"/>
        <w:ind w:left="840" w:leftChars="400"/>
        <w:rPr>
          <w:rFonts w:ascii="Arial" w:hAnsi="Arial" w:eastAsia="宋体" w:cs="Arial"/>
          <w:bCs/>
          <w:color w:val="auto"/>
          <w:szCs w:val="21"/>
          <w:highlight w:val="none"/>
        </w:rPr>
      </w:pPr>
      <w:r>
        <w:rPr>
          <w:rFonts w:ascii="Arial" w:hAnsi="Arial" w:eastAsia="宋体" w:cs="Arial"/>
          <w:bCs/>
          <w:color w:val="auto"/>
          <w:highlight w:val="none"/>
        </w:rPr>
        <w:t>3.响应函</w:t>
      </w:r>
      <w:r>
        <w:rPr>
          <w:rFonts w:ascii="Arial" w:hAnsi="Arial" w:eastAsia="宋体" w:cs="Arial"/>
          <w:bCs/>
          <w:color w:val="auto"/>
          <w:szCs w:val="21"/>
          <w:highlight w:val="none"/>
        </w:rPr>
        <w:t>须</w:t>
      </w:r>
      <w:r>
        <w:rPr>
          <w:rFonts w:ascii="Arial" w:hAnsi="Arial" w:eastAsia="宋体" w:cs="Arial"/>
          <w:bCs/>
          <w:color w:val="auto"/>
          <w:highlight w:val="none"/>
        </w:rPr>
        <w:t>由</w:t>
      </w:r>
      <w:r>
        <w:rPr>
          <w:rFonts w:ascii="Arial" w:hAnsi="Arial" w:eastAsia="宋体" w:cs="Arial"/>
          <w:bCs/>
          <w:color w:val="auto"/>
          <w:szCs w:val="21"/>
          <w:highlight w:val="none"/>
        </w:rPr>
        <w:t>法定代表人（负责人）或委托代理人签字并加盖供应商公章。</w:t>
      </w:r>
    </w:p>
    <w:p w14:paraId="081621AD">
      <w:pPr>
        <w:pStyle w:val="14"/>
        <w:spacing w:line="312" w:lineRule="auto"/>
        <w:rPr>
          <w:rFonts w:ascii="Arial" w:hAnsi="Arial" w:eastAsia="宋体" w:cs="Arial"/>
          <w:bCs/>
          <w:color w:val="auto"/>
          <w:highlight w:val="none"/>
        </w:rPr>
      </w:pPr>
    </w:p>
    <w:p w14:paraId="541692C2">
      <w:pPr>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0108FD10">
      <w:pPr>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2.供应商相应的法定代表人（负责人)身份证正反两面复印件（必须提供）</w:t>
      </w:r>
    </w:p>
    <w:p w14:paraId="50E10775">
      <w:pPr>
        <w:pStyle w:val="14"/>
        <w:spacing w:line="312" w:lineRule="auto"/>
        <w:rPr>
          <w:rFonts w:ascii="Arial" w:hAnsi="Arial" w:eastAsia="宋体" w:cs="Arial"/>
          <w:b/>
          <w:color w:val="auto"/>
          <w:sz w:val="28"/>
          <w:szCs w:val="28"/>
          <w:highlight w:val="none"/>
        </w:rPr>
      </w:pPr>
    </w:p>
    <w:p w14:paraId="63E7F9A1">
      <w:pPr>
        <w:pStyle w:val="14"/>
        <w:spacing w:line="312" w:lineRule="auto"/>
        <w:rPr>
          <w:rFonts w:ascii="Arial" w:hAnsi="Arial" w:eastAsia="宋体" w:cs="Arial"/>
          <w:b/>
          <w:color w:val="auto"/>
          <w:sz w:val="28"/>
          <w:szCs w:val="28"/>
          <w:highlight w:val="none"/>
        </w:rPr>
      </w:pPr>
    </w:p>
    <w:p w14:paraId="556090E5">
      <w:pPr>
        <w:pStyle w:val="14"/>
        <w:spacing w:after="0"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3.供应商的授权委托书原件、委托代理人身份证正反面复印件（委托代理时必须提供）</w:t>
      </w:r>
    </w:p>
    <w:p w14:paraId="74A3813F">
      <w:pPr>
        <w:pStyle w:val="14"/>
        <w:spacing w:after="0" w:line="312" w:lineRule="auto"/>
        <w:rPr>
          <w:rFonts w:ascii="Arial" w:hAnsi="Arial" w:eastAsia="宋体" w:cs="Arial"/>
          <w:b/>
          <w:color w:val="auto"/>
          <w:sz w:val="32"/>
          <w:highlight w:val="none"/>
        </w:rPr>
      </w:pPr>
      <w:r>
        <w:rPr>
          <w:rFonts w:ascii="Arial" w:hAnsi="Arial" w:eastAsia="宋体" w:cs="Arial"/>
          <w:b/>
          <w:color w:val="auto"/>
          <w:sz w:val="32"/>
          <w:highlight w:val="none"/>
        </w:rPr>
        <w:t xml:space="preserve">附件：            </w:t>
      </w:r>
    </w:p>
    <w:p w14:paraId="3FA248D8">
      <w:pPr>
        <w:pStyle w:val="14"/>
        <w:spacing w:after="0" w:line="312" w:lineRule="auto"/>
        <w:ind w:firstLine="627" w:firstLineChars="196"/>
        <w:jc w:val="center"/>
        <w:rPr>
          <w:rFonts w:ascii="Arial" w:hAnsi="Arial" w:eastAsia="宋体" w:cs="Arial"/>
          <w:b/>
          <w:color w:val="auto"/>
          <w:sz w:val="32"/>
          <w:highlight w:val="none"/>
        </w:rPr>
      </w:pPr>
      <w:r>
        <w:rPr>
          <w:rFonts w:ascii="Arial" w:hAnsi="Arial" w:eastAsia="宋体" w:cs="Arial"/>
          <w:b/>
          <w:color w:val="auto"/>
          <w:sz w:val="32"/>
          <w:highlight w:val="none"/>
        </w:rPr>
        <w:t>授权委托书</w:t>
      </w:r>
    </w:p>
    <w:p w14:paraId="4FD16328">
      <w:pPr>
        <w:pStyle w:val="14"/>
        <w:spacing w:after="0" w:line="312" w:lineRule="auto"/>
        <w:rPr>
          <w:rFonts w:ascii="Arial" w:hAnsi="Arial" w:eastAsia="宋体" w:cs="Arial"/>
          <w:color w:val="auto"/>
          <w:highlight w:val="none"/>
        </w:rPr>
      </w:pPr>
    </w:p>
    <w:p w14:paraId="2ED5C375">
      <w:pPr>
        <w:spacing w:after="0" w:line="312" w:lineRule="auto"/>
        <w:rPr>
          <w:rFonts w:hint="eastAsia" w:ascii="Arial" w:hAnsi="Arial" w:eastAsia="宋体" w:cs="Arial"/>
          <w:color w:val="auto"/>
          <w:highlight w:val="none"/>
          <w:lang w:eastAsia="zh-CN"/>
        </w:rPr>
      </w:pPr>
      <w:r>
        <w:rPr>
          <w:rFonts w:ascii="Arial" w:hAnsi="Arial" w:eastAsia="宋体" w:cs="Arial"/>
          <w:color w:val="auto"/>
          <w:szCs w:val="21"/>
          <w:highlight w:val="none"/>
        </w:rPr>
        <w:t>致：</w:t>
      </w:r>
      <w:r>
        <w:rPr>
          <w:rFonts w:hint="eastAsia" w:ascii="Arial" w:hAnsi="Arial" w:eastAsia="宋体" w:cs="Arial"/>
          <w:color w:val="auto"/>
          <w:szCs w:val="21"/>
          <w:highlight w:val="none"/>
          <w:u w:val="single"/>
          <w:lang w:eastAsia="zh-CN"/>
        </w:rPr>
        <w:t>广西机电设备招标有限公司</w:t>
      </w:r>
    </w:p>
    <w:p w14:paraId="59B835BF">
      <w:pPr>
        <w:spacing w:after="0" w:line="312" w:lineRule="auto"/>
        <w:rPr>
          <w:rFonts w:ascii="Arial" w:hAnsi="Arial" w:eastAsia="宋体" w:cs="Arial"/>
          <w:color w:val="auto"/>
          <w:szCs w:val="21"/>
          <w:highlight w:val="none"/>
        </w:rPr>
      </w:pPr>
    </w:p>
    <w:p w14:paraId="0AF2BCDA">
      <w:pPr>
        <w:pStyle w:val="14"/>
        <w:spacing w:after="0" w:line="312" w:lineRule="auto"/>
        <w:ind w:firstLine="420" w:firstLineChars="200"/>
        <w:rPr>
          <w:rFonts w:ascii="Arial" w:hAnsi="Arial" w:eastAsia="宋体" w:cs="Arial"/>
          <w:color w:val="auto"/>
          <w:highlight w:val="none"/>
        </w:rPr>
      </w:pPr>
      <w:r>
        <w:rPr>
          <w:rFonts w:ascii="Arial" w:hAnsi="Arial" w:eastAsia="宋体" w:cs="Arial"/>
          <w:color w:val="auto"/>
          <w:kern w:val="0"/>
          <w:highlight w:val="none"/>
        </w:rPr>
        <w:t>我</w:t>
      </w:r>
      <w:r>
        <w:rPr>
          <w:rFonts w:ascii="Arial" w:hAnsi="Arial" w:eastAsia="宋体" w:cs="Arial"/>
          <w:color w:val="auto"/>
          <w:kern w:val="0"/>
          <w:highlight w:val="none"/>
          <w:u w:val="single"/>
        </w:rPr>
        <w:t xml:space="preserve">              </w:t>
      </w:r>
      <w:r>
        <w:rPr>
          <w:rFonts w:ascii="Arial" w:hAnsi="Arial" w:eastAsia="宋体" w:cs="Arial"/>
          <w:color w:val="auto"/>
          <w:kern w:val="0"/>
          <w:highlight w:val="none"/>
        </w:rPr>
        <w:t>（姓名）系</w:t>
      </w:r>
      <w:r>
        <w:rPr>
          <w:rFonts w:ascii="Arial" w:hAnsi="Arial" w:eastAsia="宋体" w:cs="Arial"/>
          <w:color w:val="auto"/>
          <w:kern w:val="0"/>
          <w:highlight w:val="none"/>
          <w:u w:val="single"/>
        </w:rPr>
        <w:t xml:space="preserve">                              </w:t>
      </w:r>
      <w:r>
        <w:rPr>
          <w:rFonts w:ascii="Arial" w:hAnsi="Arial" w:eastAsia="宋体" w:cs="Arial"/>
          <w:color w:val="auto"/>
          <w:kern w:val="0"/>
          <w:highlight w:val="none"/>
        </w:rPr>
        <w:t>（供应商名称）的法定代表人，现授权委托本单位在职职工</w:t>
      </w:r>
      <w:r>
        <w:rPr>
          <w:rFonts w:ascii="Arial" w:hAnsi="Arial" w:eastAsia="宋体" w:cs="Arial"/>
          <w:color w:val="auto"/>
          <w:kern w:val="0"/>
          <w:highlight w:val="none"/>
          <w:u w:val="single"/>
        </w:rPr>
        <w:t xml:space="preserve">            </w:t>
      </w:r>
      <w:r>
        <w:rPr>
          <w:rFonts w:ascii="Arial" w:hAnsi="Arial" w:eastAsia="宋体" w:cs="Arial"/>
          <w:color w:val="auto"/>
          <w:kern w:val="0"/>
          <w:highlight w:val="none"/>
        </w:rPr>
        <w:t>（姓 名）以我公司名义参加</w:t>
      </w:r>
      <w:r>
        <w:rPr>
          <w:rFonts w:ascii="Arial" w:hAnsi="Arial" w:eastAsia="宋体" w:cs="Arial"/>
          <w:color w:val="auto"/>
          <w:kern w:val="0"/>
          <w:highlight w:val="none"/>
          <w:u w:val="single"/>
        </w:rPr>
        <w:t xml:space="preserve">      </w:t>
      </w:r>
      <w:r>
        <w:rPr>
          <w:rFonts w:ascii="Arial" w:hAnsi="Arial" w:eastAsia="宋体" w:cs="Arial"/>
          <w:color w:val="auto"/>
          <w:highlight w:val="none"/>
          <w:u w:val="single"/>
        </w:rPr>
        <w:t xml:space="preserve">（项目名称、项目编号）        </w:t>
      </w:r>
      <w:r>
        <w:rPr>
          <w:rFonts w:ascii="Arial" w:hAnsi="Arial" w:eastAsia="宋体" w:cs="Arial"/>
          <w:color w:val="auto"/>
          <w:highlight w:val="none"/>
        </w:rPr>
        <w:t>项目的谈判活动，并代表我方全权办理针对上述项目的谈判、签约等具体事务和签署相关文件。</w:t>
      </w:r>
    </w:p>
    <w:p w14:paraId="1D43B038">
      <w:pPr>
        <w:pStyle w:val="14"/>
        <w:spacing w:after="0" w:line="312" w:lineRule="auto"/>
        <w:ind w:firstLine="420" w:firstLineChars="200"/>
        <w:rPr>
          <w:rFonts w:ascii="Arial" w:hAnsi="Arial" w:eastAsia="宋体" w:cs="Arial"/>
          <w:color w:val="auto"/>
          <w:highlight w:val="none"/>
        </w:rPr>
      </w:pPr>
      <w:r>
        <w:rPr>
          <w:rFonts w:ascii="Arial" w:hAnsi="Arial" w:eastAsia="宋体" w:cs="Arial"/>
          <w:color w:val="auto"/>
          <w:highlight w:val="none"/>
        </w:rPr>
        <w:t>我方对被授权人的签字事项负全部责任。</w:t>
      </w:r>
    </w:p>
    <w:p w14:paraId="48CC1096">
      <w:pPr>
        <w:pStyle w:val="14"/>
        <w:spacing w:after="0" w:line="312" w:lineRule="auto"/>
        <w:ind w:firstLine="420" w:firstLineChars="200"/>
        <w:rPr>
          <w:rFonts w:ascii="Arial" w:hAnsi="Arial" w:eastAsia="宋体" w:cs="Arial"/>
          <w:color w:val="auto"/>
          <w:highlight w:val="none"/>
          <w:u w:val="single"/>
        </w:rPr>
      </w:pPr>
      <w:r>
        <w:rPr>
          <w:rFonts w:ascii="Arial" w:hAnsi="Arial" w:eastAsia="宋体" w:cs="Arial"/>
          <w:color w:val="auto"/>
          <w:highlight w:val="none"/>
        </w:rPr>
        <w:t>授权委托代理期限：从</w:t>
      </w:r>
      <w:r>
        <w:rPr>
          <w:rFonts w:ascii="Arial" w:hAnsi="Arial" w:eastAsia="宋体" w:cs="Arial"/>
          <w:color w:val="auto"/>
          <w:highlight w:val="none"/>
          <w:u w:val="single"/>
        </w:rPr>
        <w:t xml:space="preserve">       </w:t>
      </w:r>
      <w:r>
        <w:rPr>
          <w:rFonts w:ascii="Arial" w:hAnsi="Arial" w:eastAsia="宋体" w:cs="Arial"/>
          <w:color w:val="auto"/>
          <w:highlight w:val="none"/>
        </w:rPr>
        <w:t>年</w:t>
      </w:r>
      <w:r>
        <w:rPr>
          <w:rFonts w:ascii="Arial" w:hAnsi="Arial" w:eastAsia="宋体" w:cs="Arial"/>
          <w:color w:val="auto"/>
          <w:highlight w:val="none"/>
          <w:u w:val="single"/>
        </w:rPr>
        <w:t xml:space="preserve">     </w:t>
      </w:r>
      <w:r>
        <w:rPr>
          <w:rFonts w:ascii="Arial" w:hAnsi="Arial" w:eastAsia="宋体" w:cs="Arial"/>
          <w:color w:val="auto"/>
          <w:highlight w:val="none"/>
        </w:rPr>
        <w:t xml:space="preserve">月 </w:t>
      </w:r>
      <w:r>
        <w:rPr>
          <w:rFonts w:ascii="Arial" w:hAnsi="Arial" w:eastAsia="宋体" w:cs="Arial"/>
          <w:color w:val="auto"/>
          <w:highlight w:val="none"/>
          <w:u w:val="single"/>
        </w:rPr>
        <w:t xml:space="preserve">    </w:t>
      </w:r>
      <w:r>
        <w:rPr>
          <w:rFonts w:ascii="Arial" w:hAnsi="Arial" w:eastAsia="宋体" w:cs="Arial"/>
          <w:color w:val="auto"/>
          <w:highlight w:val="none"/>
        </w:rPr>
        <w:t xml:space="preserve"> 日起至</w:t>
      </w:r>
      <w:r>
        <w:rPr>
          <w:rFonts w:ascii="Arial" w:hAnsi="Arial" w:eastAsia="宋体" w:cs="Arial"/>
          <w:color w:val="auto"/>
          <w:highlight w:val="none"/>
          <w:u w:val="single"/>
        </w:rPr>
        <w:t xml:space="preserve">         </w:t>
      </w:r>
      <w:r>
        <w:rPr>
          <w:rFonts w:ascii="Arial" w:hAnsi="Arial" w:eastAsia="宋体" w:cs="Arial"/>
          <w:color w:val="auto"/>
          <w:highlight w:val="none"/>
        </w:rPr>
        <w:t>年</w:t>
      </w:r>
      <w:r>
        <w:rPr>
          <w:rFonts w:ascii="Arial" w:hAnsi="Arial" w:eastAsia="宋体" w:cs="Arial"/>
          <w:color w:val="auto"/>
          <w:highlight w:val="none"/>
          <w:u w:val="single"/>
        </w:rPr>
        <w:t xml:space="preserve">     </w:t>
      </w:r>
      <w:r>
        <w:rPr>
          <w:rFonts w:ascii="Arial" w:hAnsi="Arial" w:eastAsia="宋体" w:cs="Arial"/>
          <w:color w:val="auto"/>
          <w:highlight w:val="none"/>
        </w:rPr>
        <w:t xml:space="preserve">月 </w:t>
      </w:r>
      <w:r>
        <w:rPr>
          <w:rFonts w:ascii="Arial" w:hAnsi="Arial" w:eastAsia="宋体" w:cs="Arial"/>
          <w:color w:val="auto"/>
          <w:highlight w:val="none"/>
          <w:u w:val="single"/>
        </w:rPr>
        <w:t xml:space="preserve">     </w:t>
      </w:r>
      <w:r>
        <w:rPr>
          <w:rFonts w:ascii="Arial" w:hAnsi="Arial" w:eastAsia="宋体" w:cs="Arial"/>
          <w:color w:val="auto"/>
          <w:highlight w:val="none"/>
        </w:rPr>
        <w:t>日止。</w:t>
      </w:r>
    </w:p>
    <w:p w14:paraId="57A525D4">
      <w:pPr>
        <w:pStyle w:val="14"/>
        <w:spacing w:after="0" w:line="312" w:lineRule="auto"/>
        <w:rPr>
          <w:rFonts w:ascii="Arial" w:hAnsi="Arial" w:eastAsia="宋体" w:cs="Arial"/>
          <w:color w:val="auto"/>
          <w:highlight w:val="none"/>
          <w:u w:val="single"/>
        </w:rPr>
      </w:pPr>
      <w:r>
        <w:rPr>
          <w:rFonts w:ascii="Arial" w:hAnsi="Arial" w:eastAsia="宋体" w:cs="Arial"/>
          <w:color w:val="auto"/>
          <w:highlight w:val="none"/>
        </w:rPr>
        <w:t xml:space="preserve">                                                                                             </w:t>
      </w:r>
    </w:p>
    <w:p w14:paraId="75A91FF6">
      <w:pPr>
        <w:spacing w:after="0" w:line="312" w:lineRule="auto"/>
        <w:ind w:firstLine="420" w:firstLineChars="200"/>
        <w:rPr>
          <w:rFonts w:ascii="Arial" w:hAnsi="Arial" w:eastAsia="宋体" w:cs="Arial"/>
          <w:color w:val="auto"/>
          <w:kern w:val="0"/>
          <w:highlight w:val="none"/>
        </w:rPr>
      </w:pPr>
      <w:r>
        <w:rPr>
          <w:rFonts w:ascii="Arial" w:hAnsi="Arial" w:eastAsia="宋体" w:cs="Arial"/>
          <w:color w:val="auto"/>
          <w:kern w:val="0"/>
          <w:highlight w:val="none"/>
        </w:rPr>
        <w:t xml:space="preserve">代理人无转委托权,特此委托。 </w:t>
      </w:r>
    </w:p>
    <w:p w14:paraId="743C1A6C">
      <w:pPr>
        <w:snapToGrid w:val="0"/>
        <w:spacing w:after="0" w:line="312" w:lineRule="auto"/>
        <w:ind w:firstLine="525"/>
        <w:rPr>
          <w:rFonts w:ascii="Arial" w:hAnsi="Arial" w:eastAsia="宋体" w:cs="Arial"/>
          <w:color w:val="auto"/>
          <w:szCs w:val="21"/>
          <w:highlight w:val="none"/>
        </w:rPr>
      </w:pPr>
    </w:p>
    <w:p w14:paraId="40CE9D64">
      <w:pPr>
        <w:snapToGrid w:val="0"/>
        <w:spacing w:after="0" w:line="312" w:lineRule="auto"/>
        <w:ind w:firstLine="420"/>
        <w:rPr>
          <w:rFonts w:ascii="Arial" w:hAnsi="Arial" w:eastAsia="宋体" w:cs="Arial"/>
          <w:color w:val="auto"/>
          <w:szCs w:val="21"/>
          <w:highlight w:val="none"/>
        </w:rPr>
      </w:pPr>
      <w:r>
        <w:rPr>
          <w:rFonts w:ascii="Arial" w:hAnsi="Arial" w:eastAsia="宋体" w:cs="Arial"/>
          <w:color w:val="auto"/>
          <w:szCs w:val="21"/>
          <w:highlight w:val="none"/>
        </w:rPr>
        <w:t>我已在下面签字，以资证明。</w:t>
      </w:r>
    </w:p>
    <w:p w14:paraId="5178DE6B">
      <w:pPr>
        <w:snapToGrid w:val="0"/>
        <w:spacing w:after="0" w:line="312" w:lineRule="auto"/>
        <w:ind w:firstLine="420"/>
        <w:rPr>
          <w:rFonts w:ascii="Arial" w:hAnsi="Arial" w:eastAsia="宋体" w:cs="Arial"/>
          <w:color w:val="auto"/>
          <w:szCs w:val="21"/>
          <w:highlight w:val="none"/>
        </w:rPr>
      </w:pPr>
    </w:p>
    <w:p w14:paraId="24F98797">
      <w:pPr>
        <w:snapToGrid w:val="0"/>
        <w:spacing w:after="0" w:line="312" w:lineRule="auto"/>
        <w:ind w:firstLine="420"/>
        <w:rPr>
          <w:rFonts w:ascii="Arial" w:hAnsi="Arial" w:eastAsia="宋体" w:cs="Arial"/>
          <w:color w:val="auto"/>
          <w:szCs w:val="21"/>
          <w:highlight w:val="none"/>
        </w:rPr>
      </w:pPr>
    </w:p>
    <w:p w14:paraId="13D361BB">
      <w:pPr>
        <w:snapToGrid w:val="0"/>
        <w:spacing w:after="0" w:line="312" w:lineRule="auto"/>
        <w:ind w:firstLine="420"/>
        <w:rPr>
          <w:rFonts w:ascii="Arial" w:hAnsi="Arial" w:eastAsia="宋体" w:cs="Arial"/>
          <w:color w:val="auto"/>
          <w:szCs w:val="21"/>
          <w:highlight w:val="none"/>
          <w:u w:val="single"/>
        </w:rPr>
      </w:pPr>
      <w:r>
        <w:rPr>
          <w:rFonts w:ascii="Arial" w:hAnsi="Arial" w:eastAsia="宋体" w:cs="Arial"/>
          <w:color w:val="auto"/>
          <w:szCs w:val="21"/>
          <w:highlight w:val="none"/>
        </w:rPr>
        <w:t>供应商（公章）：</w:t>
      </w:r>
      <w:r>
        <w:rPr>
          <w:rFonts w:ascii="Arial" w:hAnsi="Arial" w:eastAsia="宋体" w:cs="Arial"/>
          <w:b/>
          <w:color w:val="auto"/>
          <w:szCs w:val="21"/>
          <w:highlight w:val="none"/>
          <w:u w:val="single"/>
        </w:rPr>
        <w:t xml:space="preserve">                                      </w:t>
      </w:r>
    </w:p>
    <w:p w14:paraId="2F590D6A">
      <w:pPr>
        <w:snapToGrid w:val="0"/>
        <w:spacing w:after="0" w:line="312" w:lineRule="auto"/>
        <w:ind w:firstLine="420"/>
        <w:rPr>
          <w:rFonts w:ascii="Arial" w:hAnsi="Arial" w:eastAsia="宋体" w:cs="Arial"/>
          <w:color w:val="auto"/>
          <w:szCs w:val="21"/>
          <w:highlight w:val="none"/>
        </w:rPr>
      </w:pPr>
    </w:p>
    <w:p w14:paraId="0664641E">
      <w:pPr>
        <w:snapToGrid w:val="0"/>
        <w:spacing w:after="0" w:line="312" w:lineRule="auto"/>
        <w:ind w:firstLine="420"/>
        <w:rPr>
          <w:rFonts w:ascii="Arial" w:hAnsi="Arial" w:eastAsia="宋体" w:cs="Arial"/>
          <w:color w:val="auto"/>
          <w:szCs w:val="21"/>
          <w:highlight w:val="none"/>
        </w:rPr>
      </w:pPr>
      <w:r>
        <w:rPr>
          <w:rFonts w:ascii="Arial" w:hAnsi="Arial" w:eastAsia="宋体" w:cs="Arial"/>
          <w:color w:val="auto"/>
          <w:szCs w:val="21"/>
          <w:highlight w:val="none"/>
        </w:rPr>
        <w:t>法定代表人签字：</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 xml:space="preserve">        　　 </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年</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月</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日</w:t>
      </w:r>
    </w:p>
    <w:p w14:paraId="546186BF">
      <w:pPr>
        <w:snapToGrid w:val="0"/>
        <w:spacing w:after="0" w:line="312" w:lineRule="auto"/>
        <w:ind w:firstLine="420"/>
        <w:rPr>
          <w:rFonts w:ascii="Arial" w:hAnsi="Arial" w:eastAsia="宋体" w:cs="Arial"/>
          <w:color w:val="auto"/>
          <w:szCs w:val="21"/>
          <w:highlight w:val="none"/>
        </w:rPr>
      </w:pPr>
    </w:p>
    <w:p w14:paraId="3C7B41E7">
      <w:pPr>
        <w:snapToGrid w:val="0"/>
        <w:spacing w:after="0" w:line="312" w:lineRule="auto"/>
        <w:rPr>
          <w:rFonts w:ascii="Arial" w:hAnsi="Arial" w:eastAsia="宋体" w:cs="Arial"/>
          <w:b/>
          <w:color w:val="auto"/>
          <w:szCs w:val="21"/>
          <w:highlight w:val="none"/>
        </w:rPr>
      </w:pPr>
      <w:r>
        <w:rPr>
          <w:rFonts w:ascii="Arial" w:hAnsi="Arial" w:eastAsia="宋体" w:cs="Arial"/>
          <w:b/>
          <w:color w:val="auto"/>
          <w:szCs w:val="21"/>
          <w:highlight w:val="none"/>
        </w:rPr>
        <w:t>附：委托代理人有效的身份证正反两面复印件。</w:t>
      </w:r>
    </w:p>
    <w:p w14:paraId="5F9BFFB3">
      <w:pPr>
        <w:snapToGrid w:val="0"/>
        <w:spacing w:line="312" w:lineRule="auto"/>
        <w:rPr>
          <w:rFonts w:ascii="Arial" w:hAnsi="Arial" w:eastAsia="宋体" w:cs="Arial"/>
          <w:color w:val="auto"/>
          <w:sz w:val="28"/>
          <w:szCs w:val="28"/>
          <w:highlight w:val="none"/>
        </w:rPr>
      </w:pPr>
    </w:p>
    <w:p w14:paraId="7EAD6C7C">
      <w:pPr>
        <w:pStyle w:val="14"/>
        <w:spacing w:line="312" w:lineRule="auto"/>
        <w:rPr>
          <w:rFonts w:ascii="Arial" w:hAnsi="Arial" w:eastAsia="宋体" w:cs="Arial"/>
          <w:b/>
          <w:color w:val="auto"/>
          <w:sz w:val="24"/>
          <w:szCs w:val="24"/>
          <w:highlight w:val="none"/>
        </w:rPr>
      </w:pPr>
    </w:p>
    <w:p w14:paraId="5E27D7EB">
      <w:pPr>
        <w:pStyle w:val="14"/>
        <w:spacing w:line="312" w:lineRule="auto"/>
        <w:rPr>
          <w:rFonts w:ascii="Arial" w:hAnsi="Arial" w:eastAsia="宋体" w:cs="Arial"/>
          <w:b/>
          <w:color w:val="auto"/>
          <w:sz w:val="24"/>
          <w:szCs w:val="24"/>
          <w:highlight w:val="none"/>
        </w:rPr>
      </w:pPr>
    </w:p>
    <w:p w14:paraId="39932A6A">
      <w:pPr>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5DCEE864">
      <w:pPr>
        <w:pStyle w:val="14"/>
        <w:spacing w:after="0" w:line="312" w:lineRule="auto"/>
        <w:rPr>
          <w:rFonts w:ascii="Arial" w:hAnsi="Arial" w:eastAsia="宋体" w:cs="Arial"/>
          <w:b/>
          <w:color w:val="auto"/>
          <w:szCs w:val="21"/>
          <w:highlight w:val="none"/>
        </w:rPr>
      </w:pPr>
      <w:r>
        <w:rPr>
          <w:rFonts w:ascii="Arial" w:hAnsi="Arial" w:eastAsia="宋体" w:cs="Arial"/>
          <w:b/>
          <w:color w:val="auto"/>
          <w:sz w:val="28"/>
          <w:szCs w:val="28"/>
          <w:highlight w:val="none"/>
        </w:rPr>
        <w:t>4. 供应商的法人或者其他组织营业执照等证明文件复印件（必须提供）</w:t>
      </w:r>
    </w:p>
    <w:p w14:paraId="65B633E5">
      <w:pPr>
        <w:tabs>
          <w:tab w:val="left" w:pos="1305"/>
        </w:tabs>
        <w:spacing w:after="0" w:line="312" w:lineRule="auto"/>
        <w:ind w:firstLine="420" w:firstLineChars="200"/>
        <w:rPr>
          <w:rFonts w:ascii="Arial" w:hAnsi="Arial" w:eastAsia="宋体" w:cs="Arial"/>
          <w:b/>
          <w:color w:val="auto"/>
          <w:sz w:val="32"/>
          <w:highlight w:val="none"/>
        </w:rPr>
      </w:pPr>
      <w:r>
        <w:rPr>
          <w:rFonts w:ascii="Arial" w:hAnsi="Arial" w:eastAsia="宋体" w:cs="Arial"/>
          <w:b/>
          <w:color w:val="auto"/>
          <w:szCs w:val="21"/>
          <w:highlight w:val="none"/>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19F1C3CB">
      <w:pPr>
        <w:pStyle w:val="14"/>
        <w:spacing w:after="0" w:line="312" w:lineRule="auto"/>
        <w:rPr>
          <w:rFonts w:ascii="Arial" w:hAnsi="Arial" w:eastAsia="宋体" w:cs="Arial"/>
          <w:b/>
          <w:color w:val="auto"/>
          <w:sz w:val="32"/>
          <w:highlight w:val="none"/>
        </w:rPr>
      </w:pPr>
    </w:p>
    <w:p w14:paraId="6AF0EFED">
      <w:pPr>
        <w:pStyle w:val="14"/>
        <w:spacing w:after="0" w:line="312" w:lineRule="auto"/>
        <w:rPr>
          <w:rFonts w:ascii="Arial" w:hAnsi="Arial" w:eastAsia="宋体" w:cs="Arial"/>
          <w:b/>
          <w:color w:val="auto"/>
          <w:sz w:val="32"/>
          <w:highlight w:val="none"/>
        </w:rPr>
      </w:pPr>
    </w:p>
    <w:p w14:paraId="3831453E">
      <w:pPr>
        <w:pStyle w:val="14"/>
        <w:spacing w:after="0"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5.供应商</w:t>
      </w:r>
      <w:r>
        <w:rPr>
          <w:rFonts w:hint="eastAsia" w:ascii="Arial" w:hAnsi="Arial" w:eastAsia="宋体" w:cs="Arial"/>
          <w:b/>
          <w:color w:val="auto"/>
          <w:sz w:val="28"/>
          <w:szCs w:val="28"/>
          <w:highlight w:val="none"/>
        </w:rPr>
        <w:t>2024年</w:t>
      </w:r>
      <w:r>
        <w:rPr>
          <w:rFonts w:ascii="Arial" w:hAnsi="Arial" w:eastAsia="宋体" w:cs="Arial"/>
          <w:b/>
          <w:color w:val="auto"/>
          <w:sz w:val="28"/>
          <w:szCs w:val="28"/>
          <w:highlight w:val="none"/>
        </w:rPr>
        <w:t>的审计报告或财务报表（至少包含资产负债表、利润表、现金流量表）（</w:t>
      </w:r>
      <w:r>
        <w:rPr>
          <w:rFonts w:hint="eastAsia" w:ascii="Arial" w:hAnsi="Arial" w:eastAsia="宋体" w:cs="Arial"/>
          <w:b/>
          <w:color w:val="auto"/>
          <w:sz w:val="28"/>
          <w:szCs w:val="28"/>
          <w:highlight w:val="none"/>
        </w:rPr>
        <w:t>2025年</w:t>
      </w:r>
      <w:r>
        <w:rPr>
          <w:rFonts w:ascii="Arial" w:hAnsi="Arial" w:eastAsia="宋体" w:cs="Arial"/>
          <w:b/>
          <w:color w:val="auto"/>
          <w:sz w:val="28"/>
          <w:szCs w:val="28"/>
          <w:highlight w:val="none"/>
        </w:rPr>
        <w:t xml:space="preserve">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必须提供） </w:t>
      </w:r>
    </w:p>
    <w:p w14:paraId="553A35F6">
      <w:pPr>
        <w:pStyle w:val="14"/>
        <w:spacing w:after="0" w:line="312" w:lineRule="auto"/>
        <w:rPr>
          <w:rFonts w:ascii="Arial" w:hAnsi="Arial" w:eastAsia="宋体" w:cs="Arial"/>
          <w:b/>
          <w:color w:val="auto"/>
          <w:sz w:val="28"/>
          <w:szCs w:val="28"/>
          <w:highlight w:val="none"/>
        </w:rPr>
      </w:pPr>
    </w:p>
    <w:p w14:paraId="3535016C">
      <w:pPr>
        <w:pStyle w:val="14"/>
        <w:spacing w:after="0" w:line="312" w:lineRule="auto"/>
        <w:rPr>
          <w:rFonts w:ascii="Arial" w:hAnsi="Arial" w:eastAsia="宋体" w:cs="Arial"/>
          <w:b/>
          <w:color w:val="auto"/>
          <w:sz w:val="28"/>
          <w:szCs w:val="28"/>
          <w:highlight w:val="none"/>
        </w:rPr>
      </w:pPr>
    </w:p>
    <w:p w14:paraId="4D846B05">
      <w:pPr>
        <w:pStyle w:val="14"/>
        <w:spacing w:after="0" w:line="312" w:lineRule="auto"/>
        <w:rPr>
          <w:rFonts w:ascii="Arial" w:hAnsi="Arial" w:eastAsia="宋体" w:cs="Arial"/>
          <w:color w:val="auto"/>
          <w:szCs w:val="21"/>
          <w:highlight w:val="none"/>
        </w:rPr>
      </w:pPr>
    </w:p>
    <w:p w14:paraId="6C0A7009">
      <w:pPr>
        <w:pStyle w:val="14"/>
        <w:spacing w:after="0" w:line="312" w:lineRule="auto"/>
        <w:rPr>
          <w:rFonts w:ascii="Arial" w:hAnsi="Arial" w:eastAsia="宋体" w:cs="Arial"/>
          <w:color w:val="auto"/>
          <w:szCs w:val="21"/>
          <w:highlight w:val="none"/>
        </w:rPr>
      </w:pPr>
    </w:p>
    <w:p w14:paraId="67790593">
      <w:pPr>
        <w:pStyle w:val="14"/>
        <w:spacing w:after="0"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必须提供）</w:t>
      </w:r>
    </w:p>
    <w:p w14:paraId="28D7BF6E">
      <w:pPr>
        <w:pStyle w:val="14"/>
        <w:spacing w:line="312" w:lineRule="auto"/>
        <w:rPr>
          <w:rFonts w:ascii="Arial" w:hAnsi="Arial" w:eastAsia="宋体" w:cs="Arial"/>
          <w:b/>
          <w:color w:val="auto"/>
          <w:sz w:val="32"/>
          <w:highlight w:val="none"/>
        </w:rPr>
      </w:pPr>
    </w:p>
    <w:p w14:paraId="77D7AF6E">
      <w:pPr>
        <w:pStyle w:val="14"/>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7.供应商至响应文件递交截止时间前6个月内，任意1个月依法缴纳社会保障资金的相关材料复印件（必须提供）</w:t>
      </w:r>
    </w:p>
    <w:p w14:paraId="28721250">
      <w:pPr>
        <w:pStyle w:val="14"/>
        <w:spacing w:line="312" w:lineRule="auto"/>
        <w:rPr>
          <w:rFonts w:ascii="Arial" w:hAnsi="Arial" w:eastAsia="宋体" w:cs="Arial"/>
          <w:b/>
          <w:color w:val="auto"/>
          <w:sz w:val="28"/>
          <w:szCs w:val="28"/>
          <w:highlight w:val="none"/>
        </w:rPr>
      </w:pPr>
    </w:p>
    <w:p w14:paraId="3B354A93">
      <w:pPr>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8.供应商参加采购活动前3年内在经营活动中没有重大违法记录</w:t>
      </w:r>
      <w:r>
        <w:rPr>
          <w:rFonts w:ascii="Arial" w:hAnsi="Arial" w:eastAsia="宋体" w:cs="Arial"/>
          <w:b/>
          <w:color w:val="auto"/>
          <w:sz w:val="32"/>
          <w:szCs w:val="32"/>
          <w:highlight w:val="none"/>
        </w:rPr>
        <w:t>及</w:t>
      </w:r>
      <w:r>
        <w:rPr>
          <w:rFonts w:ascii="Arial" w:hAnsi="Arial" w:eastAsia="宋体" w:cs="Arial"/>
          <w:b/>
          <w:color w:val="auto"/>
          <w:sz w:val="28"/>
          <w:szCs w:val="28"/>
          <w:highlight w:val="none"/>
        </w:rPr>
        <w:t>有关信用信息的书面声明（必须提供）</w:t>
      </w:r>
    </w:p>
    <w:p w14:paraId="067AB622">
      <w:pPr>
        <w:pStyle w:val="14"/>
        <w:spacing w:line="312" w:lineRule="auto"/>
        <w:ind w:left="420" w:leftChars="200" w:firstLine="156" w:firstLineChars="49"/>
        <w:rPr>
          <w:rFonts w:ascii="Arial" w:hAnsi="Arial" w:eastAsia="宋体" w:cs="Arial"/>
          <w:b/>
          <w:color w:val="auto"/>
          <w:sz w:val="32"/>
          <w:szCs w:val="32"/>
          <w:highlight w:val="none"/>
        </w:rPr>
      </w:pPr>
      <w:r>
        <w:rPr>
          <w:rFonts w:ascii="Arial" w:hAnsi="Arial" w:eastAsia="宋体" w:cs="Arial"/>
          <w:b/>
          <w:color w:val="auto"/>
          <w:sz w:val="32"/>
          <w:szCs w:val="32"/>
          <w:highlight w:val="none"/>
        </w:rPr>
        <w:t xml:space="preserve">                       </w:t>
      </w:r>
    </w:p>
    <w:p w14:paraId="2CA9E9D4">
      <w:pPr>
        <w:pStyle w:val="14"/>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附件：</w:t>
      </w:r>
    </w:p>
    <w:p w14:paraId="0D7C3BB1">
      <w:pPr>
        <w:pStyle w:val="14"/>
        <w:spacing w:line="312" w:lineRule="auto"/>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声   明（格式）</w:t>
      </w:r>
    </w:p>
    <w:p w14:paraId="720AA853">
      <w:pPr>
        <w:snapToGrid w:val="0"/>
        <w:spacing w:line="312" w:lineRule="auto"/>
        <w:rPr>
          <w:rFonts w:hint="eastAsia" w:ascii="Arial" w:hAnsi="Arial" w:eastAsia="宋体" w:cs="Arial"/>
          <w:color w:val="auto"/>
          <w:highlight w:val="none"/>
          <w:lang w:eastAsia="zh-CN"/>
        </w:rPr>
      </w:pPr>
      <w:r>
        <w:rPr>
          <w:rFonts w:ascii="Arial" w:hAnsi="Arial" w:eastAsia="宋体" w:cs="Arial"/>
          <w:b/>
          <w:color w:val="auto"/>
          <w:szCs w:val="21"/>
          <w:highlight w:val="none"/>
        </w:rPr>
        <w:t>致</w:t>
      </w:r>
      <w:r>
        <w:rPr>
          <w:rFonts w:ascii="Arial" w:hAnsi="Arial" w:eastAsia="宋体" w:cs="Arial"/>
          <w:color w:val="auto"/>
          <w:szCs w:val="21"/>
          <w:highlight w:val="none"/>
        </w:rPr>
        <w:t>：</w:t>
      </w:r>
      <w:r>
        <w:rPr>
          <w:rFonts w:hint="eastAsia" w:ascii="Arial" w:hAnsi="Arial" w:eastAsia="宋体" w:cs="Arial"/>
          <w:color w:val="auto"/>
          <w:highlight w:val="none"/>
          <w:u w:val="single"/>
          <w:lang w:eastAsia="zh-CN"/>
        </w:rPr>
        <w:t>广西机电设备招标有限公司</w:t>
      </w:r>
    </w:p>
    <w:p w14:paraId="1DE86CBE">
      <w:pPr>
        <w:snapToGrid w:val="0"/>
        <w:spacing w:line="312" w:lineRule="auto"/>
        <w:rPr>
          <w:rFonts w:ascii="Arial" w:hAnsi="Arial" w:eastAsia="宋体" w:cs="Arial"/>
          <w:color w:val="auto"/>
          <w:szCs w:val="21"/>
          <w:highlight w:val="none"/>
          <w:u w:val="single"/>
        </w:rPr>
      </w:pPr>
    </w:p>
    <w:p w14:paraId="78A080C6">
      <w:pPr>
        <w:pStyle w:val="14"/>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我（公司）郑重声明，在参加本项目采购活动前3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40791E45">
      <w:pPr>
        <w:snapToGrid w:val="0"/>
        <w:spacing w:line="312" w:lineRule="auto"/>
        <w:ind w:firstLine="420"/>
        <w:rPr>
          <w:rFonts w:ascii="Arial" w:hAnsi="Arial" w:eastAsia="宋体" w:cs="Arial"/>
          <w:color w:val="auto"/>
          <w:szCs w:val="21"/>
          <w:highlight w:val="none"/>
        </w:rPr>
      </w:pPr>
    </w:p>
    <w:p w14:paraId="018B1E1A">
      <w:pPr>
        <w:snapToGrid w:val="0"/>
        <w:spacing w:line="312" w:lineRule="auto"/>
        <w:ind w:firstLine="420"/>
        <w:rPr>
          <w:rFonts w:ascii="Arial" w:hAnsi="Arial" w:eastAsia="宋体" w:cs="Arial"/>
          <w:color w:val="auto"/>
          <w:szCs w:val="21"/>
          <w:highlight w:val="none"/>
        </w:rPr>
      </w:pPr>
    </w:p>
    <w:p w14:paraId="510E8789">
      <w:pPr>
        <w:snapToGrid w:val="0"/>
        <w:spacing w:line="312" w:lineRule="auto"/>
        <w:ind w:firstLine="4935" w:firstLineChars="2350"/>
        <w:rPr>
          <w:rFonts w:ascii="Arial" w:hAnsi="Arial" w:eastAsia="宋体" w:cs="Arial"/>
          <w:color w:val="auto"/>
          <w:szCs w:val="21"/>
          <w:highlight w:val="none"/>
        </w:rPr>
      </w:pPr>
    </w:p>
    <w:p w14:paraId="35728689">
      <w:pPr>
        <w:snapToGrid w:val="0"/>
        <w:spacing w:line="312" w:lineRule="auto"/>
        <w:ind w:firstLine="4935" w:firstLineChars="2350"/>
        <w:rPr>
          <w:rFonts w:ascii="Arial" w:hAnsi="Arial" w:eastAsia="宋体" w:cs="Arial"/>
          <w:color w:val="auto"/>
          <w:szCs w:val="21"/>
          <w:highlight w:val="none"/>
        </w:rPr>
      </w:pPr>
    </w:p>
    <w:p w14:paraId="05A00D11">
      <w:pPr>
        <w:snapToGrid w:val="0"/>
        <w:spacing w:line="312" w:lineRule="auto"/>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6821E9BD">
      <w:pPr>
        <w:pStyle w:val="14"/>
        <w:spacing w:line="312" w:lineRule="auto"/>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7810EA13">
      <w:pPr>
        <w:pStyle w:val="14"/>
        <w:spacing w:line="312" w:lineRule="auto"/>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3BF0C2C1">
      <w:pPr>
        <w:spacing w:line="312" w:lineRule="auto"/>
        <w:rPr>
          <w:rFonts w:ascii="Arial" w:hAnsi="Arial" w:eastAsia="宋体" w:cs="Arial"/>
          <w:b/>
          <w:bCs/>
          <w:color w:val="auto"/>
          <w:highlight w:val="none"/>
        </w:rPr>
      </w:pPr>
      <w:r>
        <w:rPr>
          <w:rFonts w:ascii="Arial" w:hAnsi="Arial" w:eastAsia="宋体" w:cs="Arial"/>
          <w:b/>
          <w:bCs/>
          <w:color w:val="auto"/>
          <w:highlight w:val="none"/>
        </w:rPr>
        <w:br w:type="page"/>
      </w:r>
    </w:p>
    <w:p w14:paraId="1E6C36AA">
      <w:pPr>
        <w:pStyle w:val="14"/>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9.供应商股东及出资信息表（必须提供）</w:t>
      </w:r>
    </w:p>
    <w:p w14:paraId="3879D55A">
      <w:pPr>
        <w:snapToGrid w:val="0"/>
        <w:spacing w:before="165" w:beforeLines="50" w:after="50" w:line="312" w:lineRule="auto"/>
        <w:jc w:val="center"/>
        <w:rPr>
          <w:rFonts w:ascii="Arial" w:hAnsi="Arial" w:eastAsia="宋体" w:cs="Arial"/>
          <w:b/>
          <w:bCs/>
          <w:color w:val="auto"/>
          <w:sz w:val="22"/>
          <w:szCs w:val="28"/>
          <w:highlight w:val="none"/>
        </w:rPr>
      </w:pPr>
      <w:r>
        <w:rPr>
          <w:rFonts w:ascii="Arial" w:hAnsi="Arial" w:eastAsia="宋体" w:cs="Arial"/>
          <w:b/>
          <w:bCs/>
          <w:color w:val="auto"/>
          <w:sz w:val="22"/>
          <w:szCs w:val="28"/>
          <w:highlight w:val="none"/>
        </w:rPr>
        <w:t>供应商直接控股股东信息表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2076"/>
        <w:gridCol w:w="1199"/>
        <w:gridCol w:w="3271"/>
        <w:gridCol w:w="1884"/>
      </w:tblGrid>
      <w:tr w14:paraId="72F5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987" w:type="dxa"/>
          </w:tcPr>
          <w:p w14:paraId="34FA9D03">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序号</w:t>
            </w:r>
          </w:p>
        </w:tc>
        <w:tc>
          <w:tcPr>
            <w:tcW w:w="2076" w:type="dxa"/>
          </w:tcPr>
          <w:p w14:paraId="0D66423A">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直接控股股东名称</w:t>
            </w:r>
          </w:p>
        </w:tc>
        <w:tc>
          <w:tcPr>
            <w:tcW w:w="1199" w:type="dxa"/>
          </w:tcPr>
          <w:p w14:paraId="27075F26">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出资比例</w:t>
            </w:r>
          </w:p>
        </w:tc>
        <w:tc>
          <w:tcPr>
            <w:tcW w:w="3271" w:type="dxa"/>
          </w:tcPr>
          <w:p w14:paraId="60D9F17F">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身份证号码或统一社会信用代码</w:t>
            </w:r>
          </w:p>
        </w:tc>
        <w:tc>
          <w:tcPr>
            <w:tcW w:w="1884" w:type="dxa"/>
          </w:tcPr>
          <w:p w14:paraId="241273EC">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备注</w:t>
            </w:r>
          </w:p>
        </w:tc>
      </w:tr>
      <w:tr w14:paraId="43ED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60E98DF2">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1</w:t>
            </w:r>
          </w:p>
        </w:tc>
        <w:tc>
          <w:tcPr>
            <w:tcW w:w="2076" w:type="dxa"/>
          </w:tcPr>
          <w:p w14:paraId="7AF763F0">
            <w:pPr>
              <w:snapToGrid w:val="0"/>
              <w:spacing w:before="165" w:beforeLines="50" w:after="50" w:line="312" w:lineRule="auto"/>
              <w:rPr>
                <w:rFonts w:ascii="Arial" w:hAnsi="Arial" w:eastAsia="宋体" w:cs="Arial"/>
                <w:color w:val="auto"/>
                <w:highlight w:val="none"/>
              </w:rPr>
            </w:pPr>
          </w:p>
        </w:tc>
        <w:tc>
          <w:tcPr>
            <w:tcW w:w="1199" w:type="dxa"/>
          </w:tcPr>
          <w:p w14:paraId="7FC1E505">
            <w:pPr>
              <w:snapToGrid w:val="0"/>
              <w:spacing w:before="165" w:beforeLines="50" w:after="50" w:line="312" w:lineRule="auto"/>
              <w:rPr>
                <w:rFonts w:ascii="Arial" w:hAnsi="Arial" w:eastAsia="宋体" w:cs="Arial"/>
                <w:color w:val="auto"/>
                <w:highlight w:val="none"/>
              </w:rPr>
            </w:pPr>
          </w:p>
        </w:tc>
        <w:tc>
          <w:tcPr>
            <w:tcW w:w="3271" w:type="dxa"/>
          </w:tcPr>
          <w:p w14:paraId="4C7BF451">
            <w:pPr>
              <w:snapToGrid w:val="0"/>
              <w:spacing w:before="165" w:beforeLines="50" w:after="50" w:line="312" w:lineRule="auto"/>
              <w:rPr>
                <w:rFonts w:ascii="Arial" w:hAnsi="Arial" w:eastAsia="宋体" w:cs="Arial"/>
                <w:color w:val="auto"/>
                <w:highlight w:val="none"/>
              </w:rPr>
            </w:pPr>
          </w:p>
        </w:tc>
        <w:tc>
          <w:tcPr>
            <w:tcW w:w="1884" w:type="dxa"/>
          </w:tcPr>
          <w:p w14:paraId="4A5898DF">
            <w:pPr>
              <w:snapToGrid w:val="0"/>
              <w:spacing w:before="165" w:beforeLines="50" w:after="50" w:line="312" w:lineRule="auto"/>
              <w:rPr>
                <w:rFonts w:ascii="Arial" w:hAnsi="Arial" w:eastAsia="宋体" w:cs="Arial"/>
                <w:color w:val="auto"/>
                <w:highlight w:val="none"/>
              </w:rPr>
            </w:pPr>
          </w:p>
        </w:tc>
      </w:tr>
      <w:tr w14:paraId="7C1DB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0B680B84">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2</w:t>
            </w:r>
          </w:p>
        </w:tc>
        <w:tc>
          <w:tcPr>
            <w:tcW w:w="2076" w:type="dxa"/>
          </w:tcPr>
          <w:p w14:paraId="318E6B38">
            <w:pPr>
              <w:snapToGrid w:val="0"/>
              <w:spacing w:before="165" w:beforeLines="50" w:after="50" w:line="312" w:lineRule="auto"/>
              <w:rPr>
                <w:rFonts w:ascii="Arial" w:hAnsi="Arial" w:eastAsia="宋体" w:cs="Arial"/>
                <w:color w:val="auto"/>
                <w:highlight w:val="none"/>
              </w:rPr>
            </w:pPr>
          </w:p>
        </w:tc>
        <w:tc>
          <w:tcPr>
            <w:tcW w:w="1199" w:type="dxa"/>
          </w:tcPr>
          <w:p w14:paraId="3FB419E3">
            <w:pPr>
              <w:snapToGrid w:val="0"/>
              <w:spacing w:before="165" w:beforeLines="50" w:after="50" w:line="312" w:lineRule="auto"/>
              <w:rPr>
                <w:rFonts w:ascii="Arial" w:hAnsi="Arial" w:eastAsia="宋体" w:cs="Arial"/>
                <w:color w:val="auto"/>
                <w:highlight w:val="none"/>
              </w:rPr>
            </w:pPr>
          </w:p>
        </w:tc>
        <w:tc>
          <w:tcPr>
            <w:tcW w:w="3271" w:type="dxa"/>
          </w:tcPr>
          <w:p w14:paraId="7B51EB6F">
            <w:pPr>
              <w:snapToGrid w:val="0"/>
              <w:spacing w:before="165" w:beforeLines="50" w:after="50" w:line="312" w:lineRule="auto"/>
              <w:rPr>
                <w:rFonts w:ascii="Arial" w:hAnsi="Arial" w:eastAsia="宋体" w:cs="Arial"/>
                <w:color w:val="auto"/>
                <w:highlight w:val="none"/>
              </w:rPr>
            </w:pPr>
          </w:p>
        </w:tc>
        <w:tc>
          <w:tcPr>
            <w:tcW w:w="1884" w:type="dxa"/>
          </w:tcPr>
          <w:p w14:paraId="10C1F697">
            <w:pPr>
              <w:snapToGrid w:val="0"/>
              <w:spacing w:before="165" w:beforeLines="50" w:after="50" w:line="312" w:lineRule="auto"/>
              <w:rPr>
                <w:rFonts w:ascii="Arial" w:hAnsi="Arial" w:eastAsia="宋体" w:cs="Arial"/>
                <w:color w:val="auto"/>
                <w:highlight w:val="none"/>
              </w:rPr>
            </w:pPr>
          </w:p>
        </w:tc>
      </w:tr>
      <w:tr w14:paraId="26F7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1BDBE6B5">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3</w:t>
            </w:r>
          </w:p>
        </w:tc>
        <w:tc>
          <w:tcPr>
            <w:tcW w:w="2076" w:type="dxa"/>
          </w:tcPr>
          <w:p w14:paraId="5E2E6786">
            <w:pPr>
              <w:snapToGrid w:val="0"/>
              <w:spacing w:before="165" w:beforeLines="50" w:after="50" w:line="312" w:lineRule="auto"/>
              <w:rPr>
                <w:rFonts w:ascii="Arial" w:hAnsi="Arial" w:eastAsia="宋体" w:cs="Arial"/>
                <w:color w:val="auto"/>
                <w:highlight w:val="none"/>
              </w:rPr>
            </w:pPr>
          </w:p>
        </w:tc>
        <w:tc>
          <w:tcPr>
            <w:tcW w:w="1199" w:type="dxa"/>
          </w:tcPr>
          <w:p w14:paraId="35465B3E">
            <w:pPr>
              <w:snapToGrid w:val="0"/>
              <w:spacing w:before="165" w:beforeLines="50" w:after="50" w:line="312" w:lineRule="auto"/>
              <w:rPr>
                <w:rFonts w:ascii="Arial" w:hAnsi="Arial" w:eastAsia="宋体" w:cs="Arial"/>
                <w:color w:val="auto"/>
                <w:highlight w:val="none"/>
              </w:rPr>
            </w:pPr>
          </w:p>
        </w:tc>
        <w:tc>
          <w:tcPr>
            <w:tcW w:w="3271" w:type="dxa"/>
          </w:tcPr>
          <w:p w14:paraId="67273203">
            <w:pPr>
              <w:snapToGrid w:val="0"/>
              <w:spacing w:before="165" w:beforeLines="50" w:after="50" w:line="312" w:lineRule="auto"/>
              <w:rPr>
                <w:rFonts w:ascii="Arial" w:hAnsi="Arial" w:eastAsia="宋体" w:cs="Arial"/>
                <w:color w:val="auto"/>
                <w:highlight w:val="none"/>
              </w:rPr>
            </w:pPr>
          </w:p>
        </w:tc>
        <w:tc>
          <w:tcPr>
            <w:tcW w:w="1884" w:type="dxa"/>
          </w:tcPr>
          <w:p w14:paraId="65B68AC8">
            <w:pPr>
              <w:snapToGrid w:val="0"/>
              <w:spacing w:before="165" w:beforeLines="50" w:after="50" w:line="312" w:lineRule="auto"/>
              <w:rPr>
                <w:rFonts w:ascii="Arial" w:hAnsi="Arial" w:eastAsia="宋体" w:cs="Arial"/>
                <w:color w:val="auto"/>
                <w:highlight w:val="none"/>
              </w:rPr>
            </w:pPr>
          </w:p>
        </w:tc>
      </w:tr>
      <w:tr w14:paraId="3A68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705B40C4">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w:t>
            </w:r>
          </w:p>
        </w:tc>
        <w:tc>
          <w:tcPr>
            <w:tcW w:w="2076" w:type="dxa"/>
          </w:tcPr>
          <w:p w14:paraId="77D083FB">
            <w:pPr>
              <w:snapToGrid w:val="0"/>
              <w:spacing w:before="165" w:beforeLines="50" w:after="50" w:line="312" w:lineRule="auto"/>
              <w:rPr>
                <w:rFonts w:ascii="Arial" w:hAnsi="Arial" w:eastAsia="宋体" w:cs="Arial"/>
                <w:color w:val="auto"/>
                <w:highlight w:val="none"/>
              </w:rPr>
            </w:pPr>
          </w:p>
        </w:tc>
        <w:tc>
          <w:tcPr>
            <w:tcW w:w="1199" w:type="dxa"/>
          </w:tcPr>
          <w:p w14:paraId="156419DD">
            <w:pPr>
              <w:snapToGrid w:val="0"/>
              <w:spacing w:before="165" w:beforeLines="50" w:after="50" w:line="312" w:lineRule="auto"/>
              <w:rPr>
                <w:rFonts w:ascii="Arial" w:hAnsi="Arial" w:eastAsia="宋体" w:cs="Arial"/>
                <w:color w:val="auto"/>
                <w:highlight w:val="none"/>
              </w:rPr>
            </w:pPr>
          </w:p>
        </w:tc>
        <w:tc>
          <w:tcPr>
            <w:tcW w:w="3271" w:type="dxa"/>
          </w:tcPr>
          <w:p w14:paraId="3C40F97E">
            <w:pPr>
              <w:snapToGrid w:val="0"/>
              <w:spacing w:before="165" w:beforeLines="50" w:after="50" w:line="312" w:lineRule="auto"/>
              <w:rPr>
                <w:rFonts w:ascii="Arial" w:hAnsi="Arial" w:eastAsia="宋体" w:cs="Arial"/>
                <w:color w:val="auto"/>
                <w:highlight w:val="none"/>
              </w:rPr>
            </w:pPr>
          </w:p>
        </w:tc>
        <w:tc>
          <w:tcPr>
            <w:tcW w:w="1884" w:type="dxa"/>
          </w:tcPr>
          <w:p w14:paraId="23B0382F">
            <w:pPr>
              <w:snapToGrid w:val="0"/>
              <w:spacing w:before="165" w:beforeLines="50" w:after="50" w:line="312" w:lineRule="auto"/>
              <w:rPr>
                <w:rFonts w:ascii="Arial" w:hAnsi="Arial" w:eastAsia="宋体" w:cs="Arial"/>
                <w:color w:val="auto"/>
                <w:highlight w:val="none"/>
              </w:rPr>
            </w:pPr>
          </w:p>
        </w:tc>
      </w:tr>
    </w:tbl>
    <w:p w14:paraId="46F9681A">
      <w:pPr>
        <w:widowControl/>
        <w:spacing w:line="312" w:lineRule="auto"/>
        <w:jc w:val="left"/>
        <w:rPr>
          <w:rFonts w:ascii="Arial" w:hAnsi="Arial" w:eastAsia="宋体" w:cs="Arial"/>
          <w:color w:val="auto"/>
          <w:highlight w:val="none"/>
        </w:rPr>
      </w:pPr>
      <w:r>
        <w:rPr>
          <w:rFonts w:ascii="Arial" w:hAnsi="Arial" w:eastAsia="宋体" w:cs="Arial"/>
          <w:color w:val="auto"/>
          <w:kern w:val="0"/>
          <w:szCs w:val="21"/>
          <w:highlight w:val="none"/>
        </w:rPr>
        <w:t>注：</w:t>
      </w:r>
    </w:p>
    <w:p w14:paraId="691B7B25">
      <w:pPr>
        <w:widowControl/>
        <w:spacing w:line="312"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1.直接控股股东：是指其出资额占有限责任公司资本总额百分之五十以上或者其持有的股份占股份有限 </w:t>
      </w:r>
    </w:p>
    <w:p w14:paraId="5E502224">
      <w:pPr>
        <w:widowControl/>
        <w:spacing w:line="312"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公司股份总额百分之五十以上的股东；出资额或者持有股份的比例虽然不足百分之五十，但依其出资额 </w:t>
      </w:r>
    </w:p>
    <w:p w14:paraId="433AA7E7">
      <w:pPr>
        <w:widowControl/>
        <w:spacing w:line="312"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或者持有的股份所享有的表决权已足以对股东会、股东大会的决议产生重大影响的股东。 </w:t>
      </w:r>
    </w:p>
    <w:p w14:paraId="3C48272E">
      <w:pPr>
        <w:widowControl/>
        <w:spacing w:line="312"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2.本表所指的控股关系仅限于直接控股关系，不包括间接的控股关系。公司实际控制人与公司之间的关 </w:t>
      </w:r>
    </w:p>
    <w:p w14:paraId="3713D685">
      <w:pPr>
        <w:widowControl/>
        <w:spacing w:line="312" w:lineRule="auto"/>
        <w:jc w:val="left"/>
        <w:rPr>
          <w:rFonts w:ascii="Arial" w:hAnsi="Arial" w:eastAsia="宋体" w:cs="Arial"/>
          <w:color w:val="auto"/>
          <w:highlight w:val="none"/>
        </w:rPr>
      </w:pPr>
      <w:r>
        <w:rPr>
          <w:rFonts w:ascii="Arial" w:hAnsi="Arial" w:eastAsia="宋体" w:cs="Arial"/>
          <w:color w:val="auto"/>
          <w:kern w:val="0"/>
          <w:szCs w:val="21"/>
          <w:highlight w:val="none"/>
        </w:rPr>
        <w:t xml:space="preserve">系不属于本表所指的直接控股关系。 </w:t>
      </w:r>
    </w:p>
    <w:p w14:paraId="0F1978BF">
      <w:pPr>
        <w:snapToGrid w:val="0"/>
        <w:spacing w:line="312" w:lineRule="auto"/>
        <w:ind w:firstLine="1890" w:firstLineChars="900"/>
        <w:rPr>
          <w:rFonts w:ascii="Arial" w:hAnsi="Arial" w:eastAsia="宋体" w:cs="Arial"/>
          <w:color w:val="auto"/>
          <w:highlight w:val="none"/>
        </w:rPr>
      </w:pPr>
      <w:r>
        <w:rPr>
          <w:rFonts w:ascii="Arial" w:hAnsi="Arial" w:eastAsia="宋体" w:cs="Arial"/>
          <w:color w:val="auto"/>
          <w:szCs w:val="21"/>
          <w:highlight w:val="none"/>
        </w:rPr>
        <w:t>供应商（公章）：</w:t>
      </w:r>
      <w:r>
        <w:rPr>
          <w:rFonts w:ascii="Arial" w:hAnsi="Arial" w:eastAsia="宋体" w:cs="Arial"/>
          <w:color w:val="auto"/>
          <w:szCs w:val="21"/>
          <w:highlight w:val="none"/>
          <w:u w:val="single"/>
        </w:rPr>
        <w:t xml:space="preserve">                                         </w:t>
      </w:r>
    </w:p>
    <w:p w14:paraId="5F39F55A">
      <w:pPr>
        <w:pStyle w:val="14"/>
        <w:spacing w:line="312" w:lineRule="auto"/>
        <w:ind w:firstLine="1890" w:firstLineChars="900"/>
        <w:rPr>
          <w:rFonts w:ascii="Arial" w:hAnsi="Arial" w:eastAsia="宋体" w:cs="Arial"/>
          <w:color w:val="auto"/>
          <w:highlight w:val="none"/>
        </w:rPr>
      </w:pPr>
      <w:r>
        <w:rPr>
          <w:rFonts w:ascii="Arial" w:hAnsi="Arial" w:eastAsia="宋体" w:cs="Arial"/>
          <w:color w:val="auto"/>
          <w:highlight w:val="none"/>
        </w:rPr>
        <w:t>法定代表人、负责人或相应的委托代理人签字（或盖章）：</w:t>
      </w:r>
      <w:r>
        <w:rPr>
          <w:rFonts w:ascii="Arial" w:hAnsi="Arial" w:eastAsia="宋体" w:cs="Arial"/>
          <w:color w:val="auto"/>
          <w:szCs w:val="21"/>
          <w:highlight w:val="none"/>
          <w:u w:val="single"/>
        </w:rPr>
        <w:t xml:space="preserve">                    </w:t>
      </w:r>
    </w:p>
    <w:p w14:paraId="4D865FDA">
      <w:pPr>
        <w:pStyle w:val="14"/>
        <w:spacing w:line="312" w:lineRule="auto"/>
        <w:ind w:firstLine="1890" w:firstLineChars="9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r>
        <w:rPr>
          <w:rFonts w:ascii="Arial" w:hAnsi="Arial" w:eastAsia="宋体" w:cs="Arial"/>
          <w:color w:val="auto"/>
          <w:kern w:val="0"/>
          <w:szCs w:val="21"/>
          <w:highlight w:val="none"/>
        </w:rPr>
        <w:t xml:space="preserve"> </w:t>
      </w:r>
    </w:p>
    <w:p w14:paraId="37180616">
      <w:pPr>
        <w:rPr>
          <w:rFonts w:ascii="Arial" w:hAnsi="Arial" w:eastAsia="宋体" w:cs="Arial"/>
          <w:b/>
          <w:bCs/>
          <w:color w:val="auto"/>
          <w:sz w:val="22"/>
          <w:szCs w:val="28"/>
          <w:highlight w:val="none"/>
        </w:rPr>
      </w:pPr>
      <w:r>
        <w:rPr>
          <w:rFonts w:ascii="Arial" w:hAnsi="Arial" w:eastAsia="宋体" w:cs="Arial"/>
          <w:b/>
          <w:bCs/>
          <w:color w:val="auto"/>
          <w:sz w:val="22"/>
          <w:szCs w:val="28"/>
          <w:highlight w:val="none"/>
        </w:rPr>
        <w:br w:type="page"/>
      </w:r>
    </w:p>
    <w:p w14:paraId="2FAE564E">
      <w:pPr>
        <w:snapToGrid w:val="0"/>
        <w:spacing w:before="165" w:beforeLines="50" w:after="50" w:line="312" w:lineRule="auto"/>
        <w:jc w:val="center"/>
        <w:rPr>
          <w:rFonts w:ascii="Arial" w:hAnsi="Arial" w:eastAsia="宋体" w:cs="Arial"/>
          <w:b/>
          <w:bCs/>
          <w:color w:val="auto"/>
          <w:sz w:val="22"/>
          <w:szCs w:val="28"/>
          <w:highlight w:val="none"/>
        </w:rPr>
      </w:pPr>
      <w:r>
        <w:rPr>
          <w:rFonts w:ascii="Arial" w:hAnsi="Arial" w:eastAsia="宋体" w:cs="Arial"/>
          <w:b/>
          <w:bCs/>
          <w:color w:val="auto"/>
          <w:sz w:val="22"/>
          <w:szCs w:val="28"/>
          <w:highlight w:val="none"/>
        </w:rPr>
        <w:t>供应商直接管理关系信息表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2324"/>
        <w:gridCol w:w="3661"/>
        <w:gridCol w:w="2109"/>
      </w:tblGrid>
      <w:tr w14:paraId="6C449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4E31BFC8">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序号</w:t>
            </w:r>
          </w:p>
        </w:tc>
        <w:tc>
          <w:tcPr>
            <w:tcW w:w="2324" w:type="dxa"/>
          </w:tcPr>
          <w:p w14:paraId="65974681">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直接管理关系单位名称</w:t>
            </w:r>
          </w:p>
        </w:tc>
        <w:tc>
          <w:tcPr>
            <w:tcW w:w="3661" w:type="dxa"/>
          </w:tcPr>
          <w:p w14:paraId="77789D73">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统一社会信用代码</w:t>
            </w:r>
          </w:p>
        </w:tc>
        <w:tc>
          <w:tcPr>
            <w:tcW w:w="2109" w:type="dxa"/>
          </w:tcPr>
          <w:p w14:paraId="693D35C4">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备注</w:t>
            </w:r>
          </w:p>
        </w:tc>
      </w:tr>
      <w:tr w14:paraId="0265F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1F4C0D25">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1</w:t>
            </w:r>
          </w:p>
        </w:tc>
        <w:tc>
          <w:tcPr>
            <w:tcW w:w="2324" w:type="dxa"/>
          </w:tcPr>
          <w:p w14:paraId="43A1137E">
            <w:pPr>
              <w:snapToGrid w:val="0"/>
              <w:spacing w:before="165" w:beforeLines="50" w:after="50" w:line="312" w:lineRule="auto"/>
              <w:rPr>
                <w:rFonts w:ascii="Arial" w:hAnsi="Arial" w:eastAsia="宋体" w:cs="Arial"/>
                <w:color w:val="auto"/>
                <w:highlight w:val="none"/>
              </w:rPr>
            </w:pPr>
          </w:p>
        </w:tc>
        <w:tc>
          <w:tcPr>
            <w:tcW w:w="3661" w:type="dxa"/>
          </w:tcPr>
          <w:p w14:paraId="15759474">
            <w:pPr>
              <w:snapToGrid w:val="0"/>
              <w:spacing w:before="165" w:beforeLines="50" w:after="50" w:line="312" w:lineRule="auto"/>
              <w:rPr>
                <w:rFonts w:ascii="Arial" w:hAnsi="Arial" w:eastAsia="宋体" w:cs="Arial"/>
                <w:color w:val="auto"/>
                <w:highlight w:val="none"/>
              </w:rPr>
            </w:pPr>
          </w:p>
        </w:tc>
        <w:tc>
          <w:tcPr>
            <w:tcW w:w="2109" w:type="dxa"/>
          </w:tcPr>
          <w:p w14:paraId="5ACCEB26">
            <w:pPr>
              <w:snapToGrid w:val="0"/>
              <w:spacing w:before="165" w:beforeLines="50" w:after="50" w:line="312" w:lineRule="auto"/>
              <w:rPr>
                <w:rFonts w:ascii="Arial" w:hAnsi="Arial" w:eastAsia="宋体" w:cs="Arial"/>
                <w:color w:val="auto"/>
                <w:highlight w:val="none"/>
              </w:rPr>
            </w:pPr>
          </w:p>
        </w:tc>
      </w:tr>
      <w:tr w14:paraId="3123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1C93DA59">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2</w:t>
            </w:r>
          </w:p>
        </w:tc>
        <w:tc>
          <w:tcPr>
            <w:tcW w:w="2324" w:type="dxa"/>
          </w:tcPr>
          <w:p w14:paraId="6F2C3B22">
            <w:pPr>
              <w:snapToGrid w:val="0"/>
              <w:spacing w:before="165" w:beforeLines="50" w:after="50" w:line="312" w:lineRule="auto"/>
              <w:rPr>
                <w:rFonts w:ascii="Arial" w:hAnsi="Arial" w:eastAsia="宋体" w:cs="Arial"/>
                <w:color w:val="auto"/>
                <w:highlight w:val="none"/>
              </w:rPr>
            </w:pPr>
          </w:p>
        </w:tc>
        <w:tc>
          <w:tcPr>
            <w:tcW w:w="3661" w:type="dxa"/>
          </w:tcPr>
          <w:p w14:paraId="0EE57E0B">
            <w:pPr>
              <w:snapToGrid w:val="0"/>
              <w:spacing w:before="165" w:beforeLines="50" w:after="50" w:line="312" w:lineRule="auto"/>
              <w:rPr>
                <w:rFonts w:ascii="Arial" w:hAnsi="Arial" w:eastAsia="宋体" w:cs="Arial"/>
                <w:color w:val="auto"/>
                <w:highlight w:val="none"/>
              </w:rPr>
            </w:pPr>
          </w:p>
        </w:tc>
        <w:tc>
          <w:tcPr>
            <w:tcW w:w="2109" w:type="dxa"/>
          </w:tcPr>
          <w:p w14:paraId="152114AF">
            <w:pPr>
              <w:snapToGrid w:val="0"/>
              <w:spacing w:before="165" w:beforeLines="50" w:after="50" w:line="312" w:lineRule="auto"/>
              <w:rPr>
                <w:rFonts w:ascii="Arial" w:hAnsi="Arial" w:eastAsia="宋体" w:cs="Arial"/>
                <w:color w:val="auto"/>
                <w:highlight w:val="none"/>
              </w:rPr>
            </w:pPr>
          </w:p>
        </w:tc>
      </w:tr>
      <w:tr w14:paraId="2FD2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31BE07A0">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3</w:t>
            </w:r>
          </w:p>
        </w:tc>
        <w:tc>
          <w:tcPr>
            <w:tcW w:w="2324" w:type="dxa"/>
          </w:tcPr>
          <w:p w14:paraId="623743C3">
            <w:pPr>
              <w:snapToGrid w:val="0"/>
              <w:spacing w:before="165" w:beforeLines="50" w:after="50" w:line="312" w:lineRule="auto"/>
              <w:rPr>
                <w:rFonts w:ascii="Arial" w:hAnsi="Arial" w:eastAsia="宋体" w:cs="Arial"/>
                <w:color w:val="auto"/>
                <w:highlight w:val="none"/>
              </w:rPr>
            </w:pPr>
          </w:p>
        </w:tc>
        <w:tc>
          <w:tcPr>
            <w:tcW w:w="3661" w:type="dxa"/>
          </w:tcPr>
          <w:p w14:paraId="7D2F8A58">
            <w:pPr>
              <w:snapToGrid w:val="0"/>
              <w:spacing w:before="165" w:beforeLines="50" w:after="50" w:line="312" w:lineRule="auto"/>
              <w:rPr>
                <w:rFonts w:ascii="Arial" w:hAnsi="Arial" w:eastAsia="宋体" w:cs="Arial"/>
                <w:color w:val="auto"/>
                <w:highlight w:val="none"/>
              </w:rPr>
            </w:pPr>
          </w:p>
        </w:tc>
        <w:tc>
          <w:tcPr>
            <w:tcW w:w="2109" w:type="dxa"/>
          </w:tcPr>
          <w:p w14:paraId="23DB5180">
            <w:pPr>
              <w:snapToGrid w:val="0"/>
              <w:spacing w:before="165" w:beforeLines="50" w:after="50" w:line="312" w:lineRule="auto"/>
              <w:rPr>
                <w:rFonts w:ascii="Arial" w:hAnsi="Arial" w:eastAsia="宋体" w:cs="Arial"/>
                <w:color w:val="auto"/>
                <w:highlight w:val="none"/>
              </w:rPr>
            </w:pPr>
          </w:p>
        </w:tc>
      </w:tr>
      <w:tr w14:paraId="5CEF9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33129426">
            <w:pPr>
              <w:snapToGrid w:val="0"/>
              <w:spacing w:before="165" w:beforeLines="50" w:after="50" w:line="312" w:lineRule="auto"/>
              <w:jc w:val="center"/>
              <w:rPr>
                <w:rFonts w:ascii="Arial" w:hAnsi="Arial" w:eastAsia="宋体" w:cs="Arial"/>
                <w:color w:val="auto"/>
                <w:highlight w:val="none"/>
              </w:rPr>
            </w:pPr>
            <w:r>
              <w:rPr>
                <w:rFonts w:ascii="Arial" w:hAnsi="Arial" w:eastAsia="宋体" w:cs="Arial"/>
                <w:color w:val="auto"/>
                <w:highlight w:val="none"/>
              </w:rPr>
              <w:t>......</w:t>
            </w:r>
          </w:p>
        </w:tc>
        <w:tc>
          <w:tcPr>
            <w:tcW w:w="2324" w:type="dxa"/>
          </w:tcPr>
          <w:p w14:paraId="6ACA386A">
            <w:pPr>
              <w:snapToGrid w:val="0"/>
              <w:spacing w:before="165" w:beforeLines="50" w:after="50" w:line="312" w:lineRule="auto"/>
              <w:rPr>
                <w:rFonts w:ascii="Arial" w:hAnsi="Arial" w:eastAsia="宋体" w:cs="Arial"/>
                <w:color w:val="auto"/>
                <w:highlight w:val="none"/>
              </w:rPr>
            </w:pPr>
          </w:p>
        </w:tc>
        <w:tc>
          <w:tcPr>
            <w:tcW w:w="3661" w:type="dxa"/>
          </w:tcPr>
          <w:p w14:paraId="6AE326B4">
            <w:pPr>
              <w:snapToGrid w:val="0"/>
              <w:spacing w:before="165" w:beforeLines="50" w:after="50" w:line="312" w:lineRule="auto"/>
              <w:rPr>
                <w:rFonts w:ascii="Arial" w:hAnsi="Arial" w:eastAsia="宋体" w:cs="Arial"/>
                <w:color w:val="auto"/>
                <w:highlight w:val="none"/>
              </w:rPr>
            </w:pPr>
          </w:p>
        </w:tc>
        <w:tc>
          <w:tcPr>
            <w:tcW w:w="2109" w:type="dxa"/>
          </w:tcPr>
          <w:p w14:paraId="2750AC52">
            <w:pPr>
              <w:snapToGrid w:val="0"/>
              <w:spacing w:before="165" w:beforeLines="50" w:after="50" w:line="312" w:lineRule="auto"/>
              <w:rPr>
                <w:rFonts w:ascii="Arial" w:hAnsi="Arial" w:eastAsia="宋体" w:cs="Arial"/>
                <w:color w:val="auto"/>
                <w:highlight w:val="none"/>
              </w:rPr>
            </w:pPr>
          </w:p>
        </w:tc>
      </w:tr>
    </w:tbl>
    <w:p w14:paraId="6DE8CAE2">
      <w:pPr>
        <w:widowControl/>
        <w:spacing w:line="312"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注：1.管理关系：是指不具有出资持股关系的其他单位之间存在的管理与被管理关系，如一些上下级关系的事业单位和团体组织。</w:t>
      </w:r>
    </w:p>
    <w:p w14:paraId="16BC41A8">
      <w:pPr>
        <w:widowControl/>
        <w:spacing w:line="312"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2.本表所指的管理关系仅限于直接管理关系，不包括间接的管理关系。</w:t>
      </w:r>
    </w:p>
    <w:p w14:paraId="4F2F7FC1">
      <w:pPr>
        <w:snapToGrid w:val="0"/>
        <w:spacing w:line="312" w:lineRule="auto"/>
        <w:ind w:firstLine="1890" w:firstLineChars="900"/>
        <w:rPr>
          <w:rFonts w:ascii="Arial" w:hAnsi="Arial" w:eastAsia="宋体" w:cs="Arial"/>
          <w:color w:val="auto"/>
          <w:highlight w:val="none"/>
        </w:rPr>
      </w:pPr>
      <w:r>
        <w:rPr>
          <w:rFonts w:ascii="Arial" w:hAnsi="Arial" w:eastAsia="宋体" w:cs="Arial"/>
          <w:color w:val="auto"/>
          <w:szCs w:val="21"/>
          <w:highlight w:val="none"/>
        </w:rPr>
        <w:t>供应商（公章）：</w:t>
      </w:r>
      <w:r>
        <w:rPr>
          <w:rFonts w:ascii="Arial" w:hAnsi="Arial" w:eastAsia="宋体" w:cs="Arial"/>
          <w:color w:val="auto"/>
          <w:szCs w:val="21"/>
          <w:highlight w:val="none"/>
          <w:u w:val="single"/>
        </w:rPr>
        <w:t xml:space="preserve">                                        </w:t>
      </w:r>
    </w:p>
    <w:p w14:paraId="6C44F204">
      <w:pPr>
        <w:pStyle w:val="14"/>
        <w:spacing w:line="312" w:lineRule="auto"/>
        <w:ind w:firstLine="1890" w:firstLineChars="900"/>
        <w:rPr>
          <w:rFonts w:ascii="Arial" w:hAnsi="Arial" w:eastAsia="宋体" w:cs="Arial"/>
          <w:color w:val="auto"/>
          <w:highlight w:val="none"/>
        </w:rPr>
      </w:pPr>
      <w:r>
        <w:rPr>
          <w:rFonts w:ascii="Arial" w:hAnsi="Arial" w:eastAsia="宋体" w:cs="Arial"/>
          <w:color w:val="auto"/>
          <w:highlight w:val="none"/>
        </w:rPr>
        <w:t>法定代表人、负责人或相应的委托代理人签字（或盖章）：</w:t>
      </w:r>
      <w:r>
        <w:rPr>
          <w:rFonts w:ascii="Arial" w:hAnsi="Arial" w:eastAsia="宋体" w:cs="Arial"/>
          <w:color w:val="auto"/>
          <w:szCs w:val="21"/>
          <w:highlight w:val="none"/>
          <w:u w:val="single"/>
        </w:rPr>
        <w:t xml:space="preserve">                     </w:t>
      </w:r>
    </w:p>
    <w:p w14:paraId="2C057AAA">
      <w:pPr>
        <w:pStyle w:val="14"/>
        <w:spacing w:line="312" w:lineRule="auto"/>
        <w:ind w:firstLine="1890" w:firstLineChars="900"/>
        <w:rPr>
          <w:rFonts w:ascii="Arial" w:hAnsi="Arial" w:eastAsia="宋体" w:cs="Arial"/>
          <w:bCs/>
          <w:color w:val="auto"/>
          <w:szCs w:val="21"/>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693FA54C">
      <w:pPr>
        <w:widowControl/>
        <w:spacing w:line="312" w:lineRule="auto"/>
        <w:jc w:val="left"/>
        <w:rPr>
          <w:rFonts w:ascii="Arial" w:hAnsi="Arial" w:eastAsia="宋体" w:cs="Arial"/>
          <w:color w:val="auto"/>
          <w:highlight w:val="none"/>
        </w:rPr>
      </w:pPr>
      <w:r>
        <w:rPr>
          <w:rFonts w:ascii="Arial" w:hAnsi="Arial" w:eastAsia="宋体" w:cs="Arial"/>
          <w:b/>
          <w:color w:val="auto"/>
          <w:kern w:val="0"/>
          <w:szCs w:val="21"/>
          <w:highlight w:val="none"/>
        </w:rPr>
        <w:t xml:space="preserve">注：“供应商直接控股、管理关系信息表”必须由法定代表人(负责人)或委托代理人签字并加盖供应商公章。 </w:t>
      </w:r>
    </w:p>
    <w:p w14:paraId="23007BCF">
      <w:pPr>
        <w:pStyle w:val="14"/>
        <w:spacing w:line="312" w:lineRule="auto"/>
        <w:ind w:firstLine="420"/>
        <w:rPr>
          <w:rFonts w:ascii="Arial" w:hAnsi="Arial" w:eastAsia="宋体" w:cs="Arial"/>
          <w:b/>
          <w:bCs/>
          <w:color w:val="auto"/>
          <w:highlight w:val="none"/>
        </w:rPr>
        <w:sectPr>
          <w:footerReference r:id="rId10" w:type="first"/>
          <w:footerReference r:id="rId9" w:type="default"/>
          <w:pgSz w:w="11906" w:h="16838"/>
          <w:pgMar w:top="1134" w:right="1312" w:bottom="1134" w:left="1134" w:header="720" w:footer="720" w:gutter="0"/>
          <w:cols w:space="720" w:num="1"/>
          <w:titlePg/>
          <w:docGrid w:type="linesAndChars" w:linePitch="331" w:charSpace="0"/>
        </w:sectPr>
      </w:pPr>
    </w:p>
    <w:p w14:paraId="649A7F47">
      <w:pPr>
        <w:spacing w:after="0" w:line="312" w:lineRule="auto"/>
        <w:rPr>
          <w:rFonts w:ascii="Arial" w:hAnsi="Arial" w:eastAsia="宋体" w:cs="Arial"/>
          <w:b/>
          <w:bCs/>
          <w:color w:val="auto"/>
          <w:sz w:val="28"/>
          <w:szCs w:val="28"/>
          <w:highlight w:val="none"/>
        </w:rPr>
      </w:pPr>
      <w:r>
        <w:rPr>
          <w:rFonts w:ascii="Arial" w:hAnsi="Arial" w:eastAsia="宋体" w:cs="Arial"/>
          <w:b/>
          <w:color w:val="auto"/>
          <w:sz w:val="28"/>
          <w:szCs w:val="28"/>
          <w:highlight w:val="none"/>
        </w:rPr>
        <w:t>10.供应商参加本项目无围标串标行为的承诺函（必须提供）</w:t>
      </w:r>
    </w:p>
    <w:p w14:paraId="1611A0C9">
      <w:pPr>
        <w:pStyle w:val="14"/>
        <w:spacing w:after="0"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附件：</w:t>
      </w:r>
    </w:p>
    <w:p w14:paraId="3D51F844">
      <w:pPr>
        <w:pStyle w:val="14"/>
        <w:spacing w:after="0" w:line="312" w:lineRule="auto"/>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供应商参加本项目无围标串标行为的承诺函（格式）</w:t>
      </w:r>
    </w:p>
    <w:p w14:paraId="0CAE19DB">
      <w:pPr>
        <w:snapToGrid w:val="0"/>
        <w:spacing w:before="165" w:beforeLines="50" w:after="0" w:line="312" w:lineRule="auto"/>
        <w:jc w:val="left"/>
        <w:rPr>
          <w:rFonts w:ascii="Arial" w:hAnsi="Arial" w:eastAsia="宋体" w:cs="Arial"/>
          <w:b/>
          <w:color w:val="auto"/>
          <w:szCs w:val="21"/>
          <w:highlight w:val="none"/>
        </w:rPr>
      </w:pPr>
      <w:r>
        <w:rPr>
          <w:rFonts w:ascii="Arial" w:hAnsi="Arial" w:eastAsia="宋体" w:cs="Arial"/>
          <w:b/>
          <w:color w:val="auto"/>
          <w:szCs w:val="21"/>
          <w:highlight w:val="none"/>
        </w:rPr>
        <w:t>一、我公司承诺无下列相互串通参与谈判的情形：</w:t>
      </w:r>
    </w:p>
    <w:p w14:paraId="0E228F2C">
      <w:pPr>
        <w:snapToGrid w:val="0"/>
        <w:spacing w:before="165" w:beforeLines="50" w:after="0" w:line="312" w:lineRule="auto"/>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（1）不同供应商的响应文件由同一单位或者个人编制；</w:t>
      </w:r>
    </w:p>
    <w:p w14:paraId="5EDB4FB1">
      <w:pPr>
        <w:snapToGrid w:val="0"/>
        <w:spacing w:before="165" w:beforeLines="50" w:after="0" w:line="312" w:lineRule="auto"/>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（2）不同供应商委托同一单位或者个人办理谈判事宜；</w:t>
      </w:r>
    </w:p>
    <w:p w14:paraId="1E8D28CC">
      <w:pPr>
        <w:snapToGrid w:val="0"/>
        <w:spacing w:before="165" w:beforeLines="50" w:after="0" w:line="312" w:lineRule="auto"/>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（3）不同的供应商的响应文件载明的项目管理员为同一个人；</w:t>
      </w:r>
    </w:p>
    <w:p w14:paraId="2862D860">
      <w:pPr>
        <w:snapToGrid w:val="0"/>
        <w:spacing w:before="165" w:beforeLines="50" w:after="0" w:line="312" w:lineRule="auto"/>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 xml:space="preserve">（4）不同供应商的响应文件异常一致或最后报价呈规律性差异； </w:t>
      </w:r>
    </w:p>
    <w:p w14:paraId="7313B28A">
      <w:pPr>
        <w:snapToGrid w:val="0"/>
        <w:spacing w:before="165" w:beforeLines="50" w:after="0" w:line="312" w:lineRule="auto"/>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（5）不同供应商的响应文件相互混装；</w:t>
      </w:r>
    </w:p>
    <w:p w14:paraId="55B545E7">
      <w:pPr>
        <w:snapToGrid w:val="0"/>
        <w:spacing w:before="165" w:beforeLines="50" w:after="0" w:line="312" w:lineRule="auto"/>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（6）谈判文件未做实质性变动，最后报价高于首次报价。</w:t>
      </w:r>
    </w:p>
    <w:p w14:paraId="26478CCE">
      <w:pPr>
        <w:snapToGrid w:val="0"/>
        <w:spacing w:before="165" w:beforeLines="50" w:after="0" w:line="312" w:lineRule="auto"/>
        <w:jc w:val="left"/>
        <w:rPr>
          <w:rFonts w:ascii="Arial" w:hAnsi="Arial" w:eastAsia="宋体" w:cs="Arial"/>
          <w:color w:val="auto"/>
          <w:szCs w:val="21"/>
          <w:highlight w:val="none"/>
        </w:rPr>
      </w:pPr>
      <w:r>
        <w:rPr>
          <w:rFonts w:ascii="Arial" w:hAnsi="Arial" w:eastAsia="宋体" w:cs="Arial"/>
          <w:b/>
          <w:color w:val="auto"/>
          <w:szCs w:val="21"/>
          <w:highlight w:val="none"/>
        </w:rPr>
        <w:t>二、我公司承诺无下列恶意串通的情形：</w:t>
      </w:r>
    </w:p>
    <w:p w14:paraId="21F1852B">
      <w:pPr>
        <w:tabs>
          <w:tab w:val="left" w:pos="1305"/>
        </w:tabs>
        <w:spacing w:after="0" w:line="312" w:lineRule="auto"/>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1.供应商直接或者间接从采购人或者采购代理机构处获得其他供应商的相关信息并修改其响应文件；</w:t>
      </w:r>
    </w:p>
    <w:p w14:paraId="498E7D4A">
      <w:pPr>
        <w:tabs>
          <w:tab w:val="left" w:pos="1305"/>
        </w:tabs>
        <w:spacing w:after="0" w:line="312" w:lineRule="auto"/>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2.供应商按照采购人或者采购代理机构的授意撤换、修改响应文件；</w:t>
      </w:r>
    </w:p>
    <w:p w14:paraId="7A696256">
      <w:pPr>
        <w:tabs>
          <w:tab w:val="left" w:pos="1305"/>
        </w:tabs>
        <w:spacing w:after="0" w:line="312" w:lineRule="auto"/>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3.供应商之间协商报价、技术方案等响应文件的实质性内容；</w:t>
      </w:r>
    </w:p>
    <w:p w14:paraId="37EE7102">
      <w:pPr>
        <w:tabs>
          <w:tab w:val="left" w:pos="1305"/>
        </w:tabs>
        <w:spacing w:after="0" w:line="312" w:lineRule="auto"/>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4.属于同一集团、协会、商会等组织成员的供应商按照该组织要求协同参加政府采购活动；</w:t>
      </w:r>
    </w:p>
    <w:p w14:paraId="517225A1">
      <w:pPr>
        <w:tabs>
          <w:tab w:val="left" w:pos="1305"/>
        </w:tabs>
        <w:spacing w:after="0" w:line="312" w:lineRule="auto"/>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5. 供应商之间事先约定一致抬高或者压低谈判报价,或者在采购项目中事先约定轮流以高价位或者低价位成交,或者事先约定由某一特定供应商成交,然后再参加谈判；</w:t>
      </w:r>
    </w:p>
    <w:p w14:paraId="231A6B68">
      <w:pPr>
        <w:tabs>
          <w:tab w:val="left" w:pos="1305"/>
        </w:tabs>
        <w:spacing w:after="0" w:line="312" w:lineRule="auto"/>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6. 供应商之间商定部分供应商放弃参加政府采购活动或者放弃成交；</w:t>
      </w:r>
    </w:p>
    <w:p w14:paraId="4797270F">
      <w:pPr>
        <w:tabs>
          <w:tab w:val="left" w:pos="1305"/>
        </w:tabs>
        <w:spacing w:after="0" w:line="312" w:lineRule="auto"/>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7. 供应商与采购人或者采购代理机构之间、供应商相互之间，为谋求特定供应商成交或者排斥其他供应商的其他串通行为。</w:t>
      </w:r>
    </w:p>
    <w:p w14:paraId="0CC23FB9">
      <w:pPr>
        <w:snapToGrid w:val="0"/>
        <w:spacing w:before="165" w:beforeLines="50" w:after="0" w:line="312" w:lineRule="auto"/>
        <w:ind w:firstLine="470" w:firstLineChars="196"/>
        <w:jc w:val="left"/>
        <w:rPr>
          <w:rFonts w:ascii="Arial" w:hAnsi="Arial" w:eastAsia="宋体" w:cs="Arial"/>
          <w:color w:val="auto"/>
          <w:sz w:val="24"/>
          <w:highlight w:val="none"/>
        </w:rPr>
      </w:pPr>
    </w:p>
    <w:p w14:paraId="13134472">
      <w:pPr>
        <w:snapToGrid w:val="0"/>
        <w:spacing w:before="165" w:beforeLines="50" w:after="0" w:line="312" w:lineRule="auto"/>
        <w:ind w:firstLine="470" w:firstLineChars="196"/>
        <w:jc w:val="left"/>
        <w:rPr>
          <w:rFonts w:ascii="Arial" w:hAnsi="Arial" w:eastAsia="宋体" w:cs="Arial"/>
          <w:b/>
          <w:color w:val="auto"/>
          <w:sz w:val="24"/>
          <w:highlight w:val="none"/>
        </w:rPr>
      </w:pPr>
      <w:r>
        <w:rPr>
          <w:rFonts w:ascii="Arial" w:hAnsi="Arial" w:eastAsia="宋体" w:cs="Arial"/>
          <w:b/>
          <w:color w:val="auto"/>
          <w:sz w:val="24"/>
          <w:highlight w:val="none"/>
        </w:rPr>
        <w:t>以上情形一经核查属实，我方愿意承担一切后果，并不再寻求任何旨在减轻或免除法律责任的辩解。</w:t>
      </w:r>
    </w:p>
    <w:p w14:paraId="653591A5">
      <w:pPr>
        <w:pStyle w:val="14"/>
        <w:snapToGrid w:val="0"/>
        <w:spacing w:before="295" w:after="295" w:line="312" w:lineRule="auto"/>
        <w:ind w:firstLine="6840" w:firstLineChars="2850"/>
        <w:rPr>
          <w:rFonts w:ascii="Arial" w:hAnsi="Arial" w:eastAsia="宋体" w:cs="Arial"/>
          <w:color w:val="auto"/>
          <w:sz w:val="24"/>
          <w:szCs w:val="24"/>
          <w:highlight w:val="none"/>
        </w:rPr>
      </w:pPr>
    </w:p>
    <w:p w14:paraId="532144AD">
      <w:pPr>
        <w:pStyle w:val="14"/>
        <w:snapToGrid w:val="0"/>
        <w:spacing w:before="295" w:after="295" w:line="312" w:lineRule="auto"/>
        <w:ind w:firstLine="6840" w:firstLineChars="2850"/>
        <w:rPr>
          <w:rFonts w:ascii="Arial" w:hAnsi="Arial" w:eastAsia="宋体" w:cs="Arial"/>
          <w:color w:val="auto"/>
          <w:sz w:val="24"/>
          <w:szCs w:val="24"/>
          <w:highlight w:val="none"/>
        </w:rPr>
      </w:pPr>
      <w:bookmarkStart w:id="35" w:name="_Toc5372"/>
      <w:bookmarkStart w:id="36" w:name="_Toc6210"/>
      <w:r>
        <w:rPr>
          <w:rFonts w:ascii="Arial" w:hAnsi="Arial" w:eastAsia="宋体" w:cs="Arial"/>
          <w:color w:val="auto"/>
          <w:sz w:val="24"/>
          <w:szCs w:val="24"/>
          <w:highlight w:val="none"/>
        </w:rPr>
        <w:t>（公章）</w:t>
      </w:r>
      <w:bookmarkEnd w:id="35"/>
      <w:bookmarkEnd w:id="36"/>
    </w:p>
    <w:p w14:paraId="3E54839B">
      <w:pPr>
        <w:pStyle w:val="14"/>
        <w:spacing w:line="312" w:lineRule="auto"/>
        <w:ind w:firstLine="420"/>
        <w:jc w:val="center"/>
        <w:rPr>
          <w:rFonts w:ascii="Arial" w:hAnsi="Arial" w:eastAsia="宋体" w:cs="Arial"/>
          <w:b/>
          <w:bCs/>
          <w:color w:val="auto"/>
          <w:highlight w:val="none"/>
        </w:rPr>
      </w:pPr>
      <w:r>
        <w:rPr>
          <w:rFonts w:ascii="Arial" w:hAnsi="Arial" w:eastAsia="宋体" w:cs="Arial"/>
          <w:color w:val="auto"/>
          <w:sz w:val="24"/>
          <w:highlight w:val="none"/>
        </w:rPr>
        <w:t xml:space="preserve">                                                </w:t>
      </w:r>
      <w:r>
        <w:rPr>
          <w:rFonts w:ascii="Arial" w:hAnsi="Arial" w:eastAsia="宋体" w:cs="Arial"/>
          <w:color w:val="auto"/>
          <w:sz w:val="24"/>
          <w:highlight w:val="none"/>
          <w:u w:val="single"/>
        </w:rPr>
        <w:t xml:space="preserve">      </w:t>
      </w:r>
      <w:r>
        <w:rPr>
          <w:rFonts w:ascii="Arial" w:hAnsi="Arial" w:eastAsia="宋体" w:cs="Arial"/>
          <w:color w:val="auto"/>
          <w:sz w:val="24"/>
          <w:highlight w:val="none"/>
        </w:rPr>
        <w:t>年</w:t>
      </w:r>
      <w:r>
        <w:rPr>
          <w:rFonts w:ascii="Arial" w:hAnsi="Arial" w:eastAsia="宋体" w:cs="Arial"/>
          <w:color w:val="auto"/>
          <w:sz w:val="24"/>
          <w:highlight w:val="none"/>
          <w:u w:val="single"/>
        </w:rPr>
        <w:t xml:space="preserve">    </w:t>
      </w:r>
      <w:r>
        <w:rPr>
          <w:rFonts w:ascii="Arial" w:hAnsi="Arial" w:eastAsia="宋体" w:cs="Arial"/>
          <w:color w:val="auto"/>
          <w:sz w:val="24"/>
          <w:highlight w:val="none"/>
        </w:rPr>
        <w:t>月</w:t>
      </w:r>
      <w:r>
        <w:rPr>
          <w:rFonts w:ascii="Arial" w:hAnsi="Arial" w:eastAsia="宋体" w:cs="Arial"/>
          <w:color w:val="auto"/>
          <w:sz w:val="24"/>
          <w:highlight w:val="none"/>
          <w:u w:val="single"/>
        </w:rPr>
        <w:t xml:space="preserve">     </w:t>
      </w:r>
      <w:r>
        <w:rPr>
          <w:rFonts w:ascii="Arial" w:hAnsi="Arial" w:eastAsia="宋体" w:cs="Arial"/>
          <w:color w:val="auto"/>
          <w:sz w:val="24"/>
          <w:highlight w:val="none"/>
        </w:rPr>
        <w:t>日</w:t>
      </w:r>
    </w:p>
    <w:p w14:paraId="4B499438">
      <w:pPr>
        <w:spacing w:line="312" w:lineRule="auto"/>
        <w:rPr>
          <w:rFonts w:ascii="Arial" w:hAnsi="Arial" w:eastAsia="宋体" w:cs="Arial"/>
          <w:b/>
          <w:color w:val="auto"/>
          <w:sz w:val="32"/>
          <w:szCs w:val="32"/>
          <w:highlight w:val="none"/>
        </w:rPr>
      </w:pPr>
    </w:p>
    <w:p w14:paraId="60C80A0C">
      <w:pPr>
        <w:spacing w:line="312" w:lineRule="auto"/>
        <w:rPr>
          <w:rFonts w:ascii="Arial" w:hAnsi="Arial" w:eastAsia="宋体" w:cs="Arial"/>
          <w:b/>
          <w:bCs/>
          <w:color w:val="auto"/>
          <w:sz w:val="28"/>
          <w:szCs w:val="28"/>
          <w:highlight w:val="none"/>
        </w:rPr>
      </w:pPr>
      <w:r>
        <w:rPr>
          <w:rFonts w:ascii="Arial" w:hAnsi="Arial" w:eastAsia="宋体" w:cs="Arial"/>
          <w:b/>
          <w:color w:val="auto"/>
          <w:sz w:val="28"/>
          <w:szCs w:val="28"/>
          <w:highlight w:val="none"/>
        </w:rPr>
        <w:t>11.谈判保证缴纳证明材料复印件（必须提供）</w:t>
      </w:r>
    </w:p>
    <w:p w14:paraId="7536692A">
      <w:pPr>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436D654C">
      <w:pPr>
        <w:spacing w:line="312" w:lineRule="auto"/>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（二）符合性响应证明材料目录</w:t>
      </w:r>
    </w:p>
    <w:p w14:paraId="56D3E3F5">
      <w:pPr>
        <w:tabs>
          <w:tab w:val="left" w:pos="1305"/>
        </w:tabs>
        <w:spacing w:line="312" w:lineRule="auto"/>
        <w:ind w:firstLine="420" w:firstLineChars="200"/>
        <w:rPr>
          <w:rFonts w:ascii="Arial" w:hAnsi="Arial" w:eastAsia="宋体" w:cs="Arial"/>
          <w:color w:val="auto"/>
          <w:szCs w:val="21"/>
          <w:highlight w:val="none"/>
        </w:rPr>
      </w:pPr>
    </w:p>
    <w:p w14:paraId="19DD158F">
      <w:pPr>
        <w:tabs>
          <w:tab w:val="left" w:pos="1305"/>
        </w:tabs>
        <w:spacing w:line="312" w:lineRule="auto"/>
        <w:ind w:firstLine="720" w:firstLineChars="300"/>
        <w:rPr>
          <w:rFonts w:ascii="Arial" w:hAnsi="Arial" w:eastAsia="宋体" w:cs="Arial"/>
          <w:color w:val="auto"/>
          <w:sz w:val="24"/>
          <w:highlight w:val="none"/>
        </w:rPr>
      </w:pPr>
      <w:r>
        <w:rPr>
          <w:rFonts w:ascii="Arial" w:hAnsi="Arial" w:eastAsia="宋体" w:cs="Arial"/>
          <w:color w:val="auto"/>
          <w:sz w:val="24"/>
          <w:highlight w:val="none"/>
        </w:rPr>
        <w:t>1.谈判报价表</w:t>
      </w:r>
      <w:r>
        <w:rPr>
          <w:rFonts w:ascii="Arial" w:hAnsi="Arial" w:eastAsia="宋体" w:cs="Arial"/>
          <w:b/>
          <w:color w:val="auto"/>
          <w:sz w:val="24"/>
          <w:highlight w:val="none"/>
        </w:rPr>
        <w:t>（必须提供）</w:t>
      </w:r>
      <w:r>
        <w:rPr>
          <w:rFonts w:ascii="Arial" w:hAnsi="Arial" w:eastAsia="宋体" w:cs="Arial"/>
          <w:color w:val="auto"/>
          <w:sz w:val="24"/>
          <w:highlight w:val="none"/>
        </w:rPr>
        <w:t xml:space="preserve"> </w:t>
      </w:r>
    </w:p>
    <w:p w14:paraId="5190C379">
      <w:pPr>
        <w:tabs>
          <w:tab w:val="left" w:pos="1305"/>
        </w:tabs>
        <w:spacing w:line="312" w:lineRule="auto"/>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2.技术响应表</w:t>
      </w:r>
      <w:r>
        <w:rPr>
          <w:rFonts w:ascii="Arial" w:hAnsi="Arial" w:eastAsia="宋体" w:cs="Arial"/>
          <w:b/>
          <w:color w:val="auto"/>
          <w:sz w:val="24"/>
          <w:highlight w:val="none"/>
        </w:rPr>
        <w:t>（必须提供）</w:t>
      </w:r>
    </w:p>
    <w:p w14:paraId="39A7DF76">
      <w:pPr>
        <w:tabs>
          <w:tab w:val="left" w:pos="1305"/>
        </w:tabs>
        <w:spacing w:line="312" w:lineRule="auto"/>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3.供应商的项目实施方案</w:t>
      </w:r>
      <w:r>
        <w:rPr>
          <w:rFonts w:ascii="Arial" w:hAnsi="Arial" w:eastAsia="宋体" w:cs="Arial"/>
          <w:b/>
          <w:color w:val="auto"/>
          <w:sz w:val="24"/>
          <w:highlight w:val="none"/>
        </w:rPr>
        <w:t>（必须提供）；</w:t>
      </w:r>
    </w:p>
    <w:p w14:paraId="783477EC">
      <w:pPr>
        <w:tabs>
          <w:tab w:val="left" w:pos="1305"/>
        </w:tabs>
        <w:spacing w:line="312" w:lineRule="auto"/>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4.供应商的售后服务承诺书</w:t>
      </w:r>
      <w:r>
        <w:rPr>
          <w:rFonts w:ascii="Arial" w:hAnsi="Arial" w:eastAsia="宋体" w:cs="Arial"/>
          <w:b/>
          <w:color w:val="auto"/>
          <w:sz w:val="24"/>
          <w:highlight w:val="none"/>
        </w:rPr>
        <w:t>（必须提供）；</w:t>
      </w:r>
    </w:p>
    <w:p w14:paraId="0FE99292">
      <w:pPr>
        <w:tabs>
          <w:tab w:val="left" w:pos="1305"/>
        </w:tabs>
        <w:spacing w:line="312" w:lineRule="auto"/>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5.商务响应表</w:t>
      </w:r>
      <w:r>
        <w:rPr>
          <w:rFonts w:ascii="Arial" w:hAnsi="Arial" w:eastAsia="宋体" w:cs="Arial"/>
          <w:b/>
          <w:color w:val="auto"/>
          <w:sz w:val="24"/>
          <w:highlight w:val="none"/>
        </w:rPr>
        <w:t>（必须提供））</w:t>
      </w:r>
    </w:p>
    <w:p w14:paraId="0EA8AC01">
      <w:pPr>
        <w:tabs>
          <w:tab w:val="left" w:pos="1305"/>
        </w:tabs>
        <w:spacing w:line="312" w:lineRule="auto"/>
        <w:ind w:firstLine="720" w:firstLineChars="300"/>
        <w:rPr>
          <w:rFonts w:ascii="Arial" w:hAnsi="Arial" w:eastAsia="宋体" w:cs="Arial"/>
          <w:b/>
          <w:color w:val="auto"/>
          <w:sz w:val="24"/>
          <w:highlight w:val="none"/>
        </w:rPr>
      </w:pPr>
    </w:p>
    <w:p w14:paraId="6D71ABF4">
      <w:pPr>
        <w:tabs>
          <w:tab w:val="left" w:pos="1305"/>
        </w:tabs>
        <w:spacing w:line="312" w:lineRule="auto"/>
        <w:ind w:firstLine="630" w:firstLineChars="300"/>
        <w:rPr>
          <w:rFonts w:ascii="Arial" w:hAnsi="Arial" w:eastAsia="宋体" w:cs="Arial"/>
          <w:b/>
          <w:bCs/>
          <w:color w:val="auto"/>
          <w:highlight w:val="none"/>
        </w:rPr>
        <w:sectPr>
          <w:footerReference r:id="rId12" w:type="first"/>
          <w:footerReference r:id="rId11" w:type="default"/>
          <w:pgSz w:w="11906" w:h="16838"/>
          <w:pgMar w:top="1134" w:right="849" w:bottom="1134" w:left="1134" w:header="720" w:footer="720" w:gutter="0"/>
          <w:cols w:space="720" w:num="1"/>
          <w:docGrid w:type="linesAndChars" w:linePitch="331" w:charSpace="0"/>
        </w:sectPr>
      </w:pPr>
    </w:p>
    <w:p w14:paraId="3CDEA0DC">
      <w:pPr>
        <w:pStyle w:val="14"/>
        <w:spacing w:line="312" w:lineRule="auto"/>
        <w:rPr>
          <w:rFonts w:ascii="Arial" w:hAnsi="Arial" w:eastAsia="宋体" w:cs="Arial"/>
          <w:color w:val="auto"/>
          <w:szCs w:val="21"/>
          <w:highlight w:val="none"/>
        </w:rPr>
      </w:pPr>
      <w:r>
        <w:rPr>
          <w:rFonts w:ascii="Arial" w:hAnsi="Arial" w:eastAsia="宋体" w:cs="Arial"/>
          <w:b/>
          <w:color w:val="auto"/>
          <w:sz w:val="28"/>
          <w:szCs w:val="28"/>
          <w:highlight w:val="none"/>
        </w:rPr>
        <w:t>1.谈判报价表（必须提供）</w:t>
      </w:r>
    </w:p>
    <w:p w14:paraId="43CDDD15">
      <w:pPr>
        <w:snapToGrid w:val="0"/>
        <w:spacing w:after="0" w:line="312" w:lineRule="auto"/>
        <w:jc w:val="left"/>
        <w:rPr>
          <w:rFonts w:ascii="Arial" w:hAnsi="Arial" w:eastAsia="宋体" w:cs="Arial"/>
          <w:color w:val="auto"/>
          <w:szCs w:val="21"/>
          <w:highlight w:val="none"/>
        </w:rPr>
      </w:pPr>
      <w:r>
        <w:rPr>
          <w:rFonts w:ascii="Arial" w:hAnsi="Arial" w:eastAsia="宋体" w:cs="Arial"/>
          <w:color w:val="auto"/>
          <w:szCs w:val="21"/>
          <w:highlight w:val="none"/>
        </w:rPr>
        <w:t>项目名称：</w:t>
      </w:r>
      <w:r>
        <w:rPr>
          <w:rFonts w:hint="eastAsia" w:ascii="Arial" w:hAnsi="Arial" w:eastAsia="宋体" w:cs="Arial"/>
          <w:color w:val="auto"/>
          <w:highlight w:val="none"/>
        </w:rPr>
        <w:t xml:space="preserve">桂林理工大学实训楼A座机房设备升级改造项目 </w:t>
      </w:r>
    </w:p>
    <w:p w14:paraId="4BA73B35">
      <w:pPr>
        <w:snapToGrid w:val="0"/>
        <w:spacing w:after="0" w:line="312" w:lineRule="auto"/>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GXJD-25114CC031016</w:t>
      </w:r>
    </w:p>
    <w:tbl>
      <w:tblPr>
        <w:tblStyle w:val="24"/>
        <w:tblpPr w:leftFromText="180" w:rightFromText="180" w:vertAnchor="text" w:tblpY="1"/>
        <w:tblOverlap w:val="never"/>
        <w:tblW w:w="1047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0"/>
        <w:gridCol w:w="1359"/>
        <w:gridCol w:w="1900"/>
        <w:gridCol w:w="2120"/>
        <w:gridCol w:w="910"/>
        <w:gridCol w:w="690"/>
        <w:gridCol w:w="1330"/>
        <w:gridCol w:w="1370"/>
      </w:tblGrid>
      <w:tr w14:paraId="683B33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90" w:hRule="atLeast"/>
        </w:trPr>
        <w:tc>
          <w:tcPr>
            <w:tcW w:w="800" w:type="dxa"/>
            <w:tcBorders>
              <w:top w:val="single" w:color="auto" w:sz="4" w:space="0"/>
              <w:left w:val="single" w:color="auto" w:sz="4" w:space="0"/>
              <w:bottom w:val="single" w:color="auto" w:sz="4" w:space="0"/>
              <w:right w:val="single" w:color="auto" w:sz="4" w:space="0"/>
            </w:tcBorders>
            <w:vAlign w:val="center"/>
          </w:tcPr>
          <w:p w14:paraId="69972C27">
            <w:pPr>
              <w:spacing w:after="0" w:line="312" w:lineRule="auto"/>
              <w:jc w:val="center"/>
              <w:rPr>
                <w:rFonts w:ascii="Arial" w:hAnsi="Arial" w:eastAsia="宋体" w:cs="Arial"/>
                <w:color w:val="auto"/>
                <w:highlight w:val="none"/>
              </w:rPr>
            </w:pPr>
            <w:r>
              <w:rPr>
                <w:rFonts w:ascii="Arial" w:hAnsi="Arial" w:eastAsia="宋体" w:cs="Arial"/>
                <w:color w:val="auto"/>
                <w:highlight w:val="none"/>
              </w:rPr>
              <w:t>项号</w:t>
            </w:r>
          </w:p>
        </w:tc>
        <w:tc>
          <w:tcPr>
            <w:tcW w:w="1359" w:type="dxa"/>
            <w:tcBorders>
              <w:top w:val="single" w:color="auto" w:sz="4" w:space="0"/>
              <w:left w:val="single" w:color="auto" w:sz="4" w:space="0"/>
              <w:bottom w:val="single" w:color="auto" w:sz="4" w:space="0"/>
              <w:right w:val="single" w:color="auto" w:sz="4" w:space="0"/>
            </w:tcBorders>
            <w:vAlign w:val="center"/>
          </w:tcPr>
          <w:p w14:paraId="6785D471">
            <w:pPr>
              <w:spacing w:after="0" w:line="312" w:lineRule="auto"/>
              <w:jc w:val="center"/>
              <w:rPr>
                <w:rFonts w:ascii="Arial" w:hAnsi="Arial" w:eastAsia="宋体" w:cs="Arial"/>
                <w:color w:val="auto"/>
                <w:highlight w:val="none"/>
              </w:rPr>
            </w:pPr>
            <w:r>
              <w:rPr>
                <w:rFonts w:ascii="Arial" w:hAnsi="Arial" w:eastAsia="宋体" w:cs="Arial"/>
                <w:color w:val="auto"/>
                <w:highlight w:val="none"/>
              </w:rPr>
              <w:t>标的名称</w:t>
            </w:r>
          </w:p>
        </w:tc>
        <w:tc>
          <w:tcPr>
            <w:tcW w:w="1900" w:type="dxa"/>
            <w:tcBorders>
              <w:top w:val="single" w:color="auto" w:sz="4" w:space="0"/>
              <w:left w:val="single" w:color="auto" w:sz="4" w:space="0"/>
              <w:bottom w:val="single" w:color="auto" w:sz="4" w:space="0"/>
              <w:right w:val="single" w:color="auto" w:sz="4" w:space="0"/>
            </w:tcBorders>
            <w:vAlign w:val="center"/>
          </w:tcPr>
          <w:p w14:paraId="1433F20F">
            <w:pPr>
              <w:spacing w:after="0" w:line="312" w:lineRule="auto"/>
              <w:jc w:val="center"/>
              <w:rPr>
                <w:rFonts w:ascii="Arial" w:hAnsi="Arial" w:eastAsia="宋体" w:cs="Arial"/>
                <w:color w:val="auto"/>
                <w:highlight w:val="none"/>
              </w:rPr>
            </w:pPr>
            <w:r>
              <w:rPr>
                <w:rFonts w:ascii="Arial" w:hAnsi="Arial" w:eastAsia="宋体" w:cs="Arial"/>
                <w:color w:val="auto"/>
                <w:szCs w:val="30"/>
                <w:highlight w:val="none"/>
              </w:rPr>
              <w:t>生产厂家</w:t>
            </w:r>
            <w:r>
              <w:rPr>
                <w:rFonts w:hint="eastAsia" w:ascii="Arial" w:hAnsi="Arial" w:eastAsia="宋体" w:cs="Arial"/>
                <w:color w:val="auto"/>
                <w:szCs w:val="30"/>
                <w:highlight w:val="none"/>
              </w:rPr>
              <w:t>或服务商</w:t>
            </w:r>
            <w:r>
              <w:rPr>
                <w:rFonts w:ascii="Arial" w:hAnsi="Arial" w:eastAsia="宋体" w:cs="Arial"/>
                <w:color w:val="auto"/>
                <w:szCs w:val="30"/>
                <w:highlight w:val="none"/>
              </w:rPr>
              <w:t>、品牌、规格型号</w:t>
            </w:r>
          </w:p>
        </w:tc>
        <w:tc>
          <w:tcPr>
            <w:tcW w:w="2120" w:type="dxa"/>
            <w:tcBorders>
              <w:top w:val="single" w:color="auto" w:sz="4" w:space="0"/>
              <w:left w:val="single" w:color="auto" w:sz="4" w:space="0"/>
              <w:bottom w:val="single" w:color="auto" w:sz="4" w:space="0"/>
              <w:right w:val="single" w:color="auto" w:sz="4" w:space="0"/>
            </w:tcBorders>
            <w:vAlign w:val="center"/>
          </w:tcPr>
          <w:p w14:paraId="27D9D85B">
            <w:pPr>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技术参数性能指标等</w:t>
            </w:r>
          </w:p>
          <w:p w14:paraId="6B4DE9A8">
            <w:pPr>
              <w:spacing w:after="0" w:line="312" w:lineRule="auto"/>
              <w:jc w:val="center"/>
              <w:rPr>
                <w:rFonts w:ascii="Arial" w:hAnsi="Arial" w:eastAsia="宋体" w:cs="Arial"/>
                <w:color w:val="auto"/>
                <w:highlight w:val="none"/>
              </w:rPr>
            </w:pPr>
            <w:r>
              <w:rPr>
                <w:rFonts w:ascii="Arial" w:hAnsi="Arial" w:eastAsia="宋体" w:cs="Arial"/>
                <w:color w:val="auto"/>
                <w:szCs w:val="21"/>
                <w:highlight w:val="none"/>
              </w:rPr>
              <w:t>（须完整填写）</w:t>
            </w:r>
          </w:p>
        </w:tc>
        <w:tc>
          <w:tcPr>
            <w:tcW w:w="910" w:type="dxa"/>
            <w:tcBorders>
              <w:top w:val="single" w:color="auto" w:sz="4" w:space="0"/>
              <w:left w:val="single" w:color="auto" w:sz="4" w:space="0"/>
              <w:bottom w:val="single" w:color="auto" w:sz="4" w:space="0"/>
              <w:right w:val="single" w:color="auto" w:sz="4" w:space="0"/>
            </w:tcBorders>
            <w:vAlign w:val="center"/>
          </w:tcPr>
          <w:p w14:paraId="2709C0A1">
            <w:pPr>
              <w:spacing w:after="0" w:line="312" w:lineRule="auto"/>
              <w:jc w:val="center"/>
              <w:rPr>
                <w:rFonts w:ascii="Arial" w:hAnsi="Arial" w:eastAsia="宋体" w:cs="Arial"/>
                <w:color w:val="auto"/>
                <w:highlight w:val="none"/>
              </w:rPr>
            </w:pPr>
            <w:r>
              <w:rPr>
                <w:rFonts w:ascii="Arial" w:hAnsi="Arial" w:eastAsia="宋体" w:cs="Arial"/>
                <w:color w:val="auto"/>
                <w:highlight w:val="none"/>
              </w:rPr>
              <w:t>数量</w:t>
            </w:r>
          </w:p>
          <w:p w14:paraId="3C2F97DC">
            <w:pPr>
              <w:spacing w:after="0" w:line="312" w:lineRule="auto"/>
              <w:jc w:val="center"/>
              <w:rPr>
                <w:rFonts w:ascii="Arial" w:hAnsi="Arial" w:eastAsia="宋体" w:cs="Arial"/>
                <w:color w:val="auto"/>
                <w:highlight w:val="none"/>
              </w:rPr>
            </w:pPr>
            <w:r>
              <w:rPr>
                <w:rFonts w:ascii="Arial" w:hAnsi="Arial" w:eastAsia="宋体" w:cs="Arial"/>
                <w:color w:val="auto"/>
                <w:szCs w:val="21"/>
                <w:highlight w:val="none"/>
              </w:rPr>
              <w:t>①</w:t>
            </w:r>
          </w:p>
        </w:tc>
        <w:tc>
          <w:tcPr>
            <w:tcW w:w="690" w:type="dxa"/>
            <w:tcBorders>
              <w:top w:val="single" w:color="auto" w:sz="4" w:space="0"/>
              <w:left w:val="single" w:color="auto" w:sz="4" w:space="0"/>
              <w:bottom w:val="single" w:color="auto" w:sz="4" w:space="0"/>
              <w:right w:val="single" w:color="auto" w:sz="4" w:space="0"/>
            </w:tcBorders>
            <w:vAlign w:val="center"/>
          </w:tcPr>
          <w:p w14:paraId="08E1B5AE">
            <w:pPr>
              <w:spacing w:after="0" w:line="312" w:lineRule="auto"/>
              <w:jc w:val="center"/>
              <w:rPr>
                <w:rFonts w:ascii="Arial" w:hAnsi="Arial" w:eastAsia="宋体" w:cs="Arial"/>
                <w:color w:val="auto"/>
                <w:highlight w:val="none"/>
              </w:rPr>
            </w:pPr>
            <w:r>
              <w:rPr>
                <w:rFonts w:ascii="Arial" w:hAnsi="Arial" w:eastAsia="宋体" w:cs="Arial"/>
                <w:color w:val="auto"/>
                <w:highlight w:val="none"/>
              </w:rPr>
              <w:t>单位</w:t>
            </w:r>
          </w:p>
        </w:tc>
        <w:tc>
          <w:tcPr>
            <w:tcW w:w="1330" w:type="dxa"/>
            <w:tcBorders>
              <w:top w:val="single" w:color="auto" w:sz="4" w:space="0"/>
              <w:left w:val="single" w:color="auto" w:sz="4" w:space="0"/>
              <w:bottom w:val="single" w:color="auto" w:sz="4" w:space="0"/>
              <w:right w:val="single" w:color="auto" w:sz="4" w:space="0"/>
            </w:tcBorders>
            <w:vAlign w:val="center"/>
          </w:tcPr>
          <w:p w14:paraId="5603971F">
            <w:pPr>
              <w:spacing w:after="0" w:line="312" w:lineRule="auto"/>
              <w:jc w:val="center"/>
              <w:rPr>
                <w:rFonts w:ascii="Arial" w:hAnsi="Arial" w:eastAsia="宋体" w:cs="Arial"/>
                <w:color w:val="auto"/>
                <w:highlight w:val="none"/>
              </w:rPr>
            </w:pPr>
            <w:r>
              <w:rPr>
                <w:rFonts w:ascii="Arial" w:hAnsi="Arial" w:eastAsia="宋体" w:cs="Arial"/>
                <w:color w:val="auto"/>
                <w:highlight w:val="none"/>
              </w:rPr>
              <w:t>单价（元）</w:t>
            </w:r>
          </w:p>
          <w:p w14:paraId="62C961F7">
            <w:pPr>
              <w:spacing w:after="0" w:line="312" w:lineRule="auto"/>
              <w:jc w:val="center"/>
              <w:rPr>
                <w:rFonts w:ascii="Arial" w:hAnsi="Arial" w:eastAsia="宋体" w:cs="Arial"/>
                <w:color w:val="auto"/>
                <w:highlight w:val="none"/>
              </w:rPr>
            </w:pPr>
            <w:r>
              <w:rPr>
                <w:rFonts w:ascii="Arial" w:hAnsi="Arial" w:eastAsia="宋体" w:cs="Arial"/>
                <w:color w:val="auto"/>
                <w:szCs w:val="21"/>
                <w:highlight w:val="none"/>
              </w:rPr>
              <w:t>②</w:t>
            </w:r>
          </w:p>
        </w:tc>
        <w:tc>
          <w:tcPr>
            <w:tcW w:w="1370" w:type="dxa"/>
            <w:tcBorders>
              <w:top w:val="single" w:color="auto" w:sz="4" w:space="0"/>
              <w:left w:val="single" w:color="auto" w:sz="4" w:space="0"/>
              <w:bottom w:val="single" w:color="auto" w:sz="4" w:space="0"/>
            </w:tcBorders>
            <w:vAlign w:val="center"/>
          </w:tcPr>
          <w:p w14:paraId="62C03B89">
            <w:pPr>
              <w:spacing w:after="0" w:line="312" w:lineRule="auto"/>
              <w:jc w:val="center"/>
              <w:rPr>
                <w:rFonts w:ascii="Arial" w:hAnsi="Arial" w:eastAsia="宋体" w:cs="Arial"/>
                <w:color w:val="auto"/>
                <w:highlight w:val="none"/>
              </w:rPr>
            </w:pPr>
            <w:r>
              <w:rPr>
                <w:rFonts w:ascii="Arial" w:hAnsi="Arial" w:eastAsia="宋体" w:cs="Arial"/>
                <w:color w:val="auto"/>
                <w:highlight w:val="none"/>
              </w:rPr>
              <w:t>单项合计=数量×单价</w:t>
            </w:r>
          </w:p>
          <w:p w14:paraId="03B8EBD0">
            <w:pPr>
              <w:spacing w:after="0" w:line="312" w:lineRule="auto"/>
              <w:jc w:val="center"/>
              <w:rPr>
                <w:rFonts w:ascii="Arial" w:hAnsi="Arial" w:eastAsia="宋体" w:cs="Arial"/>
                <w:color w:val="auto"/>
                <w:highlight w:val="none"/>
              </w:rPr>
            </w:pPr>
            <w:r>
              <w:rPr>
                <w:rFonts w:ascii="Arial" w:hAnsi="Arial" w:eastAsia="宋体" w:cs="Arial"/>
                <w:color w:val="auto"/>
                <w:szCs w:val="21"/>
                <w:highlight w:val="none"/>
              </w:rPr>
              <w:t>③＝①×②</w:t>
            </w:r>
          </w:p>
        </w:tc>
      </w:tr>
      <w:tr w14:paraId="4E84F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14:paraId="422FA9AB">
            <w:pPr>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1359" w:type="dxa"/>
            <w:tcBorders>
              <w:top w:val="single" w:color="auto" w:sz="4" w:space="0"/>
              <w:left w:val="single" w:color="auto" w:sz="4" w:space="0"/>
              <w:bottom w:val="single" w:color="auto" w:sz="4" w:space="0"/>
              <w:right w:val="single" w:color="auto" w:sz="4" w:space="0"/>
            </w:tcBorders>
            <w:vAlign w:val="center"/>
          </w:tcPr>
          <w:p w14:paraId="398CE840">
            <w:pPr>
              <w:spacing w:after="0" w:line="312" w:lineRule="auto"/>
              <w:jc w:val="center"/>
              <w:rPr>
                <w:rFonts w:ascii="Arial" w:hAnsi="Arial" w:eastAsia="宋体" w:cs="Arial"/>
                <w:color w:val="auto"/>
                <w:szCs w:val="21"/>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14:paraId="6DB6C500">
            <w:pPr>
              <w:spacing w:after="0" w:line="312" w:lineRule="auto"/>
              <w:rPr>
                <w:rFonts w:ascii="Arial" w:hAnsi="Arial" w:eastAsia="宋体" w:cs="Arial"/>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vAlign w:val="center"/>
          </w:tcPr>
          <w:p w14:paraId="17B08478">
            <w:pPr>
              <w:spacing w:after="0" w:line="312" w:lineRule="auto"/>
              <w:jc w:val="center"/>
              <w:rPr>
                <w:rFonts w:ascii="Arial" w:hAnsi="Arial" w:eastAsia="宋体" w:cs="Arial"/>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69D69F9F">
            <w:pPr>
              <w:spacing w:after="0" w:line="312" w:lineRule="auto"/>
              <w:jc w:val="center"/>
              <w:rPr>
                <w:rFonts w:ascii="Arial" w:hAnsi="Arial" w:eastAsia="宋体" w:cs="Arial"/>
                <w:color w:val="auto"/>
                <w:szCs w:val="21"/>
                <w:highlight w:val="none"/>
              </w:rPr>
            </w:pPr>
          </w:p>
        </w:tc>
        <w:tc>
          <w:tcPr>
            <w:tcW w:w="690" w:type="dxa"/>
            <w:tcBorders>
              <w:top w:val="single" w:color="auto" w:sz="4" w:space="0"/>
              <w:left w:val="single" w:color="auto" w:sz="4" w:space="0"/>
              <w:bottom w:val="single" w:color="auto" w:sz="4" w:space="0"/>
              <w:right w:val="single" w:color="auto" w:sz="4" w:space="0"/>
            </w:tcBorders>
            <w:vAlign w:val="center"/>
          </w:tcPr>
          <w:p w14:paraId="69B68128">
            <w:pPr>
              <w:spacing w:after="0" w:line="312" w:lineRule="auto"/>
              <w:jc w:val="center"/>
              <w:rPr>
                <w:rFonts w:ascii="Arial" w:hAnsi="Arial" w:eastAsia="宋体" w:cs="Arial"/>
                <w:color w:val="auto"/>
                <w:szCs w:val="21"/>
                <w:highlight w:val="none"/>
              </w:rPr>
            </w:pPr>
          </w:p>
        </w:tc>
        <w:tc>
          <w:tcPr>
            <w:tcW w:w="1330" w:type="dxa"/>
            <w:tcBorders>
              <w:top w:val="single" w:color="auto" w:sz="4" w:space="0"/>
              <w:left w:val="single" w:color="auto" w:sz="4" w:space="0"/>
              <w:bottom w:val="single" w:color="auto" w:sz="4" w:space="0"/>
              <w:right w:val="single" w:color="auto" w:sz="4" w:space="0"/>
            </w:tcBorders>
            <w:vAlign w:val="center"/>
          </w:tcPr>
          <w:p w14:paraId="1985D90A">
            <w:pPr>
              <w:spacing w:after="0" w:line="312" w:lineRule="auto"/>
              <w:jc w:val="center"/>
              <w:rPr>
                <w:rFonts w:ascii="Arial" w:hAnsi="Arial" w:eastAsia="宋体" w:cs="Arial"/>
                <w:b/>
                <w:bCs/>
                <w:color w:val="auto"/>
                <w:highlight w:val="none"/>
              </w:rPr>
            </w:pPr>
          </w:p>
        </w:tc>
        <w:tc>
          <w:tcPr>
            <w:tcW w:w="1370" w:type="dxa"/>
            <w:tcBorders>
              <w:top w:val="single" w:color="auto" w:sz="4" w:space="0"/>
              <w:left w:val="single" w:color="auto" w:sz="4" w:space="0"/>
              <w:bottom w:val="single" w:color="auto" w:sz="4" w:space="0"/>
            </w:tcBorders>
            <w:vAlign w:val="center"/>
          </w:tcPr>
          <w:p w14:paraId="3EE411A0">
            <w:pPr>
              <w:spacing w:after="0" w:line="312" w:lineRule="auto"/>
              <w:jc w:val="center"/>
              <w:rPr>
                <w:rFonts w:ascii="Arial" w:hAnsi="Arial" w:eastAsia="宋体" w:cs="Arial"/>
                <w:b/>
                <w:bCs/>
                <w:color w:val="auto"/>
                <w:highlight w:val="none"/>
              </w:rPr>
            </w:pPr>
          </w:p>
        </w:tc>
      </w:tr>
      <w:tr w14:paraId="62F65A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14:paraId="5EAE1EF9">
            <w:pPr>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1359" w:type="dxa"/>
            <w:tcBorders>
              <w:top w:val="single" w:color="auto" w:sz="4" w:space="0"/>
              <w:left w:val="single" w:color="auto" w:sz="4" w:space="0"/>
              <w:bottom w:val="single" w:color="auto" w:sz="4" w:space="0"/>
              <w:right w:val="single" w:color="auto" w:sz="4" w:space="0"/>
            </w:tcBorders>
            <w:vAlign w:val="center"/>
          </w:tcPr>
          <w:p w14:paraId="58E70DE6">
            <w:pPr>
              <w:spacing w:after="0" w:line="312" w:lineRule="auto"/>
              <w:jc w:val="center"/>
              <w:rPr>
                <w:rFonts w:ascii="Arial" w:hAnsi="Arial" w:eastAsia="宋体" w:cs="Arial"/>
                <w:color w:val="auto"/>
                <w:szCs w:val="21"/>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14:paraId="330D096C">
            <w:pPr>
              <w:spacing w:after="0" w:line="312" w:lineRule="auto"/>
              <w:rPr>
                <w:rFonts w:ascii="Arial" w:hAnsi="Arial" w:eastAsia="宋体" w:cs="Arial"/>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vAlign w:val="center"/>
          </w:tcPr>
          <w:p w14:paraId="162F380C">
            <w:pPr>
              <w:spacing w:after="0" w:line="312" w:lineRule="auto"/>
              <w:jc w:val="center"/>
              <w:rPr>
                <w:rFonts w:ascii="Arial" w:hAnsi="Arial" w:eastAsia="宋体" w:cs="Arial"/>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2C85E699">
            <w:pPr>
              <w:spacing w:after="0" w:line="312" w:lineRule="auto"/>
              <w:jc w:val="center"/>
              <w:rPr>
                <w:rFonts w:ascii="Arial" w:hAnsi="Arial" w:eastAsia="宋体" w:cs="Arial"/>
                <w:color w:val="auto"/>
                <w:szCs w:val="21"/>
                <w:highlight w:val="none"/>
              </w:rPr>
            </w:pPr>
          </w:p>
        </w:tc>
        <w:tc>
          <w:tcPr>
            <w:tcW w:w="690" w:type="dxa"/>
            <w:tcBorders>
              <w:top w:val="single" w:color="auto" w:sz="4" w:space="0"/>
              <w:left w:val="single" w:color="auto" w:sz="4" w:space="0"/>
              <w:bottom w:val="single" w:color="auto" w:sz="4" w:space="0"/>
              <w:right w:val="single" w:color="auto" w:sz="4" w:space="0"/>
            </w:tcBorders>
            <w:vAlign w:val="center"/>
          </w:tcPr>
          <w:p w14:paraId="27EC44F0">
            <w:pPr>
              <w:spacing w:after="0" w:line="312" w:lineRule="auto"/>
              <w:jc w:val="center"/>
              <w:rPr>
                <w:rFonts w:ascii="Arial" w:hAnsi="Arial" w:eastAsia="宋体" w:cs="Arial"/>
                <w:color w:val="auto"/>
                <w:szCs w:val="21"/>
                <w:highlight w:val="none"/>
              </w:rPr>
            </w:pPr>
          </w:p>
        </w:tc>
        <w:tc>
          <w:tcPr>
            <w:tcW w:w="1330" w:type="dxa"/>
            <w:tcBorders>
              <w:top w:val="single" w:color="auto" w:sz="4" w:space="0"/>
              <w:left w:val="single" w:color="auto" w:sz="4" w:space="0"/>
              <w:bottom w:val="single" w:color="auto" w:sz="4" w:space="0"/>
              <w:right w:val="single" w:color="auto" w:sz="4" w:space="0"/>
            </w:tcBorders>
            <w:vAlign w:val="center"/>
          </w:tcPr>
          <w:p w14:paraId="2E1D7E5C">
            <w:pPr>
              <w:spacing w:after="0" w:line="312" w:lineRule="auto"/>
              <w:jc w:val="center"/>
              <w:rPr>
                <w:rFonts w:ascii="Arial" w:hAnsi="Arial" w:eastAsia="宋体" w:cs="Arial"/>
                <w:b/>
                <w:bCs/>
                <w:color w:val="auto"/>
                <w:highlight w:val="none"/>
              </w:rPr>
            </w:pPr>
          </w:p>
        </w:tc>
        <w:tc>
          <w:tcPr>
            <w:tcW w:w="1370" w:type="dxa"/>
            <w:tcBorders>
              <w:top w:val="single" w:color="auto" w:sz="4" w:space="0"/>
              <w:left w:val="single" w:color="auto" w:sz="4" w:space="0"/>
              <w:bottom w:val="single" w:color="auto" w:sz="4" w:space="0"/>
            </w:tcBorders>
            <w:vAlign w:val="center"/>
          </w:tcPr>
          <w:p w14:paraId="3C855ABA">
            <w:pPr>
              <w:spacing w:after="0" w:line="312" w:lineRule="auto"/>
              <w:jc w:val="center"/>
              <w:rPr>
                <w:rFonts w:ascii="Arial" w:hAnsi="Arial" w:eastAsia="宋体" w:cs="Arial"/>
                <w:b/>
                <w:bCs/>
                <w:color w:val="auto"/>
                <w:highlight w:val="none"/>
              </w:rPr>
            </w:pPr>
          </w:p>
        </w:tc>
      </w:tr>
      <w:tr w14:paraId="02277D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14:paraId="1FEB6AB1">
            <w:pPr>
              <w:spacing w:after="0"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1359" w:type="dxa"/>
            <w:tcBorders>
              <w:top w:val="single" w:color="auto" w:sz="4" w:space="0"/>
              <w:left w:val="single" w:color="auto" w:sz="4" w:space="0"/>
              <w:bottom w:val="single" w:color="auto" w:sz="4" w:space="0"/>
              <w:right w:val="single" w:color="auto" w:sz="4" w:space="0"/>
            </w:tcBorders>
            <w:vAlign w:val="center"/>
          </w:tcPr>
          <w:p w14:paraId="2568DA93">
            <w:pPr>
              <w:spacing w:after="0" w:line="312" w:lineRule="auto"/>
              <w:jc w:val="center"/>
              <w:rPr>
                <w:rFonts w:ascii="Arial" w:hAnsi="Arial" w:eastAsia="宋体" w:cs="Arial"/>
                <w:color w:val="auto"/>
                <w:szCs w:val="21"/>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14:paraId="4295FDD0">
            <w:pPr>
              <w:spacing w:after="0" w:line="312" w:lineRule="auto"/>
              <w:rPr>
                <w:rFonts w:ascii="Arial" w:hAnsi="Arial" w:eastAsia="宋体" w:cs="Arial"/>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vAlign w:val="center"/>
          </w:tcPr>
          <w:p w14:paraId="0F36E830">
            <w:pPr>
              <w:spacing w:after="0" w:line="312" w:lineRule="auto"/>
              <w:jc w:val="center"/>
              <w:rPr>
                <w:rFonts w:ascii="Arial" w:hAnsi="Arial" w:eastAsia="宋体" w:cs="Arial"/>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487621D3">
            <w:pPr>
              <w:spacing w:after="0" w:line="312" w:lineRule="auto"/>
              <w:jc w:val="center"/>
              <w:rPr>
                <w:rFonts w:ascii="Arial" w:hAnsi="Arial" w:eastAsia="宋体" w:cs="Arial"/>
                <w:color w:val="auto"/>
                <w:szCs w:val="21"/>
                <w:highlight w:val="none"/>
              </w:rPr>
            </w:pPr>
          </w:p>
        </w:tc>
        <w:tc>
          <w:tcPr>
            <w:tcW w:w="690" w:type="dxa"/>
            <w:tcBorders>
              <w:top w:val="single" w:color="auto" w:sz="4" w:space="0"/>
              <w:left w:val="single" w:color="auto" w:sz="4" w:space="0"/>
              <w:bottom w:val="single" w:color="auto" w:sz="4" w:space="0"/>
              <w:right w:val="single" w:color="auto" w:sz="4" w:space="0"/>
            </w:tcBorders>
            <w:vAlign w:val="center"/>
          </w:tcPr>
          <w:p w14:paraId="76FC71D1">
            <w:pPr>
              <w:spacing w:after="0" w:line="312" w:lineRule="auto"/>
              <w:jc w:val="center"/>
              <w:rPr>
                <w:rFonts w:ascii="Arial" w:hAnsi="Arial" w:eastAsia="宋体" w:cs="Arial"/>
                <w:color w:val="auto"/>
                <w:szCs w:val="21"/>
                <w:highlight w:val="none"/>
              </w:rPr>
            </w:pPr>
          </w:p>
        </w:tc>
        <w:tc>
          <w:tcPr>
            <w:tcW w:w="1330" w:type="dxa"/>
            <w:tcBorders>
              <w:top w:val="single" w:color="auto" w:sz="4" w:space="0"/>
              <w:left w:val="single" w:color="auto" w:sz="4" w:space="0"/>
              <w:bottom w:val="single" w:color="auto" w:sz="4" w:space="0"/>
              <w:right w:val="single" w:color="auto" w:sz="4" w:space="0"/>
            </w:tcBorders>
            <w:vAlign w:val="center"/>
          </w:tcPr>
          <w:p w14:paraId="4DA75AC8">
            <w:pPr>
              <w:spacing w:after="0" w:line="312" w:lineRule="auto"/>
              <w:jc w:val="center"/>
              <w:rPr>
                <w:rFonts w:ascii="Arial" w:hAnsi="Arial" w:eastAsia="宋体" w:cs="Arial"/>
                <w:b/>
                <w:bCs/>
                <w:color w:val="auto"/>
                <w:highlight w:val="none"/>
              </w:rPr>
            </w:pPr>
          </w:p>
        </w:tc>
        <w:tc>
          <w:tcPr>
            <w:tcW w:w="1370" w:type="dxa"/>
            <w:tcBorders>
              <w:top w:val="single" w:color="auto" w:sz="4" w:space="0"/>
              <w:left w:val="single" w:color="auto" w:sz="4" w:space="0"/>
              <w:bottom w:val="single" w:color="auto" w:sz="4" w:space="0"/>
            </w:tcBorders>
            <w:vAlign w:val="center"/>
          </w:tcPr>
          <w:p w14:paraId="28528E3D">
            <w:pPr>
              <w:spacing w:after="0" w:line="312" w:lineRule="auto"/>
              <w:jc w:val="center"/>
              <w:rPr>
                <w:rFonts w:ascii="Arial" w:hAnsi="Arial" w:eastAsia="宋体" w:cs="Arial"/>
                <w:b/>
                <w:bCs/>
                <w:color w:val="auto"/>
                <w:highlight w:val="none"/>
              </w:rPr>
            </w:pPr>
          </w:p>
        </w:tc>
      </w:tr>
      <w:tr w14:paraId="540F08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9109" w:type="dxa"/>
            <w:gridSpan w:val="7"/>
            <w:tcBorders>
              <w:top w:val="single" w:color="auto" w:sz="4" w:space="0"/>
              <w:left w:val="single" w:color="auto" w:sz="4" w:space="0"/>
              <w:right w:val="single" w:color="auto" w:sz="4" w:space="0"/>
            </w:tcBorders>
            <w:vAlign w:val="center"/>
          </w:tcPr>
          <w:p w14:paraId="3FF31D60">
            <w:pPr>
              <w:spacing w:after="0" w:line="312" w:lineRule="auto"/>
              <w:ind w:right="315"/>
              <w:jc w:val="right"/>
              <w:rPr>
                <w:rFonts w:ascii="Arial" w:hAnsi="Arial" w:eastAsia="宋体" w:cs="Arial"/>
                <w:bCs/>
                <w:color w:val="auto"/>
                <w:highlight w:val="none"/>
              </w:rPr>
            </w:pPr>
            <w:r>
              <w:rPr>
                <w:rFonts w:ascii="Arial" w:hAnsi="Arial" w:eastAsia="宋体" w:cs="Arial"/>
                <w:bCs/>
                <w:color w:val="auto"/>
                <w:highlight w:val="none"/>
              </w:rPr>
              <w:t>合计金额</w:t>
            </w:r>
          </w:p>
        </w:tc>
        <w:tc>
          <w:tcPr>
            <w:tcW w:w="1370" w:type="dxa"/>
            <w:tcBorders>
              <w:top w:val="single" w:color="auto" w:sz="4" w:space="0"/>
              <w:left w:val="single" w:color="auto" w:sz="4" w:space="0"/>
              <w:bottom w:val="single" w:color="auto" w:sz="4" w:space="0"/>
            </w:tcBorders>
            <w:vAlign w:val="center"/>
          </w:tcPr>
          <w:p w14:paraId="6CBAC471">
            <w:pPr>
              <w:spacing w:after="0" w:line="312" w:lineRule="auto"/>
              <w:jc w:val="center"/>
              <w:rPr>
                <w:rFonts w:ascii="Arial" w:hAnsi="Arial" w:eastAsia="宋体" w:cs="Arial"/>
                <w:b/>
                <w:bCs/>
                <w:color w:val="auto"/>
                <w:highlight w:val="none"/>
              </w:rPr>
            </w:pPr>
          </w:p>
        </w:tc>
      </w:tr>
      <w:tr w14:paraId="707EB9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5FC054B6">
            <w:pPr>
              <w:spacing w:after="0" w:line="312" w:lineRule="auto"/>
              <w:rPr>
                <w:rFonts w:ascii="Arial" w:hAnsi="Arial" w:eastAsia="宋体" w:cs="Arial"/>
                <w:b/>
                <w:bCs/>
                <w:color w:val="auto"/>
                <w:highlight w:val="none"/>
              </w:rPr>
            </w:pPr>
            <w:r>
              <w:rPr>
                <w:rFonts w:ascii="Arial" w:hAnsi="Arial" w:eastAsia="宋体" w:cs="Arial"/>
                <w:color w:val="auto"/>
                <w:spacing w:val="-6"/>
                <w:highlight w:val="none"/>
              </w:rPr>
              <w:t>谈判</w:t>
            </w:r>
            <w:r>
              <w:rPr>
                <w:rFonts w:hint="eastAsia" w:ascii="Arial" w:hAnsi="Arial" w:eastAsia="宋体" w:cs="Arial"/>
                <w:color w:val="auto"/>
                <w:spacing w:val="-6"/>
                <w:highlight w:val="none"/>
              </w:rPr>
              <w:t>总</w:t>
            </w:r>
            <w:r>
              <w:rPr>
                <w:rFonts w:ascii="Arial" w:hAnsi="Arial" w:eastAsia="宋体" w:cs="Arial"/>
                <w:color w:val="auto"/>
                <w:spacing w:val="-6"/>
                <w:highlight w:val="none"/>
              </w:rPr>
              <w:t>报价（大写）：                                           元人民币（￥                      ）</w:t>
            </w:r>
          </w:p>
        </w:tc>
      </w:tr>
      <w:tr w14:paraId="2CF13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48923B14">
            <w:pPr>
              <w:spacing w:after="0" w:line="312" w:lineRule="auto"/>
              <w:rPr>
                <w:rFonts w:ascii="Arial" w:hAnsi="Arial" w:eastAsia="宋体" w:cs="Arial"/>
                <w:color w:val="auto"/>
                <w:spacing w:val="-6"/>
                <w:highlight w:val="none"/>
              </w:rPr>
            </w:pPr>
            <w:r>
              <w:rPr>
                <w:rFonts w:ascii="Arial" w:hAnsi="Arial" w:eastAsia="宋体" w:cs="Arial"/>
                <w:color w:val="auto"/>
                <w:spacing w:val="-6"/>
                <w:highlight w:val="none"/>
              </w:rPr>
              <w:t>交付时间及地点:</w:t>
            </w:r>
          </w:p>
        </w:tc>
      </w:tr>
      <w:tr w14:paraId="1EE43C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3D0C60A4">
            <w:pPr>
              <w:spacing w:after="0" w:line="312" w:lineRule="auto"/>
              <w:rPr>
                <w:rFonts w:ascii="Arial" w:hAnsi="Arial" w:eastAsia="宋体" w:cs="Arial"/>
                <w:color w:val="auto"/>
                <w:spacing w:val="-6"/>
                <w:highlight w:val="none"/>
              </w:rPr>
            </w:pPr>
            <w:r>
              <w:rPr>
                <w:rFonts w:ascii="Arial" w:hAnsi="Arial" w:eastAsia="宋体" w:cs="Arial"/>
                <w:color w:val="auto"/>
                <w:spacing w:val="-6"/>
                <w:highlight w:val="none"/>
              </w:rPr>
              <w:t>本项目响应有效期为响应文件递交截止时间之日起90天。</w:t>
            </w:r>
          </w:p>
        </w:tc>
      </w:tr>
      <w:tr w14:paraId="0E425E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34DFF18C">
            <w:pPr>
              <w:spacing w:after="0" w:line="312" w:lineRule="auto"/>
              <w:rPr>
                <w:rFonts w:ascii="Arial" w:hAnsi="Arial" w:eastAsia="宋体" w:cs="Arial"/>
                <w:color w:val="auto"/>
                <w:spacing w:val="-6"/>
                <w:highlight w:val="none"/>
              </w:rPr>
            </w:pPr>
            <w:r>
              <w:rPr>
                <w:rFonts w:ascii="Arial" w:hAnsi="Arial" w:eastAsia="宋体" w:cs="Arial"/>
                <w:color w:val="auto"/>
                <w:spacing w:val="-6"/>
                <w:highlight w:val="none"/>
              </w:rPr>
              <w:t>质保期：</w:t>
            </w:r>
          </w:p>
        </w:tc>
      </w:tr>
      <w:tr w14:paraId="1CFA62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5" w:hRule="atLeast"/>
        </w:trPr>
        <w:tc>
          <w:tcPr>
            <w:tcW w:w="10479" w:type="dxa"/>
            <w:gridSpan w:val="8"/>
            <w:tcBorders>
              <w:top w:val="single" w:color="auto" w:sz="4" w:space="0"/>
              <w:left w:val="single" w:color="auto" w:sz="4" w:space="0"/>
              <w:bottom w:val="single" w:color="auto" w:sz="4" w:space="0"/>
            </w:tcBorders>
            <w:vAlign w:val="center"/>
          </w:tcPr>
          <w:p w14:paraId="2326A7A6">
            <w:pPr>
              <w:spacing w:after="0" w:line="312" w:lineRule="auto"/>
              <w:rPr>
                <w:rFonts w:ascii="Arial" w:hAnsi="Arial" w:eastAsia="宋体" w:cs="Arial"/>
                <w:b/>
                <w:bCs/>
                <w:color w:val="auto"/>
                <w:highlight w:val="none"/>
              </w:rPr>
            </w:pPr>
            <w:r>
              <w:rPr>
                <w:rFonts w:ascii="Arial" w:hAnsi="Arial" w:eastAsia="宋体" w:cs="Arial"/>
                <w:color w:val="auto"/>
                <w:highlight w:val="none"/>
              </w:rPr>
              <w:t>说明：谈判报价</w:t>
            </w:r>
            <w:r>
              <w:rPr>
                <w:rFonts w:hint="eastAsia" w:ascii="Arial" w:hAnsi="Arial" w:eastAsia="宋体" w:cs="Arial"/>
                <w:color w:val="auto"/>
                <w:highlight w:val="none"/>
              </w:rPr>
              <w:t>包括</w:t>
            </w:r>
            <w:r>
              <w:rPr>
                <w:rFonts w:ascii="Arial" w:hAnsi="Arial" w:eastAsia="宋体" w:cs="Arial"/>
                <w:color w:val="auto"/>
                <w:szCs w:val="21"/>
                <w:highlight w:val="none"/>
              </w:rPr>
              <w:t>所有货物、</w:t>
            </w:r>
            <w:r>
              <w:rPr>
                <w:rFonts w:hint="eastAsia" w:ascii="Arial" w:hAnsi="Arial" w:eastAsia="宋体" w:cs="Arial"/>
                <w:color w:val="auto"/>
                <w:szCs w:val="21"/>
                <w:highlight w:val="none"/>
              </w:rPr>
              <w:t>服务价格、</w:t>
            </w:r>
            <w:r>
              <w:rPr>
                <w:rFonts w:ascii="Arial" w:hAnsi="Arial" w:eastAsia="宋体" w:cs="Arial"/>
                <w:color w:val="auto"/>
                <w:szCs w:val="21"/>
                <w:highlight w:val="none"/>
              </w:rPr>
              <w:t>随配附件、备品备件、运输、工具、安装、调试、各种辅材、售后服务、培训、税金等费用及其他所有可能发生的一切费用，对于本文件中未列明，而供应商认为必须的费用也需列入总报价</w:t>
            </w:r>
            <w:r>
              <w:rPr>
                <w:rFonts w:hint="eastAsia" w:ascii="Arial" w:hAnsi="Arial" w:eastAsia="宋体" w:cs="Arial"/>
                <w:color w:val="auto"/>
                <w:highlight w:val="none"/>
              </w:rPr>
              <w:t>，</w:t>
            </w:r>
            <w:r>
              <w:rPr>
                <w:rFonts w:ascii="Arial" w:hAnsi="Arial" w:eastAsia="宋体" w:cs="Arial"/>
                <w:color w:val="auto"/>
                <w:szCs w:val="21"/>
                <w:highlight w:val="none"/>
              </w:rPr>
              <w:t>采购人不再支付任何费用</w:t>
            </w:r>
            <w:r>
              <w:rPr>
                <w:rFonts w:hint="eastAsia" w:ascii="Arial" w:hAnsi="Arial" w:eastAsia="宋体" w:cs="Arial"/>
                <w:color w:val="auto"/>
                <w:highlight w:val="none"/>
              </w:rPr>
              <w:t>。</w:t>
            </w:r>
            <w:r>
              <w:rPr>
                <w:rFonts w:ascii="Arial" w:hAnsi="Arial" w:eastAsia="宋体" w:cs="Arial"/>
                <w:color w:val="auto"/>
                <w:szCs w:val="21"/>
                <w:highlight w:val="none"/>
              </w:rPr>
              <w:t>验收过程中所产生的一切费用均由成交供应商承担；报价时应考虑相关费用</w:t>
            </w:r>
            <w:r>
              <w:rPr>
                <w:rFonts w:ascii="Arial" w:hAnsi="Arial" w:eastAsia="宋体" w:cs="Arial"/>
                <w:color w:val="auto"/>
                <w:highlight w:val="none"/>
              </w:rPr>
              <w:t>。</w:t>
            </w:r>
          </w:p>
        </w:tc>
      </w:tr>
    </w:tbl>
    <w:p w14:paraId="4C9F92C5">
      <w:pPr>
        <w:snapToGrid w:val="0"/>
        <w:spacing w:after="0" w:line="312" w:lineRule="auto"/>
        <w:jc w:val="left"/>
        <w:rPr>
          <w:rFonts w:ascii="Arial" w:hAnsi="Arial" w:eastAsia="宋体" w:cs="Arial"/>
          <w:color w:val="auto"/>
          <w:highlight w:val="none"/>
        </w:rPr>
      </w:pPr>
    </w:p>
    <w:p w14:paraId="20CE63DD">
      <w:pPr>
        <w:snapToGrid w:val="0"/>
        <w:spacing w:after="0" w:line="312" w:lineRule="auto"/>
        <w:jc w:val="left"/>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28D9D606">
      <w:pPr>
        <w:pStyle w:val="14"/>
        <w:spacing w:after="0" w:line="312" w:lineRule="auto"/>
        <w:jc w:val="left"/>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47F47B9F">
      <w:pPr>
        <w:pStyle w:val="14"/>
        <w:spacing w:after="0" w:line="312" w:lineRule="auto"/>
        <w:jc w:val="left"/>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09375BA1">
      <w:pPr>
        <w:spacing w:after="0" w:line="312" w:lineRule="auto"/>
        <w:jc w:val="left"/>
        <w:rPr>
          <w:rFonts w:ascii="Arial" w:hAnsi="Arial" w:eastAsia="宋体" w:cs="Arial"/>
          <w:color w:val="auto"/>
          <w:highlight w:val="none"/>
        </w:rPr>
      </w:pPr>
    </w:p>
    <w:p w14:paraId="2BC2F34D">
      <w:pPr>
        <w:tabs>
          <w:tab w:val="left" w:pos="1305"/>
        </w:tabs>
        <w:spacing w:after="0" w:line="312" w:lineRule="auto"/>
        <w:ind w:left="625" w:leftChars="98" w:hanging="420" w:hangingChars="200"/>
        <w:rPr>
          <w:rFonts w:ascii="Arial" w:hAnsi="Arial" w:eastAsia="宋体" w:cs="Arial"/>
          <w:bCs/>
          <w:color w:val="auto"/>
          <w:szCs w:val="21"/>
          <w:highlight w:val="none"/>
        </w:rPr>
      </w:pPr>
      <w:r>
        <w:rPr>
          <w:rFonts w:ascii="Arial" w:hAnsi="Arial" w:eastAsia="宋体" w:cs="Arial"/>
          <w:bCs/>
          <w:color w:val="auto"/>
          <w:szCs w:val="21"/>
          <w:highlight w:val="none"/>
        </w:rPr>
        <w:t>注</w:t>
      </w:r>
      <w:r>
        <w:rPr>
          <w:rFonts w:ascii="Arial" w:hAnsi="Arial" w:eastAsia="宋体" w:cs="Arial"/>
          <w:b/>
          <w:bCs/>
          <w:color w:val="auto"/>
          <w:szCs w:val="21"/>
          <w:highlight w:val="none"/>
        </w:rPr>
        <w:t>：</w:t>
      </w:r>
      <w:r>
        <w:rPr>
          <w:rFonts w:ascii="Arial" w:hAnsi="Arial" w:eastAsia="宋体" w:cs="Arial"/>
          <w:bCs/>
          <w:color w:val="auto"/>
          <w:szCs w:val="21"/>
          <w:highlight w:val="none"/>
        </w:rPr>
        <w:t>1.</w:t>
      </w:r>
      <w:r>
        <w:rPr>
          <w:rFonts w:ascii="Arial" w:hAnsi="Arial" w:eastAsia="宋体" w:cs="Arial"/>
          <w:color w:val="auto"/>
          <w:szCs w:val="21"/>
          <w:highlight w:val="none"/>
        </w:rPr>
        <w:t>供应商必须就“项目采购需求”中的所有内容作完整唯一报价，否则，其响应将被拒绝。</w:t>
      </w:r>
    </w:p>
    <w:p w14:paraId="70FC9335">
      <w:pPr>
        <w:pStyle w:val="14"/>
        <w:spacing w:after="0" w:line="312" w:lineRule="auto"/>
        <w:ind w:firstLine="630" w:firstLineChars="300"/>
        <w:rPr>
          <w:rFonts w:ascii="Arial" w:hAnsi="Arial" w:eastAsia="宋体" w:cs="Arial"/>
          <w:color w:val="auto"/>
          <w:highlight w:val="none"/>
        </w:rPr>
      </w:pPr>
      <w:r>
        <w:rPr>
          <w:rFonts w:ascii="Arial" w:hAnsi="Arial" w:eastAsia="宋体" w:cs="Arial"/>
          <w:color w:val="auto"/>
          <w:highlight w:val="none"/>
        </w:rPr>
        <w:t>2.</w:t>
      </w:r>
      <w:r>
        <w:rPr>
          <w:rFonts w:ascii="Arial" w:hAnsi="Arial" w:eastAsia="宋体" w:cs="Arial"/>
          <w:color w:val="auto"/>
          <w:szCs w:val="21"/>
          <w:highlight w:val="none"/>
        </w:rPr>
        <w:t>供应商</w:t>
      </w:r>
      <w:r>
        <w:rPr>
          <w:rFonts w:ascii="Arial" w:hAnsi="Arial" w:eastAsia="宋体" w:cs="Arial"/>
          <w:color w:val="auto"/>
          <w:highlight w:val="none"/>
        </w:rPr>
        <w:t>应根据所提供的货物如实填写</w:t>
      </w:r>
      <w:r>
        <w:rPr>
          <w:rFonts w:ascii="Arial" w:hAnsi="Arial" w:eastAsia="宋体" w:cs="Arial"/>
          <w:color w:val="auto"/>
          <w:szCs w:val="21"/>
          <w:highlight w:val="none"/>
        </w:rPr>
        <w:t>谈判</w:t>
      </w:r>
      <w:r>
        <w:rPr>
          <w:rFonts w:ascii="Arial" w:hAnsi="Arial" w:eastAsia="宋体" w:cs="Arial"/>
          <w:color w:val="auto"/>
          <w:highlight w:val="none"/>
        </w:rPr>
        <w:t>报价表</w:t>
      </w:r>
      <w:r>
        <w:rPr>
          <w:rFonts w:ascii="Arial" w:hAnsi="Arial" w:eastAsia="宋体" w:cs="Arial"/>
          <w:bCs/>
          <w:color w:val="auto"/>
          <w:szCs w:val="21"/>
          <w:highlight w:val="none"/>
        </w:rPr>
        <w:t>的各项内容，否则，响应文件无效。</w:t>
      </w:r>
    </w:p>
    <w:p w14:paraId="24A847F9">
      <w:pPr>
        <w:spacing w:after="0" w:line="312" w:lineRule="auto"/>
        <w:ind w:left="630" w:leftChars="300"/>
        <w:rPr>
          <w:rFonts w:ascii="Arial" w:hAnsi="Arial" w:eastAsia="宋体" w:cs="Arial"/>
          <w:bCs/>
          <w:color w:val="auto"/>
          <w:szCs w:val="21"/>
          <w:highlight w:val="none"/>
        </w:rPr>
      </w:pPr>
      <w:r>
        <w:rPr>
          <w:rFonts w:ascii="Arial" w:hAnsi="Arial" w:eastAsia="宋体" w:cs="Arial"/>
          <w:bCs/>
          <w:color w:val="auto"/>
          <w:szCs w:val="21"/>
          <w:highlight w:val="none"/>
        </w:rPr>
        <w:t>3.</w:t>
      </w:r>
      <w:r>
        <w:rPr>
          <w:rFonts w:ascii="Arial" w:hAnsi="Arial" w:eastAsia="宋体" w:cs="Arial"/>
          <w:color w:val="auto"/>
          <w:szCs w:val="21"/>
          <w:highlight w:val="none"/>
        </w:rPr>
        <w:t>谈判</w:t>
      </w:r>
      <w:r>
        <w:rPr>
          <w:rFonts w:ascii="Arial" w:hAnsi="Arial" w:eastAsia="宋体" w:cs="Arial"/>
          <w:bCs/>
          <w:color w:val="auto"/>
          <w:szCs w:val="21"/>
          <w:highlight w:val="none"/>
        </w:rPr>
        <w:t>报价表须由法定代表人（负责人)</w:t>
      </w:r>
      <w:r>
        <w:rPr>
          <w:rFonts w:ascii="Arial" w:hAnsi="Arial" w:eastAsia="宋体" w:cs="Arial"/>
          <w:color w:val="auto"/>
          <w:highlight w:val="none"/>
        </w:rPr>
        <w:t>或相应的委托代理人签字并加盖供应商公章。当本表由多页构成时，需逐页加盖供应商公章。</w:t>
      </w:r>
    </w:p>
    <w:p w14:paraId="66DDEEB3">
      <w:pPr>
        <w:spacing w:line="312" w:lineRule="auto"/>
        <w:rPr>
          <w:rFonts w:ascii="Arial" w:hAnsi="Arial" w:eastAsia="宋体" w:cs="Arial"/>
          <w:color w:val="auto"/>
          <w:highlight w:val="none"/>
        </w:rPr>
        <w:sectPr>
          <w:pgSz w:w="11906" w:h="16838"/>
          <w:pgMar w:top="1440" w:right="935" w:bottom="1440" w:left="779" w:header="851" w:footer="992" w:gutter="0"/>
          <w:cols w:space="720" w:num="1"/>
          <w:docGrid w:type="linesAndChars" w:linePitch="312" w:charSpace="0"/>
        </w:sectPr>
      </w:pPr>
    </w:p>
    <w:p w14:paraId="6B1B41A9">
      <w:pPr>
        <w:pStyle w:val="14"/>
        <w:spacing w:line="312" w:lineRule="auto"/>
        <w:rPr>
          <w:rFonts w:ascii="Arial" w:hAnsi="Arial" w:eastAsia="宋体" w:cs="Arial"/>
          <w:b/>
          <w:color w:val="auto"/>
          <w:sz w:val="28"/>
          <w:szCs w:val="28"/>
          <w:highlight w:val="none"/>
        </w:rPr>
      </w:pPr>
      <w:bookmarkStart w:id="37" w:name="_Toc31146"/>
      <w:bookmarkStart w:id="38" w:name="_Toc20974"/>
      <w:bookmarkStart w:id="39" w:name="_Toc4669"/>
      <w:r>
        <w:rPr>
          <w:rFonts w:ascii="Arial" w:hAnsi="Arial" w:eastAsia="宋体" w:cs="Arial"/>
          <w:b/>
          <w:color w:val="auto"/>
          <w:sz w:val="28"/>
          <w:szCs w:val="28"/>
          <w:highlight w:val="none"/>
        </w:rPr>
        <w:t>2.技术响应表（必须提供）</w:t>
      </w:r>
      <w:bookmarkEnd w:id="37"/>
      <w:bookmarkEnd w:id="38"/>
      <w:bookmarkEnd w:id="39"/>
    </w:p>
    <w:p w14:paraId="0FB2DB2C">
      <w:pPr>
        <w:pStyle w:val="14"/>
        <w:spacing w:line="312" w:lineRule="auto"/>
        <w:ind w:firstLine="472" w:firstLineChars="147"/>
        <w:rPr>
          <w:rFonts w:ascii="Arial" w:hAnsi="Arial" w:eastAsia="宋体" w:cs="Arial"/>
          <w:b/>
          <w:color w:val="auto"/>
          <w:sz w:val="24"/>
          <w:szCs w:val="24"/>
          <w:highlight w:val="none"/>
        </w:rPr>
      </w:pPr>
      <w:bookmarkStart w:id="40" w:name="_Toc7329"/>
      <w:bookmarkStart w:id="41" w:name="_Toc23422"/>
      <w:bookmarkStart w:id="42" w:name="_Toc19638"/>
      <w:r>
        <w:rPr>
          <w:rFonts w:ascii="Arial" w:hAnsi="Arial" w:eastAsia="宋体" w:cs="Arial"/>
          <w:b/>
          <w:bCs/>
          <w:color w:val="auto"/>
          <w:sz w:val="32"/>
          <w:szCs w:val="32"/>
          <w:highlight w:val="none"/>
        </w:rPr>
        <w:t>附件：</w:t>
      </w:r>
      <w:bookmarkEnd w:id="40"/>
      <w:bookmarkEnd w:id="41"/>
      <w:bookmarkEnd w:id="42"/>
      <w:r>
        <w:rPr>
          <w:rFonts w:ascii="Arial" w:hAnsi="Arial" w:eastAsia="宋体" w:cs="Arial"/>
          <w:b/>
          <w:bCs/>
          <w:color w:val="auto"/>
          <w:sz w:val="32"/>
          <w:szCs w:val="32"/>
          <w:highlight w:val="none"/>
        </w:rPr>
        <w:t xml:space="preserve"> </w:t>
      </w:r>
      <w:r>
        <w:rPr>
          <w:rFonts w:ascii="Arial" w:hAnsi="Arial" w:eastAsia="宋体" w:cs="Arial"/>
          <w:b/>
          <w:color w:val="auto"/>
          <w:sz w:val="24"/>
          <w:szCs w:val="24"/>
          <w:highlight w:val="none"/>
        </w:rPr>
        <w:t xml:space="preserve">           </w:t>
      </w:r>
    </w:p>
    <w:p w14:paraId="5B8ED451">
      <w:pPr>
        <w:pStyle w:val="14"/>
        <w:spacing w:line="312" w:lineRule="auto"/>
        <w:ind w:firstLine="472" w:firstLineChars="147"/>
        <w:jc w:val="center"/>
        <w:rPr>
          <w:rFonts w:ascii="Arial" w:hAnsi="Arial" w:eastAsia="宋体" w:cs="Arial"/>
          <w:b/>
          <w:bCs/>
          <w:color w:val="auto"/>
          <w:sz w:val="32"/>
          <w:highlight w:val="none"/>
        </w:rPr>
      </w:pPr>
      <w:r>
        <w:rPr>
          <w:rFonts w:ascii="Arial" w:hAnsi="Arial" w:eastAsia="宋体" w:cs="Arial"/>
          <w:b/>
          <w:bCs/>
          <w:color w:val="auto"/>
          <w:sz w:val="32"/>
          <w:highlight w:val="none"/>
        </w:rPr>
        <w:t>技术响应表（格式）</w:t>
      </w: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2079"/>
        <w:gridCol w:w="2326"/>
        <w:gridCol w:w="1771"/>
        <w:gridCol w:w="2014"/>
      </w:tblGrid>
      <w:tr w14:paraId="48EEB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135" w:type="dxa"/>
            <w:vAlign w:val="center"/>
          </w:tcPr>
          <w:p w14:paraId="1173FD26">
            <w:pPr>
              <w:pStyle w:val="14"/>
              <w:spacing w:line="312" w:lineRule="auto"/>
              <w:jc w:val="center"/>
              <w:rPr>
                <w:rFonts w:ascii="Arial" w:hAnsi="Arial" w:eastAsia="宋体" w:cs="Arial"/>
                <w:color w:val="auto"/>
                <w:highlight w:val="none"/>
              </w:rPr>
            </w:pPr>
            <w:r>
              <w:rPr>
                <w:rFonts w:ascii="Arial" w:hAnsi="Arial" w:eastAsia="宋体" w:cs="Arial"/>
                <w:color w:val="auto"/>
                <w:highlight w:val="none"/>
              </w:rPr>
              <w:t>项号</w:t>
            </w:r>
          </w:p>
        </w:tc>
        <w:tc>
          <w:tcPr>
            <w:tcW w:w="2079" w:type="dxa"/>
            <w:vAlign w:val="center"/>
          </w:tcPr>
          <w:p w14:paraId="29C3467D">
            <w:pPr>
              <w:pStyle w:val="14"/>
              <w:spacing w:line="312" w:lineRule="auto"/>
              <w:jc w:val="center"/>
              <w:rPr>
                <w:rFonts w:ascii="Arial" w:hAnsi="Arial" w:eastAsia="宋体" w:cs="Arial"/>
                <w:color w:val="auto"/>
                <w:highlight w:val="none"/>
              </w:rPr>
            </w:pPr>
            <w:r>
              <w:rPr>
                <w:rFonts w:ascii="Arial" w:hAnsi="Arial" w:eastAsia="宋体" w:cs="Arial"/>
                <w:color w:val="auto"/>
                <w:highlight w:val="none"/>
              </w:rPr>
              <w:t>货物服务名称</w:t>
            </w:r>
          </w:p>
        </w:tc>
        <w:tc>
          <w:tcPr>
            <w:tcW w:w="2326" w:type="dxa"/>
            <w:vAlign w:val="center"/>
          </w:tcPr>
          <w:p w14:paraId="4373FF47">
            <w:pPr>
              <w:pStyle w:val="14"/>
              <w:spacing w:line="312" w:lineRule="auto"/>
              <w:jc w:val="center"/>
              <w:rPr>
                <w:rFonts w:ascii="Arial" w:hAnsi="Arial" w:eastAsia="宋体" w:cs="Arial"/>
                <w:color w:val="auto"/>
                <w:highlight w:val="none"/>
              </w:rPr>
            </w:pPr>
            <w:r>
              <w:rPr>
                <w:rFonts w:ascii="Arial" w:hAnsi="Arial" w:eastAsia="宋体" w:cs="Arial"/>
                <w:color w:val="auto"/>
                <w:highlight w:val="none"/>
              </w:rPr>
              <w:t>项目要求及技术需求</w:t>
            </w:r>
          </w:p>
        </w:tc>
        <w:tc>
          <w:tcPr>
            <w:tcW w:w="1771" w:type="dxa"/>
            <w:vAlign w:val="center"/>
          </w:tcPr>
          <w:p w14:paraId="541526C6">
            <w:pPr>
              <w:pStyle w:val="14"/>
              <w:spacing w:line="312" w:lineRule="auto"/>
              <w:jc w:val="center"/>
              <w:rPr>
                <w:rFonts w:ascii="Arial" w:hAnsi="Arial" w:eastAsia="宋体" w:cs="Arial"/>
                <w:color w:val="auto"/>
                <w:highlight w:val="none"/>
              </w:rPr>
            </w:pPr>
            <w:r>
              <w:rPr>
                <w:rFonts w:ascii="Arial" w:hAnsi="Arial" w:eastAsia="宋体" w:cs="Arial"/>
                <w:color w:val="auto"/>
                <w:szCs w:val="21"/>
                <w:highlight w:val="none"/>
              </w:rPr>
              <w:t>响应文件的响应情况</w:t>
            </w:r>
          </w:p>
        </w:tc>
        <w:tc>
          <w:tcPr>
            <w:tcW w:w="2014" w:type="dxa"/>
            <w:vAlign w:val="center"/>
          </w:tcPr>
          <w:p w14:paraId="4A7D6DEB">
            <w:pPr>
              <w:pStyle w:val="14"/>
              <w:spacing w:line="312" w:lineRule="auto"/>
              <w:jc w:val="center"/>
              <w:rPr>
                <w:rFonts w:ascii="Arial" w:hAnsi="Arial" w:eastAsia="宋体" w:cs="Arial"/>
                <w:color w:val="auto"/>
                <w:highlight w:val="none"/>
              </w:rPr>
            </w:pPr>
            <w:bookmarkStart w:id="43" w:name="_Toc254970701"/>
            <w:bookmarkStart w:id="44" w:name="_Toc254970560"/>
            <w:r>
              <w:rPr>
                <w:rFonts w:ascii="Arial" w:hAnsi="Arial" w:eastAsia="宋体" w:cs="Arial"/>
                <w:color w:val="auto"/>
                <w:highlight w:val="none"/>
              </w:rPr>
              <w:t>偏离情况</w:t>
            </w:r>
            <w:bookmarkEnd w:id="43"/>
            <w:bookmarkEnd w:id="44"/>
            <w:r>
              <w:rPr>
                <w:rFonts w:ascii="Arial" w:hAnsi="Arial" w:eastAsia="宋体" w:cs="Arial"/>
                <w:color w:val="auto"/>
                <w:highlight w:val="none"/>
              </w:rPr>
              <w:t>说明</w:t>
            </w:r>
          </w:p>
        </w:tc>
      </w:tr>
      <w:tr w14:paraId="66F09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080D1F65">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2079" w:type="dxa"/>
            <w:vAlign w:val="center"/>
          </w:tcPr>
          <w:p w14:paraId="7A7A1D36">
            <w:pPr>
              <w:spacing w:line="312" w:lineRule="auto"/>
              <w:jc w:val="center"/>
              <w:rPr>
                <w:rFonts w:ascii="Arial" w:hAnsi="Arial" w:eastAsia="宋体" w:cs="Arial"/>
                <w:color w:val="auto"/>
                <w:szCs w:val="21"/>
                <w:highlight w:val="none"/>
              </w:rPr>
            </w:pPr>
          </w:p>
        </w:tc>
        <w:tc>
          <w:tcPr>
            <w:tcW w:w="2326" w:type="dxa"/>
            <w:vAlign w:val="center"/>
          </w:tcPr>
          <w:p w14:paraId="39BF914F">
            <w:pPr>
              <w:spacing w:line="312" w:lineRule="auto"/>
              <w:rPr>
                <w:rFonts w:ascii="Arial" w:hAnsi="Arial" w:eastAsia="宋体" w:cs="Arial"/>
                <w:color w:val="auto"/>
                <w:highlight w:val="none"/>
              </w:rPr>
            </w:pPr>
          </w:p>
        </w:tc>
        <w:tc>
          <w:tcPr>
            <w:tcW w:w="1771" w:type="dxa"/>
          </w:tcPr>
          <w:p w14:paraId="053664BC">
            <w:pPr>
              <w:pStyle w:val="14"/>
              <w:spacing w:line="312" w:lineRule="auto"/>
              <w:jc w:val="center"/>
              <w:rPr>
                <w:rFonts w:ascii="Arial" w:hAnsi="Arial" w:eastAsia="宋体" w:cs="Arial"/>
                <w:color w:val="auto"/>
                <w:highlight w:val="none"/>
              </w:rPr>
            </w:pPr>
          </w:p>
        </w:tc>
        <w:tc>
          <w:tcPr>
            <w:tcW w:w="2014" w:type="dxa"/>
            <w:vAlign w:val="center"/>
          </w:tcPr>
          <w:p w14:paraId="12C33C64">
            <w:pPr>
              <w:pStyle w:val="14"/>
              <w:spacing w:line="312" w:lineRule="auto"/>
              <w:jc w:val="center"/>
              <w:rPr>
                <w:rFonts w:ascii="Arial" w:hAnsi="Arial" w:eastAsia="宋体" w:cs="Arial"/>
                <w:color w:val="auto"/>
                <w:highlight w:val="none"/>
              </w:rPr>
            </w:pPr>
          </w:p>
        </w:tc>
      </w:tr>
      <w:tr w14:paraId="71F83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36ACF2C3">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2079" w:type="dxa"/>
            <w:vAlign w:val="center"/>
          </w:tcPr>
          <w:p w14:paraId="23E9F5CA">
            <w:pPr>
              <w:spacing w:line="312" w:lineRule="auto"/>
              <w:jc w:val="center"/>
              <w:rPr>
                <w:rFonts w:ascii="Arial" w:hAnsi="Arial" w:eastAsia="宋体" w:cs="Arial"/>
                <w:color w:val="auto"/>
                <w:szCs w:val="21"/>
                <w:highlight w:val="none"/>
              </w:rPr>
            </w:pPr>
          </w:p>
        </w:tc>
        <w:tc>
          <w:tcPr>
            <w:tcW w:w="2326" w:type="dxa"/>
            <w:vAlign w:val="center"/>
          </w:tcPr>
          <w:p w14:paraId="6186FCC7">
            <w:pPr>
              <w:spacing w:line="312" w:lineRule="auto"/>
              <w:rPr>
                <w:rFonts w:ascii="Arial" w:hAnsi="Arial" w:eastAsia="宋体" w:cs="Arial"/>
                <w:color w:val="auto"/>
                <w:highlight w:val="none"/>
              </w:rPr>
            </w:pPr>
          </w:p>
        </w:tc>
        <w:tc>
          <w:tcPr>
            <w:tcW w:w="1771" w:type="dxa"/>
          </w:tcPr>
          <w:p w14:paraId="129C598E">
            <w:pPr>
              <w:pStyle w:val="14"/>
              <w:spacing w:line="312" w:lineRule="auto"/>
              <w:jc w:val="center"/>
              <w:rPr>
                <w:rFonts w:ascii="Arial" w:hAnsi="Arial" w:eastAsia="宋体" w:cs="Arial"/>
                <w:color w:val="auto"/>
                <w:highlight w:val="none"/>
              </w:rPr>
            </w:pPr>
          </w:p>
        </w:tc>
        <w:tc>
          <w:tcPr>
            <w:tcW w:w="2014" w:type="dxa"/>
            <w:vAlign w:val="center"/>
          </w:tcPr>
          <w:p w14:paraId="13244859">
            <w:pPr>
              <w:pStyle w:val="14"/>
              <w:spacing w:line="312" w:lineRule="auto"/>
              <w:jc w:val="center"/>
              <w:rPr>
                <w:rFonts w:ascii="Arial" w:hAnsi="Arial" w:eastAsia="宋体" w:cs="Arial"/>
                <w:color w:val="auto"/>
                <w:highlight w:val="none"/>
              </w:rPr>
            </w:pPr>
          </w:p>
        </w:tc>
      </w:tr>
      <w:tr w14:paraId="6F1F9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5A0E9EB2">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2079" w:type="dxa"/>
            <w:vAlign w:val="center"/>
          </w:tcPr>
          <w:p w14:paraId="7DEB072D">
            <w:pPr>
              <w:spacing w:line="312" w:lineRule="auto"/>
              <w:jc w:val="center"/>
              <w:rPr>
                <w:rFonts w:ascii="Arial" w:hAnsi="Arial" w:eastAsia="宋体" w:cs="Arial"/>
                <w:bCs/>
                <w:color w:val="auto"/>
                <w:szCs w:val="21"/>
                <w:highlight w:val="none"/>
              </w:rPr>
            </w:pPr>
          </w:p>
        </w:tc>
        <w:tc>
          <w:tcPr>
            <w:tcW w:w="2326" w:type="dxa"/>
            <w:vAlign w:val="center"/>
          </w:tcPr>
          <w:p w14:paraId="3C7F347F">
            <w:pPr>
              <w:spacing w:line="312" w:lineRule="auto"/>
              <w:rPr>
                <w:rFonts w:ascii="Arial" w:hAnsi="Arial" w:eastAsia="宋体" w:cs="Arial"/>
                <w:color w:val="auto"/>
                <w:highlight w:val="none"/>
              </w:rPr>
            </w:pPr>
          </w:p>
        </w:tc>
        <w:tc>
          <w:tcPr>
            <w:tcW w:w="1771" w:type="dxa"/>
          </w:tcPr>
          <w:p w14:paraId="770DBC62">
            <w:pPr>
              <w:pStyle w:val="14"/>
              <w:spacing w:line="312" w:lineRule="auto"/>
              <w:jc w:val="center"/>
              <w:rPr>
                <w:rFonts w:ascii="Arial" w:hAnsi="Arial" w:eastAsia="宋体" w:cs="Arial"/>
                <w:color w:val="auto"/>
                <w:highlight w:val="none"/>
              </w:rPr>
            </w:pPr>
          </w:p>
        </w:tc>
        <w:tc>
          <w:tcPr>
            <w:tcW w:w="2014" w:type="dxa"/>
            <w:vAlign w:val="center"/>
          </w:tcPr>
          <w:p w14:paraId="6500EA0B">
            <w:pPr>
              <w:pStyle w:val="14"/>
              <w:spacing w:line="312" w:lineRule="auto"/>
              <w:jc w:val="center"/>
              <w:rPr>
                <w:rFonts w:ascii="Arial" w:hAnsi="Arial" w:eastAsia="宋体" w:cs="Arial"/>
                <w:color w:val="auto"/>
                <w:highlight w:val="none"/>
              </w:rPr>
            </w:pPr>
          </w:p>
        </w:tc>
      </w:tr>
      <w:tr w14:paraId="5BA1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2B090F46">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2079" w:type="dxa"/>
            <w:vAlign w:val="center"/>
          </w:tcPr>
          <w:p w14:paraId="159BAA81">
            <w:pPr>
              <w:spacing w:line="312" w:lineRule="auto"/>
              <w:jc w:val="center"/>
              <w:rPr>
                <w:rFonts w:ascii="Arial" w:hAnsi="Arial" w:eastAsia="宋体" w:cs="Arial"/>
                <w:bCs/>
                <w:color w:val="auto"/>
                <w:szCs w:val="21"/>
                <w:highlight w:val="none"/>
              </w:rPr>
            </w:pPr>
          </w:p>
        </w:tc>
        <w:tc>
          <w:tcPr>
            <w:tcW w:w="2326" w:type="dxa"/>
            <w:vAlign w:val="center"/>
          </w:tcPr>
          <w:p w14:paraId="0FE8C193">
            <w:pPr>
              <w:spacing w:line="312" w:lineRule="auto"/>
              <w:rPr>
                <w:rFonts w:ascii="Arial" w:hAnsi="Arial" w:eastAsia="宋体" w:cs="Arial"/>
                <w:color w:val="auto"/>
                <w:highlight w:val="none"/>
              </w:rPr>
            </w:pPr>
          </w:p>
        </w:tc>
        <w:tc>
          <w:tcPr>
            <w:tcW w:w="1771" w:type="dxa"/>
          </w:tcPr>
          <w:p w14:paraId="6F56EC68">
            <w:pPr>
              <w:pStyle w:val="14"/>
              <w:spacing w:line="312" w:lineRule="auto"/>
              <w:jc w:val="center"/>
              <w:rPr>
                <w:rFonts w:ascii="Arial" w:hAnsi="Arial" w:eastAsia="宋体" w:cs="Arial"/>
                <w:color w:val="auto"/>
                <w:highlight w:val="none"/>
              </w:rPr>
            </w:pPr>
          </w:p>
        </w:tc>
        <w:tc>
          <w:tcPr>
            <w:tcW w:w="2014" w:type="dxa"/>
            <w:vAlign w:val="center"/>
          </w:tcPr>
          <w:p w14:paraId="74B840F9">
            <w:pPr>
              <w:pStyle w:val="14"/>
              <w:spacing w:line="312" w:lineRule="auto"/>
              <w:jc w:val="center"/>
              <w:rPr>
                <w:rFonts w:ascii="Arial" w:hAnsi="Arial" w:eastAsia="宋体" w:cs="Arial"/>
                <w:color w:val="auto"/>
                <w:highlight w:val="none"/>
              </w:rPr>
            </w:pPr>
          </w:p>
        </w:tc>
      </w:tr>
      <w:tr w14:paraId="61DB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5DA812A0">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2079" w:type="dxa"/>
            <w:vAlign w:val="center"/>
          </w:tcPr>
          <w:p w14:paraId="13DF775E">
            <w:pPr>
              <w:spacing w:line="312" w:lineRule="auto"/>
              <w:jc w:val="center"/>
              <w:rPr>
                <w:rFonts w:ascii="Arial" w:hAnsi="Arial" w:eastAsia="宋体" w:cs="Arial"/>
                <w:bCs/>
                <w:color w:val="auto"/>
                <w:szCs w:val="21"/>
                <w:highlight w:val="none"/>
              </w:rPr>
            </w:pPr>
          </w:p>
        </w:tc>
        <w:tc>
          <w:tcPr>
            <w:tcW w:w="2326" w:type="dxa"/>
            <w:vAlign w:val="center"/>
          </w:tcPr>
          <w:p w14:paraId="7EF3128F">
            <w:pPr>
              <w:spacing w:line="312" w:lineRule="auto"/>
              <w:rPr>
                <w:rFonts w:ascii="Arial" w:hAnsi="Arial" w:eastAsia="宋体" w:cs="Arial"/>
                <w:color w:val="auto"/>
                <w:highlight w:val="none"/>
              </w:rPr>
            </w:pPr>
          </w:p>
        </w:tc>
        <w:tc>
          <w:tcPr>
            <w:tcW w:w="1771" w:type="dxa"/>
          </w:tcPr>
          <w:p w14:paraId="4E1BE7BE">
            <w:pPr>
              <w:pStyle w:val="14"/>
              <w:spacing w:line="312" w:lineRule="auto"/>
              <w:jc w:val="center"/>
              <w:rPr>
                <w:rFonts w:ascii="Arial" w:hAnsi="Arial" w:eastAsia="宋体" w:cs="Arial"/>
                <w:color w:val="auto"/>
                <w:highlight w:val="none"/>
              </w:rPr>
            </w:pPr>
          </w:p>
        </w:tc>
        <w:tc>
          <w:tcPr>
            <w:tcW w:w="2014" w:type="dxa"/>
            <w:vAlign w:val="center"/>
          </w:tcPr>
          <w:p w14:paraId="1F963E2A">
            <w:pPr>
              <w:pStyle w:val="14"/>
              <w:spacing w:line="312" w:lineRule="auto"/>
              <w:jc w:val="center"/>
              <w:rPr>
                <w:rFonts w:ascii="Arial" w:hAnsi="Arial" w:eastAsia="宋体" w:cs="Arial"/>
                <w:color w:val="auto"/>
                <w:highlight w:val="none"/>
              </w:rPr>
            </w:pPr>
          </w:p>
        </w:tc>
      </w:tr>
    </w:tbl>
    <w:p w14:paraId="4073EFF5">
      <w:pPr>
        <w:pStyle w:val="14"/>
        <w:spacing w:line="312" w:lineRule="auto"/>
        <w:rPr>
          <w:rFonts w:ascii="Arial" w:hAnsi="Arial" w:eastAsia="宋体" w:cs="Arial"/>
          <w:color w:val="auto"/>
          <w:highlight w:val="none"/>
          <w:u w:val="single"/>
        </w:rPr>
      </w:pPr>
    </w:p>
    <w:p w14:paraId="3AC959BA">
      <w:pPr>
        <w:snapToGrid w:val="0"/>
        <w:spacing w:line="312" w:lineRule="auto"/>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59841899">
      <w:pPr>
        <w:pStyle w:val="14"/>
        <w:spacing w:line="312" w:lineRule="auto"/>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3BB0923B">
      <w:pPr>
        <w:pStyle w:val="14"/>
        <w:spacing w:line="312" w:lineRule="auto"/>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7FE6A371">
      <w:pPr>
        <w:pStyle w:val="14"/>
        <w:spacing w:line="312" w:lineRule="auto"/>
        <w:ind w:left="420" w:hanging="420" w:hangingChars="200"/>
        <w:rPr>
          <w:rFonts w:ascii="Arial" w:hAnsi="Arial" w:eastAsia="宋体" w:cs="Arial"/>
          <w:bCs/>
          <w:color w:val="auto"/>
          <w:szCs w:val="21"/>
          <w:highlight w:val="none"/>
        </w:rPr>
      </w:pPr>
    </w:p>
    <w:p w14:paraId="4E19273A">
      <w:pPr>
        <w:pStyle w:val="14"/>
        <w:spacing w:line="312" w:lineRule="auto"/>
        <w:ind w:left="420" w:hanging="420" w:hangingChars="200"/>
        <w:rPr>
          <w:rFonts w:ascii="Arial" w:hAnsi="Arial" w:eastAsia="宋体" w:cs="Arial"/>
          <w:bCs/>
          <w:color w:val="auto"/>
          <w:szCs w:val="21"/>
          <w:highlight w:val="none"/>
        </w:rPr>
      </w:pPr>
    </w:p>
    <w:p w14:paraId="3602BB9B">
      <w:pPr>
        <w:pStyle w:val="14"/>
        <w:spacing w:line="312" w:lineRule="auto"/>
        <w:ind w:left="420" w:hanging="420" w:hangingChars="200"/>
        <w:rPr>
          <w:rFonts w:ascii="Arial" w:hAnsi="Arial" w:eastAsia="宋体" w:cs="Arial"/>
          <w:bCs/>
          <w:color w:val="auto"/>
          <w:szCs w:val="21"/>
          <w:highlight w:val="none"/>
        </w:rPr>
      </w:pPr>
      <w:r>
        <w:rPr>
          <w:rFonts w:ascii="Arial" w:hAnsi="Arial" w:eastAsia="宋体" w:cs="Arial"/>
          <w:bCs/>
          <w:color w:val="auto"/>
          <w:szCs w:val="21"/>
          <w:highlight w:val="none"/>
        </w:rPr>
        <w:t>注：1.</w:t>
      </w:r>
      <w:r>
        <w:rPr>
          <w:rFonts w:ascii="Arial" w:hAnsi="Arial" w:eastAsia="宋体" w:cs="Arial"/>
          <w:color w:val="auto"/>
          <w:highlight w:val="none"/>
        </w:rPr>
        <w:t xml:space="preserve"> 供应商应根据提供货物的性能指标承诺（即：谈判报价表）、对照“项目采购需求”详细注明响应情况，并按格式填写此表，当所提供货物的技术参数性能指标等承诺出现“正偏离”情况时，应详</w:t>
      </w:r>
      <w:r>
        <w:rPr>
          <w:rFonts w:ascii="Arial" w:hAnsi="Arial" w:eastAsia="宋体" w:cs="Arial"/>
          <w:bCs/>
          <w:color w:val="auto"/>
          <w:szCs w:val="21"/>
          <w:highlight w:val="none"/>
        </w:rPr>
        <w:t>细填写偏离情况说明及提供相应有效的证明材料；经谈判小组审核确定“正偏离”情况。</w:t>
      </w:r>
    </w:p>
    <w:p w14:paraId="21E3F37D">
      <w:pPr>
        <w:pStyle w:val="14"/>
        <w:spacing w:line="312" w:lineRule="auto"/>
        <w:ind w:left="420" w:leftChars="200"/>
        <w:rPr>
          <w:rFonts w:ascii="Arial" w:hAnsi="Arial" w:eastAsia="宋体" w:cs="Arial"/>
          <w:bCs/>
          <w:color w:val="auto"/>
          <w:szCs w:val="21"/>
          <w:highlight w:val="none"/>
        </w:rPr>
      </w:pPr>
    </w:p>
    <w:p w14:paraId="4100D582">
      <w:pPr>
        <w:adjustRightInd w:val="0"/>
        <w:spacing w:line="312" w:lineRule="auto"/>
        <w:rPr>
          <w:rFonts w:ascii="Arial" w:hAnsi="Arial" w:eastAsia="宋体" w:cs="Arial"/>
          <w:b/>
          <w:color w:val="auto"/>
          <w:sz w:val="28"/>
          <w:szCs w:val="28"/>
          <w:highlight w:val="none"/>
        </w:rPr>
      </w:pPr>
      <w:r>
        <w:rPr>
          <w:rFonts w:ascii="Arial" w:hAnsi="Arial" w:eastAsia="宋体" w:cs="Arial"/>
          <w:color w:val="auto"/>
          <w:highlight w:val="none"/>
        </w:rPr>
        <w:br w:type="page"/>
      </w:r>
      <w:r>
        <w:rPr>
          <w:rFonts w:ascii="Arial" w:hAnsi="Arial" w:eastAsia="宋体" w:cs="Arial"/>
          <w:b/>
          <w:color w:val="auto"/>
          <w:sz w:val="28"/>
          <w:szCs w:val="28"/>
          <w:highlight w:val="none"/>
        </w:rPr>
        <w:t>3.</w:t>
      </w:r>
      <w:r>
        <w:rPr>
          <w:rFonts w:ascii="Arial" w:hAnsi="Arial" w:eastAsia="宋体" w:cs="Arial"/>
          <w:color w:val="auto"/>
          <w:highlight w:val="none"/>
        </w:rPr>
        <w:t xml:space="preserve"> </w:t>
      </w:r>
      <w:r>
        <w:rPr>
          <w:rFonts w:ascii="Arial" w:hAnsi="Arial" w:eastAsia="宋体" w:cs="Arial"/>
          <w:b/>
          <w:color w:val="auto"/>
          <w:sz w:val="28"/>
          <w:szCs w:val="28"/>
          <w:highlight w:val="none"/>
        </w:rPr>
        <w:t>供应商的项目实施方案（必须提供）</w:t>
      </w:r>
    </w:p>
    <w:p w14:paraId="580BA08F">
      <w:pPr>
        <w:adjustRightInd w:val="0"/>
        <w:spacing w:line="312" w:lineRule="auto"/>
        <w:rPr>
          <w:rFonts w:ascii="Arial" w:hAnsi="Arial" w:eastAsia="宋体" w:cs="Arial"/>
          <w:b/>
          <w:bCs/>
          <w:color w:val="auto"/>
          <w:sz w:val="32"/>
          <w:szCs w:val="32"/>
          <w:highlight w:val="none"/>
        </w:rPr>
      </w:pPr>
      <w:bookmarkStart w:id="45" w:name="_Toc24467"/>
      <w:bookmarkStart w:id="46" w:name="_Toc30843"/>
      <w:bookmarkStart w:id="47" w:name="_Toc7206"/>
      <w:r>
        <w:rPr>
          <w:rFonts w:ascii="Arial" w:hAnsi="Arial" w:eastAsia="宋体" w:cs="Arial"/>
          <w:b/>
          <w:bCs/>
          <w:color w:val="auto"/>
          <w:sz w:val="32"/>
          <w:szCs w:val="32"/>
          <w:highlight w:val="none"/>
        </w:rPr>
        <w:t>附件：</w:t>
      </w:r>
      <w:bookmarkEnd w:id="45"/>
      <w:bookmarkEnd w:id="46"/>
      <w:bookmarkEnd w:id="47"/>
    </w:p>
    <w:p w14:paraId="511B80F7">
      <w:pPr>
        <w:pStyle w:val="14"/>
        <w:spacing w:line="312" w:lineRule="auto"/>
        <w:ind w:firstLine="3213" w:firstLineChars="1000"/>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项目实施方案（格式）</w:t>
      </w:r>
    </w:p>
    <w:p w14:paraId="272F569A">
      <w:pPr>
        <w:pStyle w:val="33"/>
        <w:spacing w:line="312" w:lineRule="auto"/>
        <w:rPr>
          <w:rFonts w:ascii="Arial" w:hAnsi="Arial" w:cs="Arial"/>
          <w:b/>
          <w:bCs w:val="0"/>
          <w:color w:val="auto"/>
          <w:sz w:val="28"/>
          <w:szCs w:val="28"/>
          <w:highlight w:val="none"/>
        </w:rPr>
      </w:pPr>
    </w:p>
    <w:p w14:paraId="5E1A27BD">
      <w:pPr>
        <w:pStyle w:val="33"/>
        <w:spacing w:line="312" w:lineRule="auto"/>
        <w:rPr>
          <w:rFonts w:ascii="Arial" w:hAnsi="Arial" w:cs="Arial"/>
          <w:b/>
          <w:bCs w:val="0"/>
          <w:color w:val="auto"/>
          <w:sz w:val="28"/>
          <w:szCs w:val="28"/>
          <w:highlight w:val="none"/>
        </w:rPr>
      </w:pPr>
    </w:p>
    <w:p w14:paraId="2C7356AD">
      <w:pPr>
        <w:snapToGrid w:val="0"/>
        <w:spacing w:line="312" w:lineRule="auto"/>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5FD0FC98">
      <w:pPr>
        <w:pStyle w:val="14"/>
        <w:spacing w:line="312" w:lineRule="auto"/>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6F773393">
      <w:pPr>
        <w:pStyle w:val="14"/>
        <w:spacing w:line="312" w:lineRule="auto"/>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4B027EDF">
      <w:pPr>
        <w:pStyle w:val="14"/>
        <w:spacing w:line="312" w:lineRule="auto"/>
        <w:rPr>
          <w:rFonts w:ascii="Arial" w:hAnsi="Arial" w:eastAsia="宋体" w:cs="Arial"/>
          <w:b/>
          <w:color w:val="auto"/>
          <w:sz w:val="28"/>
          <w:szCs w:val="28"/>
          <w:highlight w:val="none"/>
        </w:rPr>
      </w:pPr>
    </w:p>
    <w:p w14:paraId="39C9FD37">
      <w:pPr>
        <w:pStyle w:val="14"/>
        <w:spacing w:line="312" w:lineRule="auto"/>
        <w:rPr>
          <w:rFonts w:ascii="Arial" w:hAnsi="Arial" w:eastAsia="宋体" w:cs="Arial"/>
          <w:b/>
          <w:color w:val="auto"/>
          <w:sz w:val="28"/>
          <w:szCs w:val="28"/>
          <w:highlight w:val="none"/>
        </w:rPr>
      </w:pPr>
    </w:p>
    <w:p w14:paraId="1503F668">
      <w:pPr>
        <w:pStyle w:val="14"/>
        <w:spacing w:line="312" w:lineRule="auto"/>
        <w:rPr>
          <w:rFonts w:ascii="Arial" w:hAnsi="Arial" w:eastAsia="宋体" w:cs="Arial"/>
          <w:b/>
          <w:color w:val="auto"/>
          <w:sz w:val="28"/>
          <w:szCs w:val="28"/>
          <w:highlight w:val="none"/>
        </w:rPr>
      </w:pPr>
    </w:p>
    <w:p w14:paraId="5410BBF0">
      <w:pPr>
        <w:pStyle w:val="14"/>
        <w:spacing w:line="312" w:lineRule="auto"/>
        <w:rPr>
          <w:rFonts w:ascii="Arial" w:hAnsi="Arial" w:eastAsia="宋体" w:cs="Arial"/>
          <w:b/>
          <w:color w:val="auto"/>
          <w:sz w:val="28"/>
          <w:szCs w:val="28"/>
          <w:highlight w:val="none"/>
        </w:rPr>
      </w:pPr>
    </w:p>
    <w:p w14:paraId="2106BCF5">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1A8BC385">
      <w:pPr>
        <w:pStyle w:val="14"/>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4.供应商的售后服务承诺书（必须提供）</w:t>
      </w:r>
    </w:p>
    <w:p w14:paraId="7ED887D9">
      <w:pPr>
        <w:pStyle w:val="14"/>
        <w:spacing w:line="312" w:lineRule="auto"/>
        <w:rPr>
          <w:rFonts w:ascii="Arial" w:hAnsi="Arial" w:eastAsia="宋体" w:cs="Arial"/>
          <w:b/>
          <w:bCs/>
          <w:color w:val="auto"/>
          <w:sz w:val="32"/>
          <w:szCs w:val="32"/>
          <w:highlight w:val="none"/>
        </w:rPr>
      </w:pPr>
      <w:bookmarkStart w:id="48" w:name="_Toc9802"/>
      <w:bookmarkStart w:id="49" w:name="_Toc16312"/>
      <w:bookmarkStart w:id="50" w:name="_Toc3847"/>
      <w:r>
        <w:rPr>
          <w:rFonts w:ascii="Arial" w:hAnsi="Arial" w:eastAsia="宋体" w:cs="Arial"/>
          <w:b/>
          <w:bCs/>
          <w:color w:val="auto"/>
          <w:sz w:val="32"/>
          <w:szCs w:val="32"/>
          <w:highlight w:val="none"/>
        </w:rPr>
        <w:t>附件：</w:t>
      </w:r>
      <w:bookmarkEnd w:id="48"/>
      <w:bookmarkEnd w:id="49"/>
      <w:bookmarkEnd w:id="50"/>
    </w:p>
    <w:p w14:paraId="53E09B6C">
      <w:pPr>
        <w:pStyle w:val="14"/>
        <w:spacing w:line="312" w:lineRule="auto"/>
        <w:ind w:firstLine="2731" w:firstLineChars="850"/>
        <w:rPr>
          <w:rFonts w:ascii="Arial" w:hAnsi="Arial" w:eastAsia="宋体" w:cs="Arial"/>
          <w:b/>
          <w:bCs/>
          <w:color w:val="auto"/>
          <w:sz w:val="32"/>
          <w:szCs w:val="32"/>
          <w:highlight w:val="none"/>
        </w:rPr>
      </w:pPr>
      <w:bookmarkStart w:id="51" w:name="OLE_LINK10"/>
      <w:r>
        <w:rPr>
          <w:rFonts w:ascii="Arial" w:hAnsi="Arial" w:eastAsia="宋体" w:cs="Arial"/>
          <w:b/>
          <w:bCs/>
          <w:color w:val="auto"/>
          <w:sz w:val="32"/>
          <w:szCs w:val="32"/>
          <w:highlight w:val="none"/>
        </w:rPr>
        <w:t>售后服务承诺</w:t>
      </w:r>
      <w:bookmarkEnd w:id="51"/>
      <w:r>
        <w:rPr>
          <w:rFonts w:ascii="Arial" w:hAnsi="Arial" w:eastAsia="宋体" w:cs="Arial"/>
          <w:b/>
          <w:bCs/>
          <w:color w:val="auto"/>
          <w:sz w:val="32"/>
          <w:szCs w:val="32"/>
          <w:highlight w:val="none"/>
        </w:rPr>
        <w:t>书（格式）</w:t>
      </w:r>
    </w:p>
    <w:p w14:paraId="6AB7675B">
      <w:pPr>
        <w:pStyle w:val="14"/>
        <w:spacing w:line="312" w:lineRule="auto"/>
        <w:ind w:firstLine="2731" w:firstLineChars="850"/>
        <w:rPr>
          <w:rFonts w:ascii="Arial" w:hAnsi="Arial" w:eastAsia="宋体" w:cs="Arial"/>
          <w:b/>
          <w:bCs/>
          <w:color w:val="auto"/>
          <w:sz w:val="32"/>
          <w:szCs w:val="32"/>
          <w:highlight w:val="none"/>
        </w:rPr>
      </w:pPr>
    </w:p>
    <w:p w14:paraId="19050832">
      <w:pPr>
        <w:snapToGrid w:val="0"/>
        <w:spacing w:line="312" w:lineRule="auto"/>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 1.三包及质保期要求：按国家有关产品“三包”规定执行“三包”，质保期</w:t>
      </w:r>
      <w:r>
        <w:rPr>
          <w:rFonts w:ascii="Arial" w:hAnsi="Arial" w:eastAsia="宋体" w:cs="Arial"/>
          <w:color w:val="auto"/>
          <w:kern w:val="0"/>
          <w:szCs w:val="21"/>
          <w:highlight w:val="none"/>
          <w:u w:val="single"/>
        </w:rPr>
        <w:t xml:space="preserve">        </w:t>
      </w:r>
      <w:r>
        <w:rPr>
          <w:rFonts w:ascii="Arial" w:hAnsi="Arial" w:eastAsia="宋体" w:cs="Arial"/>
          <w:color w:val="auto"/>
          <w:kern w:val="0"/>
          <w:szCs w:val="21"/>
          <w:highlight w:val="none"/>
        </w:rPr>
        <w:t>年（</w:t>
      </w:r>
      <w:r>
        <w:rPr>
          <w:rFonts w:ascii="Arial" w:hAnsi="Arial" w:eastAsia="宋体" w:cs="Arial"/>
          <w:bCs/>
          <w:color w:val="auto"/>
          <w:szCs w:val="21"/>
          <w:highlight w:val="none"/>
        </w:rPr>
        <w:t>免费保修期从设备验收合格之日起计算，项目要求及技术需求中规定的，按规定执行</w:t>
      </w:r>
      <w:r>
        <w:rPr>
          <w:rFonts w:ascii="Arial" w:hAnsi="Arial" w:eastAsia="宋体" w:cs="Arial"/>
          <w:color w:val="auto"/>
          <w:kern w:val="0"/>
          <w:szCs w:val="21"/>
          <w:highlight w:val="none"/>
        </w:rPr>
        <w:t>）。</w:t>
      </w:r>
      <w:r>
        <w:rPr>
          <w:rFonts w:ascii="Arial" w:hAnsi="Arial" w:eastAsia="宋体" w:cs="Arial"/>
          <w:color w:val="auto"/>
          <w:highlight w:val="none"/>
        </w:rPr>
        <w:t>质保期内提供上门维修（免收维修费和元器件费）、更换零部件，并提供终身维修服务。</w:t>
      </w:r>
    </w:p>
    <w:p w14:paraId="71181C7C">
      <w:pPr>
        <w:snapToGrid w:val="0"/>
        <w:spacing w:line="312" w:lineRule="auto"/>
        <w:ind w:firstLine="210" w:firstLineChars="100"/>
        <w:rPr>
          <w:rFonts w:ascii="Arial" w:hAnsi="Arial" w:eastAsia="宋体" w:cs="Arial"/>
          <w:color w:val="auto"/>
          <w:kern w:val="0"/>
          <w:szCs w:val="21"/>
          <w:highlight w:val="none"/>
        </w:rPr>
      </w:pPr>
      <w:r>
        <w:rPr>
          <w:rFonts w:ascii="Arial" w:hAnsi="Arial" w:eastAsia="宋体" w:cs="Arial"/>
          <w:color w:val="auto"/>
          <w:kern w:val="0"/>
          <w:szCs w:val="21"/>
          <w:highlight w:val="none"/>
        </w:rPr>
        <w:t>2.</w:t>
      </w:r>
      <w:r>
        <w:rPr>
          <w:rFonts w:ascii="Arial" w:hAnsi="Arial" w:eastAsia="宋体" w:cs="Arial"/>
          <w:color w:val="auto"/>
          <w:szCs w:val="21"/>
          <w:highlight w:val="none"/>
        </w:rPr>
        <w:t>免费送货上门，免费按采购人要求安装调试，免费技术培训，直至操作人员熟练操作产品的各项功能</w:t>
      </w:r>
      <w:r>
        <w:rPr>
          <w:rFonts w:ascii="Arial" w:hAnsi="Arial" w:eastAsia="宋体" w:cs="Arial"/>
          <w:color w:val="auto"/>
          <w:kern w:val="0"/>
          <w:szCs w:val="21"/>
          <w:highlight w:val="none"/>
        </w:rPr>
        <w:t>。</w:t>
      </w:r>
    </w:p>
    <w:p w14:paraId="4509B556">
      <w:pPr>
        <w:snapToGrid w:val="0"/>
        <w:spacing w:line="312" w:lineRule="auto"/>
        <w:ind w:firstLine="210" w:firstLineChars="100"/>
        <w:rPr>
          <w:rFonts w:ascii="Arial" w:hAnsi="Arial" w:eastAsia="宋体" w:cs="Arial"/>
          <w:color w:val="auto"/>
          <w:kern w:val="0"/>
          <w:szCs w:val="21"/>
          <w:highlight w:val="none"/>
        </w:rPr>
      </w:pPr>
      <w:r>
        <w:rPr>
          <w:rFonts w:ascii="Arial" w:hAnsi="Arial" w:eastAsia="宋体" w:cs="Arial"/>
          <w:color w:val="auto"/>
          <w:kern w:val="0"/>
          <w:szCs w:val="21"/>
          <w:highlight w:val="none"/>
        </w:rPr>
        <w:t>3.售后服务要求：</w:t>
      </w:r>
      <w:r>
        <w:rPr>
          <w:rFonts w:ascii="Arial" w:hAnsi="Arial" w:eastAsia="宋体" w:cs="Arial"/>
          <w:color w:val="auto"/>
          <w:szCs w:val="21"/>
          <w:highlight w:val="none"/>
        </w:rPr>
        <w:t>①免费保修期内接到报障电话在承诺时间内派工程技术人员上门维修解决问题，如果需要更换配件的，要求更换的配件应跟被更换的品牌、类型相一致或者是同类同档次的替代品，后者需征得用户方管理人员同意；②若</w:t>
      </w:r>
      <w:r>
        <w:rPr>
          <w:rFonts w:ascii="Arial" w:hAnsi="Arial" w:eastAsia="宋体" w:cs="Arial"/>
          <w:color w:val="auto"/>
          <w:szCs w:val="21"/>
          <w:highlight w:val="none"/>
          <w:lang w:val="zh-CN"/>
        </w:rPr>
        <w:t>产品自带</w:t>
      </w:r>
      <w:r>
        <w:rPr>
          <w:rFonts w:ascii="Arial" w:hAnsi="Arial" w:eastAsia="宋体" w:cs="Arial"/>
          <w:color w:val="auto"/>
          <w:szCs w:val="21"/>
          <w:highlight w:val="none"/>
        </w:rPr>
        <w:t>软件的，则须提供免费保修期内免费升级服务；任何时候，软件系统出现安全漏洞、系统BUG，乙方要免费及时加固和封堵漏洞、修复BUG，保障网络安全。③其余按厂家承诺执行</w:t>
      </w:r>
      <w:r>
        <w:rPr>
          <w:rFonts w:ascii="Arial" w:hAnsi="Arial" w:eastAsia="宋体" w:cs="Arial"/>
          <w:color w:val="auto"/>
          <w:kern w:val="0"/>
          <w:szCs w:val="21"/>
          <w:highlight w:val="none"/>
        </w:rPr>
        <w:t>。</w:t>
      </w:r>
    </w:p>
    <w:p w14:paraId="207E7A7D">
      <w:pPr>
        <w:snapToGrid w:val="0"/>
        <w:spacing w:line="312" w:lineRule="auto"/>
        <w:ind w:firstLine="210" w:firstLineChars="100"/>
        <w:rPr>
          <w:rFonts w:ascii="Arial" w:hAnsi="Arial" w:eastAsia="宋体" w:cs="Arial"/>
          <w:color w:val="auto"/>
          <w:kern w:val="0"/>
          <w:szCs w:val="21"/>
          <w:highlight w:val="none"/>
        </w:rPr>
      </w:pPr>
      <w:r>
        <w:rPr>
          <w:rFonts w:hint="eastAsia" w:ascii="Arial" w:hAnsi="Arial" w:eastAsia="宋体" w:cs="Arial"/>
          <w:color w:val="auto"/>
          <w:kern w:val="0"/>
          <w:szCs w:val="21"/>
          <w:highlight w:val="none"/>
        </w:rPr>
        <w:t>......</w:t>
      </w:r>
    </w:p>
    <w:p w14:paraId="2F2DC382">
      <w:pPr>
        <w:snapToGrid w:val="0"/>
        <w:spacing w:line="312" w:lineRule="auto"/>
        <w:ind w:firstLine="3570" w:firstLineChars="1700"/>
        <w:rPr>
          <w:rFonts w:ascii="Arial" w:hAnsi="Arial" w:eastAsia="宋体" w:cs="Arial"/>
          <w:color w:val="auto"/>
          <w:kern w:val="0"/>
          <w:szCs w:val="21"/>
          <w:highlight w:val="none"/>
        </w:rPr>
      </w:pPr>
    </w:p>
    <w:p w14:paraId="09B2319D">
      <w:pPr>
        <w:snapToGrid w:val="0"/>
        <w:spacing w:line="312" w:lineRule="auto"/>
        <w:ind w:firstLine="3570" w:firstLineChars="1700"/>
        <w:rPr>
          <w:rFonts w:ascii="Arial" w:hAnsi="Arial" w:eastAsia="宋体" w:cs="Arial"/>
          <w:color w:val="auto"/>
          <w:kern w:val="0"/>
          <w:szCs w:val="21"/>
          <w:highlight w:val="none"/>
        </w:rPr>
      </w:pPr>
    </w:p>
    <w:p w14:paraId="14261048">
      <w:pPr>
        <w:snapToGrid w:val="0"/>
        <w:spacing w:line="312" w:lineRule="auto"/>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134B4F22">
      <w:pPr>
        <w:pStyle w:val="14"/>
        <w:spacing w:line="312" w:lineRule="auto"/>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4B278EF0">
      <w:pPr>
        <w:pStyle w:val="14"/>
        <w:spacing w:line="312" w:lineRule="auto"/>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47A360E2">
      <w:pPr>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61C893D1">
      <w:pPr>
        <w:pStyle w:val="14"/>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5.商务响应表（必须提供）</w:t>
      </w:r>
    </w:p>
    <w:p w14:paraId="66DBB155">
      <w:pPr>
        <w:pStyle w:val="14"/>
        <w:spacing w:line="312" w:lineRule="auto"/>
        <w:rPr>
          <w:rFonts w:ascii="Arial" w:hAnsi="Arial" w:eastAsia="宋体" w:cs="Arial"/>
          <w:b/>
          <w:color w:val="auto"/>
          <w:sz w:val="28"/>
          <w:szCs w:val="28"/>
          <w:highlight w:val="none"/>
        </w:rPr>
      </w:pPr>
    </w:p>
    <w:p w14:paraId="152F061D">
      <w:pPr>
        <w:pStyle w:val="14"/>
        <w:spacing w:line="312" w:lineRule="auto"/>
        <w:rPr>
          <w:rFonts w:ascii="Arial" w:hAnsi="Arial" w:eastAsia="宋体" w:cs="Arial"/>
          <w:b/>
          <w:bCs/>
          <w:color w:val="auto"/>
          <w:sz w:val="32"/>
          <w:szCs w:val="32"/>
          <w:highlight w:val="none"/>
        </w:rPr>
      </w:pPr>
      <w:bookmarkStart w:id="52" w:name="_Toc8710"/>
      <w:bookmarkStart w:id="53" w:name="_Toc374"/>
      <w:bookmarkStart w:id="54" w:name="_Toc11787"/>
      <w:r>
        <w:rPr>
          <w:rFonts w:ascii="Arial" w:hAnsi="Arial" w:eastAsia="宋体" w:cs="Arial"/>
          <w:b/>
          <w:bCs/>
          <w:color w:val="auto"/>
          <w:sz w:val="32"/>
          <w:szCs w:val="32"/>
          <w:highlight w:val="none"/>
        </w:rPr>
        <w:t>附件：</w:t>
      </w:r>
      <w:bookmarkEnd w:id="52"/>
      <w:bookmarkEnd w:id="53"/>
      <w:bookmarkEnd w:id="54"/>
    </w:p>
    <w:p w14:paraId="480A4028">
      <w:pPr>
        <w:pStyle w:val="14"/>
        <w:spacing w:line="312" w:lineRule="auto"/>
        <w:ind w:firstLine="2731" w:firstLineChars="850"/>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商务响应表（格式）</w:t>
      </w:r>
    </w:p>
    <w:p w14:paraId="4C4C0C28">
      <w:pPr>
        <w:pStyle w:val="7"/>
        <w:spacing w:line="312" w:lineRule="auto"/>
        <w:ind w:left="2940"/>
        <w:jc w:val="center"/>
        <w:rPr>
          <w:rFonts w:ascii="Arial" w:hAnsi="Arial" w:eastAsia="宋体" w:cs="Arial"/>
          <w:color w:val="auto"/>
          <w:highlight w:val="none"/>
        </w:rPr>
      </w:pPr>
      <w:r>
        <w:rPr>
          <w:rFonts w:ascii="Arial" w:hAnsi="Arial" w:eastAsia="宋体" w:cs="Arial"/>
          <w:b/>
          <w:color w:val="auto"/>
          <w:sz w:val="24"/>
          <w:highlight w:val="none"/>
        </w:rPr>
        <w:t xml:space="preserve">                     </w:t>
      </w:r>
    </w:p>
    <w:tbl>
      <w:tblPr>
        <w:tblStyle w:val="24"/>
        <w:tblW w:w="945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38"/>
        <w:gridCol w:w="2962"/>
        <w:gridCol w:w="1420"/>
        <w:gridCol w:w="2938"/>
      </w:tblGrid>
      <w:tr w14:paraId="7829A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0"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1C7B3B44">
            <w:pPr>
              <w:snapToGrid w:val="0"/>
              <w:spacing w:line="312" w:lineRule="auto"/>
              <w:jc w:val="center"/>
              <w:rPr>
                <w:rFonts w:ascii="Arial" w:hAnsi="Arial" w:eastAsia="宋体" w:cs="Arial"/>
                <w:color w:val="auto"/>
                <w:highlight w:val="none"/>
              </w:rPr>
            </w:pPr>
            <w:r>
              <w:rPr>
                <w:rFonts w:ascii="Arial" w:hAnsi="Arial" w:eastAsia="宋体" w:cs="Arial"/>
                <w:color w:val="auto"/>
                <w:highlight w:val="none"/>
              </w:rPr>
              <w:t>项目</w:t>
            </w:r>
          </w:p>
        </w:tc>
        <w:tc>
          <w:tcPr>
            <w:tcW w:w="2962" w:type="dxa"/>
            <w:tcBorders>
              <w:top w:val="single" w:color="auto" w:sz="4" w:space="0"/>
              <w:left w:val="single" w:color="auto" w:sz="4" w:space="0"/>
              <w:bottom w:val="single" w:color="auto" w:sz="4" w:space="0"/>
              <w:right w:val="single" w:color="auto" w:sz="4" w:space="0"/>
            </w:tcBorders>
            <w:vAlign w:val="center"/>
          </w:tcPr>
          <w:p w14:paraId="3E9D6649">
            <w:pPr>
              <w:snapToGrid w:val="0"/>
              <w:spacing w:line="312" w:lineRule="auto"/>
              <w:jc w:val="center"/>
              <w:rPr>
                <w:rFonts w:ascii="Arial" w:hAnsi="Arial" w:eastAsia="宋体" w:cs="Arial"/>
                <w:color w:val="auto"/>
                <w:highlight w:val="none"/>
              </w:rPr>
            </w:pPr>
            <w:r>
              <w:rPr>
                <w:rFonts w:ascii="Arial" w:hAnsi="Arial" w:eastAsia="宋体" w:cs="Arial"/>
                <w:color w:val="auto"/>
                <w:highlight w:val="none"/>
              </w:rPr>
              <w:t>竞争性谈判文件要求</w:t>
            </w:r>
          </w:p>
        </w:tc>
        <w:tc>
          <w:tcPr>
            <w:tcW w:w="1420" w:type="dxa"/>
            <w:tcBorders>
              <w:top w:val="single" w:color="auto" w:sz="4" w:space="0"/>
              <w:left w:val="single" w:color="auto" w:sz="4" w:space="0"/>
              <w:bottom w:val="single" w:color="auto" w:sz="4" w:space="0"/>
              <w:right w:val="single" w:color="auto" w:sz="4" w:space="0"/>
            </w:tcBorders>
            <w:vAlign w:val="center"/>
          </w:tcPr>
          <w:p w14:paraId="3769DC68">
            <w:pPr>
              <w:snapToGrid w:val="0"/>
              <w:spacing w:line="312" w:lineRule="auto"/>
              <w:jc w:val="center"/>
              <w:rPr>
                <w:rFonts w:ascii="Arial" w:hAnsi="Arial" w:eastAsia="宋体" w:cs="Arial"/>
                <w:color w:val="auto"/>
                <w:highlight w:val="none"/>
              </w:rPr>
            </w:pPr>
            <w:r>
              <w:rPr>
                <w:rFonts w:ascii="Arial" w:hAnsi="Arial" w:eastAsia="宋体" w:cs="Arial"/>
                <w:color w:val="auto"/>
                <w:highlight w:val="none"/>
              </w:rPr>
              <w:t>供应商的承诺或说明</w:t>
            </w:r>
          </w:p>
        </w:tc>
        <w:tc>
          <w:tcPr>
            <w:tcW w:w="2938" w:type="dxa"/>
            <w:tcBorders>
              <w:top w:val="single" w:color="auto" w:sz="4" w:space="0"/>
              <w:left w:val="single" w:color="auto" w:sz="4" w:space="0"/>
              <w:bottom w:val="single" w:color="auto" w:sz="4" w:space="0"/>
              <w:right w:val="single" w:color="auto" w:sz="4" w:space="0"/>
            </w:tcBorders>
            <w:vAlign w:val="center"/>
          </w:tcPr>
          <w:p w14:paraId="73394C1B">
            <w:pPr>
              <w:snapToGrid w:val="0"/>
              <w:spacing w:line="312" w:lineRule="auto"/>
              <w:jc w:val="center"/>
              <w:rPr>
                <w:rFonts w:ascii="Arial" w:hAnsi="Arial" w:eastAsia="宋体" w:cs="Arial"/>
                <w:color w:val="auto"/>
                <w:highlight w:val="none"/>
              </w:rPr>
            </w:pPr>
            <w:r>
              <w:rPr>
                <w:rFonts w:ascii="Arial" w:hAnsi="Arial" w:eastAsia="宋体" w:cs="Arial"/>
                <w:color w:val="auto"/>
                <w:highlight w:val="none"/>
              </w:rPr>
              <w:t>是否响应</w:t>
            </w:r>
          </w:p>
        </w:tc>
      </w:tr>
      <w:tr w14:paraId="46E55C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9"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7233406B">
            <w:pPr>
              <w:snapToGrid w:val="0"/>
              <w:spacing w:line="312" w:lineRule="auto"/>
              <w:jc w:val="center"/>
              <w:rPr>
                <w:rFonts w:ascii="Arial" w:hAnsi="Arial" w:eastAsia="宋体" w:cs="Arial"/>
                <w:color w:val="auto"/>
                <w:highlight w:val="none"/>
              </w:rPr>
            </w:pPr>
            <w:r>
              <w:rPr>
                <w:rFonts w:ascii="Arial" w:hAnsi="Arial" w:eastAsia="宋体" w:cs="Arial"/>
                <w:bCs/>
                <w:color w:val="auto"/>
                <w:szCs w:val="21"/>
                <w:highlight w:val="none"/>
              </w:rPr>
              <w:t>（一）免费保修期</w:t>
            </w:r>
          </w:p>
        </w:tc>
        <w:tc>
          <w:tcPr>
            <w:tcW w:w="2962" w:type="dxa"/>
            <w:tcBorders>
              <w:top w:val="single" w:color="auto" w:sz="4" w:space="0"/>
              <w:left w:val="single" w:color="auto" w:sz="4" w:space="0"/>
              <w:bottom w:val="single" w:color="auto" w:sz="4" w:space="0"/>
              <w:right w:val="single" w:color="auto" w:sz="4" w:space="0"/>
            </w:tcBorders>
            <w:vAlign w:val="center"/>
          </w:tcPr>
          <w:p w14:paraId="333B43AE">
            <w:pPr>
              <w:snapToGrid w:val="0"/>
              <w:spacing w:line="312" w:lineRule="auto"/>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03A038F7">
            <w:pPr>
              <w:pStyle w:val="14"/>
              <w:snapToGrid w:val="0"/>
              <w:spacing w:before="295" w:after="295" w:line="312" w:lineRule="auto"/>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34B60B89">
            <w:pPr>
              <w:snapToGrid w:val="0"/>
              <w:spacing w:line="312" w:lineRule="auto"/>
              <w:rPr>
                <w:rFonts w:ascii="Arial" w:hAnsi="Arial" w:eastAsia="宋体" w:cs="Arial"/>
                <w:color w:val="auto"/>
                <w:highlight w:val="none"/>
              </w:rPr>
            </w:pPr>
          </w:p>
        </w:tc>
      </w:tr>
      <w:tr w14:paraId="518B8C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681159D8">
            <w:pPr>
              <w:snapToGrid w:val="0"/>
              <w:spacing w:line="312" w:lineRule="auto"/>
              <w:jc w:val="center"/>
              <w:rPr>
                <w:rFonts w:ascii="Arial" w:hAnsi="Arial" w:eastAsia="宋体" w:cs="Arial"/>
                <w:color w:val="auto"/>
                <w:highlight w:val="none"/>
              </w:rPr>
            </w:pPr>
            <w:r>
              <w:rPr>
                <w:rFonts w:ascii="Arial" w:hAnsi="Arial" w:eastAsia="宋体" w:cs="Arial"/>
                <w:color w:val="auto"/>
                <w:szCs w:val="21"/>
                <w:highlight w:val="none"/>
              </w:rPr>
              <w:t>（二）售后服务要求</w:t>
            </w:r>
          </w:p>
        </w:tc>
        <w:tc>
          <w:tcPr>
            <w:tcW w:w="2962" w:type="dxa"/>
            <w:tcBorders>
              <w:top w:val="single" w:color="auto" w:sz="4" w:space="0"/>
              <w:left w:val="single" w:color="auto" w:sz="4" w:space="0"/>
              <w:bottom w:val="single" w:color="auto" w:sz="4" w:space="0"/>
              <w:right w:val="single" w:color="auto" w:sz="4" w:space="0"/>
            </w:tcBorders>
            <w:vAlign w:val="center"/>
          </w:tcPr>
          <w:p w14:paraId="7CB095B2">
            <w:pPr>
              <w:snapToGrid w:val="0"/>
              <w:spacing w:line="312" w:lineRule="auto"/>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1D6BD2E4">
            <w:pPr>
              <w:pStyle w:val="14"/>
              <w:snapToGrid w:val="0"/>
              <w:spacing w:before="295" w:after="295" w:line="312" w:lineRule="auto"/>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4C8626CE">
            <w:pPr>
              <w:snapToGrid w:val="0"/>
              <w:spacing w:line="312" w:lineRule="auto"/>
              <w:rPr>
                <w:rFonts w:ascii="Arial" w:hAnsi="Arial" w:eastAsia="宋体" w:cs="Arial"/>
                <w:color w:val="auto"/>
                <w:highlight w:val="none"/>
              </w:rPr>
            </w:pPr>
          </w:p>
        </w:tc>
      </w:tr>
      <w:tr w14:paraId="209354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719D824D">
            <w:pPr>
              <w:snapToGrid w:val="0"/>
              <w:spacing w:line="312" w:lineRule="auto"/>
              <w:jc w:val="center"/>
              <w:rPr>
                <w:rFonts w:ascii="Arial" w:hAnsi="Arial" w:eastAsia="宋体" w:cs="Arial"/>
                <w:color w:val="auto"/>
                <w:highlight w:val="none"/>
              </w:rPr>
            </w:pPr>
            <w:r>
              <w:rPr>
                <w:rFonts w:ascii="Arial" w:hAnsi="Arial" w:eastAsia="宋体" w:cs="Arial"/>
                <w:color w:val="auto"/>
                <w:szCs w:val="21"/>
                <w:highlight w:val="none"/>
              </w:rPr>
              <w:t>（三）合同签订时间</w:t>
            </w:r>
          </w:p>
        </w:tc>
        <w:tc>
          <w:tcPr>
            <w:tcW w:w="2962" w:type="dxa"/>
            <w:tcBorders>
              <w:top w:val="single" w:color="auto" w:sz="4" w:space="0"/>
              <w:left w:val="single" w:color="auto" w:sz="4" w:space="0"/>
              <w:bottom w:val="single" w:color="auto" w:sz="4" w:space="0"/>
              <w:right w:val="single" w:color="auto" w:sz="4" w:space="0"/>
            </w:tcBorders>
            <w:vAlign w:val="center"/>
          </w:tcPr>
          <w:p w14:paraId="429CB112">
            <w:pPr>
              <w:snapToGrid w:val="0"/>
              <w:spacing w:line="312" w:lineRule="auto"/>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1041C500">
            <w:pPr>
              <w:pStyle w:val="14"/>
              <w:snapToGrid w:val="0"/>
              <w:spacing w:before="295" w:after="295" w:line="312" w:lineRule="auto"/>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462F5316">
            <w:pPr>
              <w:snapToGrid w:val="0"/>
              <w:spacing w:line="312" w:lineRule="auto"/>
              <w:rPr>
                <w:rFonts w:ascii="Arial" w:hAnsi="Arial" w:eastAsia="宋体" w:cs="Arial"/>
                <w:color w:val="auto"/>
                <w:highlight w:val="none"/>
              </w:rPr>
            </w:pPr>
          </w:p>
        </w:tc>
      </w:tr>
      <w:tr w14:paraId="7A443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4F280B57">
            <w:pPr>
              <w:spacing w:line="312" w:lineRule="auto"/>
              <w:jc w:val="center"/>
              <w:rPr>
                <w:rFonts w:ascii="Arial" w:hAnsi="Arial" w:eastAsia="宋体" w:cs="Arial"/>
                <w:color w:val="auto"/>
                <w:highlight w:val="none"/>
              </w:rPr>
            </w:pPr>
            <w:r>
              <w:rPr>
                <w:rFonts w:ascii="Arial" w:hAnsi="Arial" w:eastAsia="宋体" w:cs="Arial"/>
                <w:color w:val="auto"/>
                <w:szCs w:val="21"/>
                <w:highlight w:val="none"/>
              </w:rPr>
              <w:t>（四）交货期及地点</w:t>
            </w:r>
          </w:p>
        </w:tc>
        <w:tc>
          <w:tcPr>
            <w:tcW w:w="2962" w:type="dxa"/>
            <w:tcBorders>
              <w:top w:val="single" w:color="auto" w:sz="4" w:space="0"/>
              <w:left w:val="single" w:color="auto" w:sz="4" w:space="0"/>
              <w:bottom w:val="single" w:color="auto" w:sz="4" w:space="0"/>
              <w:right w:val="single" w:color="auto" w:sz="4" w:space="0"/>
            </w:tcBorders>
            <w:vAlign w:val="center"/>
          </w:tcPr>
          <w:p w14:paraId="4E47F986">
            <w:pPr>
              <w:snapToGrid w:val="0"/>
              <w:spacing w:line="312" w:lineRule="auto"/>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3A3C5941">
            <w:pPr>
              <w:pStyle w:val="14"/>
              <w:snapToGrid w:val="0"/>
              <w:spacing w:before="295" w:after="295" w:line="312" w:lineRule="auto"/>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3838E8B5">
            <w:pPr>
              <w:snapToGrid w:val="0"/>
              <w:spacing w:line="312" w:lineRule="auto"/>
              <w:rPr>
                <w:rFonts w:ascii="Arial" w:hAnsi="Arial" w:eastAsia="宋体" w:cs="Arial"/>
                <w:color w:val="auto"/>
                <w:highlight w:val="none"/>
              </w:rPr>
            </w:pPr>
          </w:p>
        </w:tc>
      </w:tr>
      <w:tr w14:paraId="2B0328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25E3296C">
            <w:pPr>
              <w:spacing w:line="312" w:lineRule="auto"/>
              <w:jc w:val="center"/>
              <w:rPr>
                <w:rFonts w:ascii="Arial" w:hAnsi="Arial" w:eastAsia="宋体" w:cs="Arial"/>
                <w:color w:val="auto"/>
                <w:highlight w:val="none"/>
              </w:rPr>
            </w:pPr>
            <w:r>
              <w:rPr>
                <w:rFonts w:ascii="Arial" w:hAnsi="Arial" w:eastAsia="宋体" w:cs="Arial"/>
                <w:color w:val="auto"/>
                <w:szCs w:val="21"/>
                <w:highlight w:val="none"/>
              </w:rPr>
              <w:t>（五）付款方式</w:t>
            </w:r>
          </w:p>
        </w:tc>
        <w:tc>
          <w:tcPr>
            <w:tcW w:w="2962" w:type="dxa"/>
            <w:tcBorders>
              <w:top w:val="single" w:color="auto" w:sz="4" w:space="0"/>
              <w:left w:val="single" w:color="auto" w:sz="4" w:space="0"/>
              <w:bottom w:val="single" w:color="auto" w:sz="4" w:space="0"/>
              <w:right w:val="single" w:color="auto" w:sz="4" w:space="0"/>
            </w:tcBorders>
            <w:vAlign w:val="center"/>
          </w:tcPr>
          <w:p w14:paraId="16B8CFCE">
            <w:pPr>
              <w:snapToGrid w:val="0"/>
              <w:spacing w:line="312" w:lineRule="auto"/>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4B08D4D2">
            <w:pPr>
              <w:pStyle w:val="14"/>
              <w:snapToGrid w:val="0"/>
              <w:spacing w:before="295" w:after="295" w:line="312" w:lineRule="auto"/>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2CD964F7">
            <w:pPr>
              <w:snapToGrid w:val="0"/>
              <w:spacing w:line="312" w:lineRule="auto"/>
              <w:rPr>
                <w:rFonts w:ascii="Arial" w:hAnsi="Arial" w:eastAsia="宋体" w:cs="Arial"/>
                <w:color w:val="auto"/>
                <w:highlight w:val="none"/>
              </w:rPr>
            </w:pPr>
          </w:p>
        </w:tc>
      </w:tr>
      <w:tr w14:paraId="6038E0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2"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33247023">
            <w:pPr>
              <w:snapToGrid w:val="0"/>
              <w:spacing w:line="312" w:lineRule="auto"/>
              <w:jc w:val="center"/>
              <w:rPr>
                <w:rFonts w:ascii="Arial" w:hAnsi="Arial" w:eastAsia="宋体" w:cs="Arial"/>
                <w:color w:val="auto"/>
                <w:highlight w:val="none"/>
              </w:rPr>
            </w:pPr>
            <w:r>
              <w:rPr>
                <w:rFonts w:ascii="Arial" w:hAnsi="Arial" w:eastAsia="宋体" w:cs="Arial"/>
                <w:color w:val="auto"/>
                <w:highlight w:val="none"/>
              </w:rPr>
              <w:t>......</w:t>
            </w:r>
          </w:p>
        </w:tc>
        <w:tc>
          <w:tcPr>
            <w:tcW w:w="2962" w:type="dxa"/>
            <w:tcBorders>
              <w:top w:val="single" w:color="auto" w:sz="4" w:space="0"/>
              <w:left w:val="single" w:color="auto" w:sz="4" w:space="0"/>
              <w:bottom w:val="single" w:color="auto" w:sz="4" w:space="0"/>
              <w:right w:val="single" w:color="auto" w:sz="4" w:space="0"/>
            </w:tcBorders>
            <w:vAlign w:val="center"/>
          </w:tcPr>
          <w:p w14:paraId="17EEBA65">
            <w:pPr>
              <w:snapToGrid w:val="0"/>
              <w:spacing w:line="312" w:lineRule="auto"/>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3C7179B3">
            <w:pPr>
              <w:pStyle w:val="14"/>
              <w:snapToGrid w:val="0"/>
              <w:spacing w:before="295" w:after="295" w:line="312" w:lineRule="auto"/>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6856AD07">
            <w:pPr>
              <w:snapToGrid w:val="0"/>
              <w:spacing w:line="312" w:lineRule="auto"/>
              <w:rPr>
                <w:rFonts w:ascii="Arial" w:hAnsi="Arial" w:eastAsia="宋体" w:cs="Arial"/>
                <w:color w:val="auto"/>
                <w:highlight w:val="none"/>
              </w:rPr>
            </w:pPr>
          </w:p>
        </w:tc>
      </w:tr>
    </w:tbl>
    <w:p w14:paraId="00F82BE4">
      <w:pPr>
        <w:snapToGrid w:val="0"/>
        <w:spacing w:line="312" w:lineRule="auto"/>
        <w:ind w:firstLine="3570" w:firstLineChars="1700"/>
        <w:rPr>
          <w:rFonts w:ascii="Arial" w:hAnsi="Arial" w:eastAsia="宋体" w:cs="Arial"/>
          <w:color w:val="auto"/>
          <w:highlight w:val="none"/>
        </w:rPr>
      </w:pPr>
    </w:p>
    <w:p w14:paraId="4BB88326">
      <w:pPr>
        <w:snapToGrid w:val="0"/>
        <w:spacing w:line="312" w:lineRule="auto"/>
        <w:ind w:firstLine="3570" w:firstLineChars="1700"/>
        <w:rPr>
          <w:rFonts w:ascii="Arial" w:hAnsi="Arial" w:eastAsia="宋体" w:cs="Arial"/>
          <w:color w:val="auto"/>
          <w:highlight w:val="none"/>
        </w:rPr>
      </w:pPr>
    </w:p>
    <w:p w14:paraId="008C20ED">
      <w:pPr>
        <w:snapToGrid w:val="0"/>
        <w:spacing w:line="312" w:lineRule="auto"/>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1AD7D40E">
      <w:pPr>
        <w:pStyle w:val="14"/>
        <w:spacing w:line="312" w:lineRule="auto"/>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64EEDA27">
      <w:pPr>
        <w:pStyle w:val="14"/>
        <w:spacing w:line="312" w:lineRule="auto"/>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3A33F0EF">
      <w:pPr>
        <w:spacing w:line="312" w:lineRule="auto"/>
        <w:rPr>
          <w:rFonts w:ascii="Arial" w:hAnsi="Arial" w:eastAsia="宋体" w:cs="Arial"/>
          <w:b/>
          <w:color w:val="auto"/>
          <w:sz w:val="28"/>
          <w:szCs w:val="28"/>
          <w:highlight w:val="none"/>
        </w:rPr>
      </w:pPr>
    </w:p>
    <w:p w14:paraId="75AECC0D">
      <w:pPr>
        <w:pStyle w:val="32"/>
        <w:spacing w:line="312" w:lineRule="auto"/>
        <w:rPr>
          <w:rFonts w:ascii="Arial" w:hAnsi="Arial" w:cs="Arial"/>
          <w:color w:val="auto"/>
          <w:highlight w:val="none"/>
        </w:rPr>
      </w:pPr>
    </w:p>
    <w:p w14:paraId="4DD6F6A6">
      <w:pPr>
        <w:spacing w:line="312"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4AC115BF">
      <w:pPr>
        <w:spacing w:line="312" w:lineRule="auto"/>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（三）其它有效证明材料目录</w:t>
      </w:r>
    </w:p>
    <w:p w14:paraId="6C6C1940">
      <w:pPr>
        <w:tabs>
          <w:tab w:val="left" w:pos="1305"/>
        </w:tabs>
        <w:spacing w:line="312" w:lineRule="auto"/>
        <w:ind w:firstLine="420" w:firstLineChars="200"/>
        <w:rPr>
          <w:rFonts w:ascii="Arial" w:hAnsi="Arial" w:eastAsia="宋体" w:cs="Arial"/>
          <w:color w:val="auto"/>
          <w:szCs w:val="21"/>
          <w:highlight w:val="none"/>
        </w:rPr>
      </w:pPr>
    </w:p>
    <w:p w14:paraId="0A11966D">
      <w:pPr>
        <w:tabs>
          <w:tab w:val="left" w:pos="1305"/>
        </w:tabs>
        <w:spacing w:line="312" w:lineRule="auto"/>
        <w:ind w:firstLine="720" w:firstLineChars="300"/>
        <w:rPr>
          <w:rFonts w:ascii="Arial" w:hAnsi="Arial" w:eastAsia="宋体" w:cs="Arial"/>
          <w:color w:val="auto"/>
          <w:sz w:val="24"/>
          <w:highlight w:val="none"/>
        </w:rPr>
      </w:pPr>
      <w:r>
        <w:rPr>
          <w:rFonts w:ascii="Arial" w:hAnsi="Arial" w:eastAsia="宋体" w:cs="Arial"/>
          <w:color w:val="auto"/>
          <w:sz w:val="24"/>
          <w:highlight w:val="none"/>
        </w:rPr>
        <w:t>1.项目实施人员一览表【如有，请提供，并一起提供由县级以上（含县级）社会养老保险经办机构出具的供应商为项目实施人员交纳社保证明复印件】；</w:t>
      </w:r>
    </w:p>
    <w:p w14:paraId="5FC495E8">
      <w:pPr>
        <w:tabs>
          <w:tab w:val="left" w:pos="1305"/>
        </w:tabs>
        <w:spacing w:line="312" w:lineRule="auto"/>
        <w:ind w:firstLine="720" w:firstLineChars="300"/>
        <w:rPr>
          <w:rFonts w:ascii="Arial" w:hAnsi="Arial" w:eastAsia="宋体" w:cs="Arial"/>
          <w:color w:val="auto"/>
          <w:sz w:val="24"/>
          <w:highlight w:val="none"/>
        </w:rPr>
      </w:pPr>
      <w:r>
        <w:rPr>
          <w:rFonts w:ascii="Arial" w:hAnsi="Arial" w:eastAsia="宋体" w:cs="Arial"/>
          <w:color w:val="auto"/>
          <w:sz w:val="24"/>
          <w:highlight w:val="none"/>
        </w:rPr>
        <w:t>2.供应商具有同类产品的销售业绩的相关证明材料（无不良记录，以中标、成交通知书或签订的销售合同为准，并能清晰反映所销售的货物名称、种类、金额）（如有，请提供）；</w:t>
      </w:r>
    </w:p>
    <w:p w14:paraId="13B7DBF8">
      <w:pPr>
        <w:tabs>
          <w:tab w:val="left" w:pos="1305"/>
        </w:tabs>
        <w:spacing w:line="312" w:lineRule="auto"/>
        <w:ind w:firstLine="720" w:firstLineChars="300"/>
        <w:rPr>
          <w:rFonts w:ascii="Arial" w:hAnsi="Arial" w:eastAsia="宋体" w:cs="Arial"/>
          <w:color w:val="auto"/>
          <w:sz w:val="24"/>
          <w:highlight w:val="none"/>
        </w:rPr>
      </w:pPr>
      <w:r>
        <w:rPr>
          <w:rFonts w:ascii="Arial" w:hAnsi="Arial" w:eastAsia="宋体" w:cs="Arial"/>
          <w:color w:val="auto"/>
          <w:sz w:val="24"/>
          <w:highlight w:val="none"/>
        </w:rPr>
        <w:t>3.供应商相关获奖证书、认证证书等复印件（如有，请提供）；</w:t>
      </w:r>
    </w:p>
    <w:p w14:paraId="0F7E8825">
      <w:pPr>
        <w:tabs>
          <w:tab w:val="left" w:pos="1305"/>
        </w:tabs>
        <w:spacing w:line="312" w:lineRule="auto"/>
        <w:ind w:firstLine="720" w:firstLineChars="300"/>
        <w:rPr>
          <w:rFonts w:ascii="Arial" w:hAnsi="Arial" w:eastAsia="宋体" w:cs="Arial"/>
          <w:color w:val="auto"/>
          <w:sz w:val="24"/>
          <w:highlight w:val="none"/>
        </w:rPr>
      </w:pPr>
      <w:r>
        <w:rPr>
          <w:rFonts w:ascii="Arial" w:hAnsi="Arial" w:eastAsia="宋体" w:cs="Arial"/>
          <w:color w:val="auto"/>
          <w:sz w:val="24"/>
          <w:highlight w:val="none"/>
        </w:rPr>
        <w:t>4.供应商可结合本项目自身情况自行提交其它相关证明材料（如有，请提供）。</w:t>
      </w:r>
    </w:p>
    <w:p w14:paraId="0439BF1F">
      <w:pPr>
        <w:pStyle w:val="32"/>
        <w:spacing w:line="312" w:lineRule="auto"/>
        <w:rPr>
          <w:rFonts w:ascii="Arial" w:hAnsi="Arial" w:cs="Arial"/>
          <w:color w:val="auto"/>
          <w:highlight w:val="none"/>
        </w:rPr>
      </w:pPr>
    </w:p>
    <w:p w14:paraId="3665CD46">
      <w:pPr>
        <w:snapToGrid w:val="0"/>
        <w:spacing w:line="312" w:lineRule="auto"/>
        <w:rPr>
          <w:rFonts w:ascii="Arial" w:hAnsi="Arial" w:eastAsia="宋体" w:cs="Arial"/>
          <w:color w:val="auto"/>
          <w:sz w:val="24"/>
          <w:highlight w:val="none"/>
        </w:rPr>
      </w:pPr>
      <w:r>
        <w:rPr>
          <w:rFonts w:ascii="Arial" w:hAnsi="Arial" w:eastAsia="宋体" w:cs="Arial"/>
          <w:b/>
          <w:color w:val="auto"/>
          <w:sz w:val="28"/>
          <w:szCs w:val="28"/>
          <w:highlight w:val="none"/>
        </w:rPr>
        <w:br w:type="page"/>
      </w:r>
    </w:p>
    <w:p w14:paraId="7A80B511">
      <w:pPr>
        <w:pStyle w:val="14"/>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1.项目实施人员一览表 【如有，请提供，并一起提供由县级以上（含县级）社会养老保险经办机构出具的供应商为项目实施人员交纳社保证明复印件】</w:t>
      </w:r>
    </w:p>
    <w:p w14:paraId="36AF47AF">
      <w:pPr>
        <w:pStyle w:val="14"/>
        <w:spacing w:line="312" w:lineRule="auto"/>
        <w:rPr>
          <w:rFonts w:ascii="Arial" w:hAnsi="Arial" w:eastAsia="宋体" w:cs="Arial"/>
          <w:b/>
          <w:bCs/>
          <w:color w:val="auto"/>
          <w:sz w:val="32"/>
          <w:szCs w:val="32"/>
          <w:highlight w:val="none"/>
        </w:rPr>
      </w:pPr>
    </w:p>
    <w:p w14:paraId="7D5DDDCF">
      <w:pPr>
        <w:pStyle w:val="14"/>
        <w:spacing w:line="312" w:lineRule="auto"/>
        <w:ind w:firstLine="472" w:firstLineChars="147"/>
        <w:rPr>
          <w:rFonts w:ascii="Arial" w:hAnsi="Arial" w:eastAsia="宋体" w:cs="Arial"/>
          <w:b/>
          <w:color w:val="auto"/>
          <w:szCs w:val="21"/>
          <w:highlight w:val="none"/>
        </w:rPr>
      </w:pPr>
      <w:bookmarkStart w:id="55" w:name="_Toc9810"/>
      <w:bookmarkStart w:id="56" w:name="_Toc31480"/>
      <w:r>
        <w:rPr>
          <w:rFonts w:ascii="Arial" w:hAnsi="Arial" w:eastAsia="宋体" w:cs="Arial"/>
          <w:b/>
          <w:color w:val="auto"/>
          <w:sz w:val="32"/>
          <w:szCs w:val="32"/>
          <w:highlight w:val="none"/>
        </w:rPr>
        <w:t>附件：</w:t>
      </w:r>
      <w:bookmarkEnd w:id="55"/>
      <w:bookmarkEnd w:id="56"/>
      <w:r>
        <w:rPr>
          <w:rFonts w:ascii="Arial" w:hAnsi="Arial" w:eastAsia="宋体" w:cs="Arial"/>
          <w:b/>
          <w:color w:val="auto"/>
          <w:sz w:val="32"/>
          <w:szCs w:val="32"/>
          <w:highlight w:val="none"/>
        </w:rPr>
        <w:t xml:space="preserve">       </w:t>
      </w:r>
      <w:r>
        <w:rPr>
          <w:rFonts w:ascii="Arial" w:hAnsi="Arial" w:eastAsia="宋体" w:cs="Arial"/>
          <w:b/>
          <w:color w:val="auto"/>
          <w:szCs w:val="21"/>
          <w:highlight w:val="none"/>
        </w:rPr>
        <w:t xml:space="preserve">                     </w:t>
      </w:r>
    </w:p>
    <w:p w14:paraId="15135B38">
      <w:pPr>
        <w:pStyle w:val="14"/>
        <w:spacing w:line="312" w:lineRule="auto"/>
        <w:ind w:firstLine="472" w:firstLineChars="147"/>
        <w:jc w:val="center"/>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项目实施人员一览表（格式）</w:t>
      </w:r>
    </w:p>
    <w:p w14:paraId="229F2121">
      <w:pPr>
        <w:spacing w:line="312" w:lineRule="auto"/>
        <w:ind w:firstLine="435"/>
        <w:rPr>
          <w:rFonts w:ascii="Arial" w:hAnsi="Arial" w:eastAsia="宋体" w:cs="Arial"/>
          <w:color w:val="auto"/>
          <w:szCs w:val="21"/>
          <w:highlight w:val="none"/>
        </w:rPr>
      </w:pP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806"/>
        <w:gridCol w:w="1537"/>
        <w:gridCol w:w="1371"/>
        <w:gridCol w:w="2163"/>
        <w:gridCol w:w="2000"/>
      </w:tblGrid>
      <w:tr w14:paraId="2E513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vAlign w:val="center"/>
          </w:tcPr>
          <w:p w14:paraId="4DC6A1CA">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姓 名</w:t>
            </w:r>
          </w:p>
        </w:tc>
        <w:tc>
          <w:tcPr>
            <w:tcW w:w="806" w:type="dxa"/>
            <w:vAlign w:val="center"/>
          </w:tcPr>
          <w:p w14:paraId="5839A211">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职务</w:t>
            </w:r>
          </w:p>
        </w:tc>
        <w:tc>
          <w:tcPr>
            <w:tcW w:w="1537" w:type="dxa"/>
            <w:vAlign w:val="center"/>
          </w:tcPr>
          <w:p w14:paraId="360B3E4B">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专业技术资格</w:t>
            </w:r>
          </w:p>
        </w:tc>
        <w:tc>
          <w:tcPr>
            <w:tcW w:w="1371" w:type="dxa"/>
            <w:vAlign w:val="center"/>
          </w:tcPr>
          <w:p w14:paraId="68618E19">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证书编号</w:t>
            </w:r>
          </w:p>
        </w:tc>
        <w:tc>
          <w:tcPr>
            <w:tcW w:w="2163" w:type="dxa"/>
            <w:vAlign w:val="center"/>
          </w:tcPr>
          <w:p w14:paraId="01954089">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参加本单位</w:t>
            </w:r>
          </w:p>
          <w:p w14:paraId="55D96703">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工作时间</w:t>
            </w:r>
          </w:p>
        </w:tc>
        <w:tc>
          <w:tcPr>
            <w:tcW w:w="2000" w:type="dxa"/>
            <w:vAlign w:val="center"/>
          </w:tcPr>
          <w:p w14:paraId="1051D47B">
            <w:pPr>
              <w:spacing w:line="312" w:lineRule="auto"/>
              <w:jc w:val="center"/>
              <w:rPr>
                <w:rFonts w:ascii="Arial" w:hAnsi="Arial" w:eastAsia="宋体" w:cs="Arial"/>
                <w:color w:val="auto"/>
                <w:szCs w:val="21"/>
                <w:highlight w:val="none"/>
              </w:rPr>
            </w:pPr>
            <w:r>
              <w:rPr>
                <w:rFonts w:ascii="Arial" w:hAnsi="Arial" w:eastAsia="宋体" w:cs="Arial"/>
                <w:color w:val="auto"/>
                <w:szCs w:val="21"/>
                <w:highlight w:val="none"/>
              </w:rPr>
              <w:t>劳动合同编号</w:t>
            </w:r>
          </w:p>
        </w:tc>
      </w:tr>
      <w:tr w14:paraId="70CD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tcPr>
          <w:p w14:paraId="7BDE114B">
            <w:pPr>
              <w:spacing w:line="312" w:lineRule="auto"/>
              <w:rPr>
                <w:rFonts w:ascii="Arial" w:hAnsi="Arial" w:eastAsia="宋体" w:cs="Arial"/>
                <w:color w:val="auto"/>
                <w:szCs w:val="21"/>
                <w:highlight w:val="none"/>
              </w:rPr>
            </w:pPr>
          </w:p>
        </w:tc>
        <w:tc>
          <w:tcPr>
            <w:tcW w:w="806" w:type="dxa"/>
          </w:tcPr>
          <w:p w14:paraId="114A69C7">
            <w:pPr>
              <w:spacing w:line="312" w:lineRule="auto"/>
              <w:rPr>
                <w:rFonts w:ascii="Arial" w:hAnsi="Arial" w:eastAsia="宋体" w:cs="Arial"/>
                <w:color w:val="auto"/>
                <w:szCs w:val="21"/>
                <w:highlight w:val="none"/>
              </w:rPr>
            </w:pPr>
          </w:p>
        </w:tc>
        <w:tc>
          <w:tcPr>
            <w:tcW w:w="1537" w:type="dxa"/>
          </w:tcPr>
          <w:p w14:paraId="6EC8B0C3">
            <w:pPr>
              <w:spacing w:line="312" w:lineRule="auto"/>
              <w:rPr>
                <w:rFonts w:ascii="Arial" w:hAnsi="Arial" w:eastAsia="宋体" w:cs="Arial"/>
                <w:color w:val="auto"/>
                <w:szCs w:val="21"/>
                <w:highlight w:val="none"/>
              </w:rPr>
            </w:pPr>
          </w:p>
        </w:tc>
        <w:tc>
          <w:tcPr>
            <w:tcW w:w="1371" w:type="dxa"/>
          </w:tcPr>
          <w:p w14:paraId="24320EE5">
            <w:pPr>
              <w:spacing w:line="312" w:lineRule="auto"/>
              <w:rPr>
                <w:rFonts w:ascii="Arial" w:hAnsi="Arial" w:eastAsia="宋体" w:cs="Arial"/>
                <w:color w:val="auto"/>
                <w:szCs w:val="21"/>
                <w:highlight w:val="none"/>
              </w:rPr>
            </w:pPr>
          </w:p>
        </w:tc>
        <w:tc>
          <w:tcPr>
            <w:tcW w:w="2163" w:type="dxa"/>
          </w:tcPr>
          <w:p w14:paraId="2F7229F4">
            <w:pPr>
              <w:spacing w:line="312" w:lineRule="auto"/>
              <w:rPr>
                <w:rFonts w:ascii="Arial" w:hAnsi="Arial" w:eastAsia="宋体" w:cs="Arial"/>
                <w:color w:val="auto"/>
                <w:szCs w:val="21"/>
                <w:highlight w:val="none"/>
              </w:rPr>
            </w:pPr>
          </w:p>
        </w:tc>
        <w:tc>
          <w:tcPr>
            <w:tcW w:w="2000" w:type="dxa"/>
          </w:tcPr>
          <w:p w14:paraId="49C04969">
            <w:pPr>
              <w:spacing w:line="312" w:lineRule="auto"/>
              <w:rPr>
                <w:rFonts w:ascii="Arial" w:hAnsi="Arial" w:eastAsia="宋体" w:cs="Arial"/>
                <w:color w:val="auto"/>
                <w:szCs w:val="21"/>
                <w:highlight w:val="none"/>
              </w:rPr>
            </w:pPr>
          </w:p>
        </w:tc>
      </w:tr>
      <w:tr w14:paraId="646A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tcPr>
          <w:p w14:paraId="07FE424F">
            <w:pPr>
              <w:spacing w:line="312" w:lineRule="auto"/>
              <w:rPr>
                <w:rFonts w:ascii="Arial" w:hAnsi="Arial" w:eastAsia="宋体" w:cs="Arial"/>
                <w:color w:val="auto"/>
                <w:szCs w:val="21"/>
                <w:highlight w:val="none"/>
              </w:rPr>
            </w:pPr>
          </w:p>
        </w:tc>
        <w:tc>
          <w:tcPr>
            <w:tcW w:w="806" w:type="dxa"/>
          </w:tcPr>
          <w:p w14:paraId="40428094">
            <w:pPr>
              <w:spacing w:line="312" w:lineRule="auto"/>
              <w:rPr>
                <w:rFonts w:ascii="Arial" w:hAnsi="Arial" w:eastAsia="宋体" w:cs="Arial"/>
                <w:color w:val="auto"/>
                <w:szCs w:val="21"/>
                <w:highlight w:val="none"/>
              </w:rPr>
            </w:pPr>
          </w:p>
        </w:tc>
        <w:tc>
          <w:tcPr>
            <w:tcW w:w="1537" w:type="dxa"/>
          </w:tcPr>
          <w:p w14:paraId="524B8A3A">
            <w:pPr>
              <w:spacing w:line="312" w:lineRule="auto"/>
              <w:rPr>
                <w:rFonts w:ascii="Arial" w:hAnsi="Arial" w:eastAsia="宋体" w:cs="Arial"/>
                <w:color w:val="auto"/>
                <w:szCs w:val="21"/>
                <w:highlight w:val="none"/>
              </w:rPr>
            </w:pPr>
          </w:p>
        </w:tc>
        <w:tc>
          <w:tcPr>
            <w:tcW w:w="1371" w:type="dxa"/>
          </w:tcPr>
          <w:p w14:paraId="3702B274">
            <w:pPr>
              <w:spacing w:line="312" w:lineRule="auto"/>
              <w:rPr>
                <w:rFonts w:ascii="Arial" w:hAnsi="Arial" w:eastAsia="宋体" w:cs="Arial"/>
                <w:color w:val="auto"/>
                <w:szCs w:val="21"/>
                <w:highlight w:val="none"/>
              </w:rPr>
            </w:pPr>
          </w:p>
        </w:tc>
        <w:tc>
          <w:tcPr>
            <w:tcW w:w="2163" w:type="dxa"/>
          </w:tcPr>
          <w:p w14:paraId="7D84EEBE">
            <w:pPr>
              <w:spacing w:line="312" w:lineRule="auto"/>
              <w:rPr>
                <w:rFonts w:ascii="Arial" w:hAnsi="Arial" w:eastAsia="宋体" w:cs="Arial"/>
                <w:color w:val="auto"/>
                <w:szCs w:val="21"/>
                <w:highlight w:val="none"/>
              </w:rPr>
            </w:pPr>
          </w:p>
        </w:tc>
        <w:tc>
          <w:tcPr>
            <w:tcW w:w="2000" w:type="dxa"/>
          </w:tcPr>
          <w:p w14:paraId="6FC7F0B9">
            <w:pPr>
              <w:spacing w:line="312" w:lineRule="auto"/>
              <w:rPr>
                <w:rFonts w:ascii="Arial" w:hAnsi="Arial" w:eastAsia="宋体" w:cs="Arial"/>
                <w:color w:val="auto"/>
                <w:szCs w:val="21"/>
                <w:highlight w:val="none"/>
              </w:rPr>
            </w:pPr>
          </w:p>
        </w:tc>
      </w:tr>
    </w:tbl>
    <w:p w14:paraId="7136592B">
      <w:pPr>
        <w:spacing w:line="312" w:lineRule="auto"/>
        <w:rPr>
          <w:rFonts w:ascii="Arial" w:hAnsi="Arial" w:eastAsia="宋体" w:cs="Arial"/>
          <w:color w:val="auto"/>
          <w:szCs w:val="21"/>
          <w:highlight w:val="none"/>
        </w:rPr>
      </w:pPr>
    </w:p>
    <w:p w14:paraId="4D07C58D">
      <w:pPr>
        <w:spacing w:line="312" w:lineRule="auto"/>
        <w:rPr>
          <w:rFonts w:ascii="Arial" w:hAnsi="Arial" w:eastAsia="宋体" w:cs="Arial"/>
          <w:color w:val="auto"/>
          <w:szCs w:val="21"/>
          <w:highlight w:val="none"/>
        </w:rPr>
      </w:pPr>
      <w:r>
        <w:rPr>
          <w:rFonts w:ascii="Arial" w:hAnsi="Arial" w:eastAsia="宋体" w:cs="Arial"/>
          <w:color w:val="auto"/>
          <w:szCs w:val="21"/>
          <w:highlight w:val="none"/>
        </w:rPr>
        <w:t>注：1.在填写时，如本表格不适合供应商的实际情况，可根据本表格式自行制表填写。</w:t>
      </w:r>
    </w:p>
    <w:p w14:paraId="3E3280AC">
      <w:pPr>
        <w:spacing w:line="312" w:lineRule="auto"/>
        <w:ind w:left="420" w:leftChars="200"/>
        <w:rPr>
          <w:rFonts w:ascii="Arial" w:hAnsi="Arial" w:eastAsia="宋体" w:cs="Arial"/>
          <w:color w:val="auto"/>
          <w:szCs w:val="21"/>
          <w:highlight w:val="none"/>
        </w:rPr>
      </w:pPr>
      <w:r>
        <w:rPr>
          <w:rFonts w:ascii="Arial" w:hAnsi="Arial" w:eastAsia="宋体" w:cs="Arial"/>
          <w:color w:val="auto"/>
          <w:szCs w:val="21"/>
          <w:highlight w:val="none"/>
        </w:rPr>
        <w:t>2.项目实施人员一览表须由法定代表人或相应的委托代理人签字并加盖供应商公章。</w:t>
      </w:r>
    </w:p>
    <w:p w14:paraId="327F2725">
      <w:pPr>
        <w:spacing w:line="312" w:lineRule="auto"/>
        <w:rPr>
          <w:rFonts w:ascii="Arial" w:hAnsi="Arial" w:eastAsia="宋体" w:cs="Arial"/>
          <w:color w:val="auto"/>
          <w:szCs w:val="21"/>
          <w:highlight w:val="none"/>
        </w:rPr>
      </w:pPr>
    </w:p>
    <w:p w14:paraId="530D760E">
      <w:pPr>
        <w:snapToGrid w:val="0"/>
        <w:spacing w:line="312" w:lineRule="auto"/>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4676D918">
      <w:pPr>
        <w:pStyle w:val="14"/>
        <w:spacing w:line="312" w:lineRule="auto"/>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587337AC">
      <w:pPr>
        <w:pStyle w:val="14"/>
        <w:spacing w:line="312" w:lineRule="auto"/>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572BA609">
      <w:pPr>
        <w:pStyle w:val="14"/>
        <w:spacing w:line="312" w:lineRule="auto"/>
        <w:rPr>
          <w:rFonts w:ascii="Arial" w:hAnsi="Arial" w:eastAsia="宋体" w:cs="Arial"/>
          <w:b/>
          <w:color w:val="auto"/>
          <w:sz w:val="28"/>
          <w:szCs w:val="28"/>
          <w:highlight w:val="none"/>
        </w:rPr>
      </w:pPr>
    </w:p>
    <w:p w14:paraId="408D9E55">
      <w:pPr>
        <w:pStyle w:val="7"/>
        <w:spacing w:line="312" w:lineRule="auto"/>
        <w:ind w:left="2940"/>
        <w:rPr>
          <w:rFonts w:ascii="Arial" w:hAnsi="Arial" w:eastAsia="宋体" w:cs="Arial"/>
          <w:color w:val="auto"/>
          <w:highlight w:val="none"/>
        </w:rPr>
      </w:pPr>
    </w:p>
    <w:p w14:paraId="13FFEE69">
      <w:pPr>
        <w:pStyle w:val="14"/>
        <w:spacing w:line="312" w:lineRule="auto"/>
        <w:rPr>
          <w:rFonts w:ascii="Arial" w:hAnsi="Arial" w:eastAsia="宋体" w:cs="Arial"/>
          <w:b/>
          <w:color w:val="auto"/>
          <w:sz w:val="28"/>
          <w:szCs w:val="28"/>
          <w:highlight w:val="none"/>
        </w:rPr>
      </w:pPr>
    </w:p>
    <w:p w14:paraId="5C69E937">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6624D039">
      <w:pPr>
        <w:pStyle w:val="14"/>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2.供应商具有同类产品的销售业绩的相关证明材料（无不良记录，以中标、成交通知书或签订的销售合同为准，并能清晰反映所销售的货物名称、种类、金额）（如有，请提供）；</w:t>
      </w:r>
    </w:p>
    <w:p w14:paraId="2D551478">
      <w:pPr>
        <w:pStyle w:val="14"/>
        <w:spacing w:line="312" w:lineRule="auto"/>
        <w:rPr>
          <w:rFonts w:ascii="Arial" w:hAnsi="Arial" w:eastAsia="宋体" w:cs="Arial"/>
          <w:b/>
          <w:color w:val="auto"/>
          <w:sz w:val="28"/>
          <w:szCs w:val="28"/>
          <w:highlight w:val="none"/>
        </w:rPr>
      </w:pPr>
    </w:p>
    <w:p w14:paraId="33FEF971">
      <w:pPr>
        <w:tabs>
          <w:tab w:val="left" w:pos="1305"/>
        </w:tabs>
        <w:spacing w:line="312" w:lineRule="auto"/>
        <w:rPr>
          <w:rFonts w:ascii="Arial" w:hAnsi="Arial" w:eastAsia="宋体" w:cs="Arial"/>
          <w:b/>
          <w:color w:val="auto"/>
          <w:sz w:val="28"/>
          <w:szCs w:val="28"/>
          <w:highlight w:val="none"/>
        </w:rPr>
      </w:pPr>
    </w:p>
    <w:p w14:paraId="57B42038">
      <w:pPr>
        <w:tabs>
          <w:tab w:val="left" w:pos="1305"/>
        </w:tabs>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3.供应商相关获奖证书、认证证书等复印件（如有，请提供）；</w:t>
      </w:r>
    </w:p>
    <w:p w14:paraId="3444D8B7">
      <w:pPr>
        <w:pStyle w:val="14"/>
        <w:spacing w:line="312" w:lineRule="auto"/>
        <w:rPr>
          <w:rFonts w:ascii="Arial" w:hAnsi="Arial" w:eastAsia="宋体" w:cs="Arial"/>
          <w:b/>
          <w:color w:val="auto"/>
          <w:sz w:val="28"/>
          <w:szCs w:val="28"/>
          <w:highlight w:val="none"/>
        </w:rPr>
      </w:pPr>
    </w:p>
    <w:p w14:paraId="503AAC30">
      <w:pPr>
        <w:pStyle w:val="7"/>
        <w:spacing w:line="312" w:lineRule="auto"/>
        <w:ind w:left="2940"/>
        <w:rPr>
          <w:color w:val="auto"/>
          <w:highlight w:val="none"/>
        </w:rPr>
      </w:pPr>
    </w:p>
    <w:p w14:paraId="75EC80C1">
      <w:pPr>
        <w:pStyle w:val="14"/>
        <w:spacing w:line="312" w:lineRule="auto"/>
        <w:rPr>
          <w:rFonts w:ascii="Arial" w:hAnsi="Arial" w:eastAsia="宋体" w:cs="Arial"/>
          <w:b/>
          <w:color w:val="auto"/>
          <w:sz w:val="28"/>
          <w:szCs w:val="28"/>
          <w:highlight w:val="none"/>
        </w:rPr>
      </w:pPr>
    </w:p>
    <w:p w14:paraId="0D146BB8">
      <w:pPr>
        <w:pStyle w:val="14"/>
        <w:spacing w:line="312" w:lineRule="auto"/>
        <w:rPr>
          <w:rFonts w:ascii="Arial" w:hAnsi="Arial" w:eastAsia="宋体" w:cs="Arial"/>
          <w:b/>
          <w:color w:val="auto"/>
          <w:sz w:val="28"/>
          <w:szCs w:val="28"/>
          <w:highlight w:val="none"/>
        </w:rPr>
      </w:pPr>
      <w:r>
        <w:rPr>
          <w:rFonts w:ascii="Arial" w:hAnsi="Arial" w:eastAsia="宋体" w:cs="Arial"/>
          <w:b/>
          <w:color w:val="auto"/>
          <w:sz w:val="28"/>
          <w:szCs w:val="28"/>
          <w:highlight w:val="none"/>
        </w:rPr>
        <w:t>4.供应商可结合本项目自身情况自行提交其它相关证明材料（如有，请提供）</w:t>
      </w:r>
    </w:p>
    <w:p w14:paraId="63753235">
      <w:pPr>
        <w:spacing w:line="312" w:lineRule="auto"/>
        <w:rPr>
          <w:rFonts w:ascii="Arial" w:hAnsi="Arial" w:eastAsia="宋体" w:cs="Arial"/>
          <w:color w:val="auto"/>
          <w:highlight w:val="none"/>
        </w:rPr>
      </w:pPr>
      <w:r>
        <w:rPr>
          <w:rFonts w:ascii="Arial" w:hAnsi="Arial" w:eastAsia="宋体" w:cs="Arial"/>
          <w:color w:val="auto"/>
          <w:highlight w:val="none"/>
        </w:rPr>
        <w:br w:type="page"/>
      </w:r>
    </w:p>
    <w:p w14:paraId="2213F638">
      <w:pPr>
        <w:spacing w:line="312" w:lineRule="auto"/>
        <w:rPr>
          <w:rFonts w:ascii="Arial" w:hAnsi="Arial" w:eastAsia="宋体" w:cs="Arial"/>
          <w:color w:val="auto"/>
          <w:sz w:val="28"/>
          <w:szCs w:val="28"/>
          <w:highlight w:val="none"/>
        </w:rPr>
      </w:pPr>
      <w:r>
        <w:rPr>
          <w:rFonts w:ascii="Arial" w:hAnsi="Arial" w:eastAsia="宋体" w:cs="Arial"/>
          <w:b/>
          <w:color w:val="auto"/>
          <w:sz w:val="28"/>
          <w:szCs w:val="28"/>
          <w:highlight w:val="none"/>
        </w:rPr>
        <w:t>附件（如有，请提供）：</w:t>
      </w:r>
    </w:p>
    <w:p w14:paraId="72D98973">
      <w:pPr>
        <w:spacing w:line="312" w:lineRule="auto"/>
        <w:rPr>
          <w:rFonts w:ascii="Arial" w:hAnsi="Arial" w:eastAsia="宋体" w:cs="Arial"/>
          <w:b/>
          <w:color w:val="auto"/>
          <w:szCs w:val="21"/>
          <w:highlight w:val="none"/>
        </w:rPr>
      </w:pPr>
      <w:r>
        <w:rPr>
          <w:rFonts w:ascii="Arial" w:hAnsi="Arial" w:eastAsia="宋体" w:cs="Arial"/>
          <w:color w:val="auto"/>
          <w:szCs w:val="21"/>
          <w:highlight w:val="none"/>
        </w:rPr>
        <w:t>1</w:t>
      </w:r>
      <w:r>
        <w:rPr>
          <w:rFonts w:hint="eastAsia" w:ascii="Arial" w:hAnsi="Arial" w:eastAsia="宋体" w:cs="Arial"/>
          <w:color w:val="auto"/>
          <w:szCs w:val="21"/>
          <w:highlight w:val="none"/>
        </w:rPr>
        <w:t>.</w:t>
      </w:r>
      <w:r>
        <w:rPr>
          <w:rFonts w:ascii="Arial" w:hAnsi="Arial" w:eastAsia="宋体" w:cs="Arial"/>
          <w:bCs/>
          <w:color w:val="auto"/>
          <w:szCs w:val="21"/>
          <w:highlight w:val="none"/>
        </w:rPr>
        <w:t>中小企业声明函</w:t>
      </w:r>
      <w:r>
        <w:rPr>
          <w:rFonts w:ascii="Arial" w:hAnsi="Arial" w:eastAsia="宋体" w:cs="Arial"/>
          <w:color w:val="auto"/>
          <w:szCs w:val="21"/>
          <w:highlight w:val="none"/>
        </w:rPr>
        <w:t>。</w:t>
      </w:r>
      <w:bookmarkStart w:id="57" w:name="_Hlk60651253"/>
    </w:p>
    <w:bookmarkEnd w:id="57"/>
    <w:p w14:paraId="1E7AE914">
      <w:pPr>
        <w:spacing w:line="312" w:lineRule="auto"/>
        <w:ind w:firstLine="3584" w:firstLineChars="1700"/>
        <w:rPr>
          <w:rFonts w:ascii="Arial" w:hAnsi="Arial" w:eastAsia="宋体" w:cs="Arial"/>
          <w:b/>
          <w:color w:val="auto"/>
          <w:szCs w:val="21"/>
          <w:highlight w:val="none"/>
        </w:rPr>
      </w:pPr>
      <w:bookmarkStart w:id="58" w:name="_Hlk60653683"/>
      <w:bookmarkStart w:id="59" w:name="_Hlk60649458"/>
      <w:bookmarkStart w:id="60" w:name="_Hlk65852042"/>
      <w:bookmarkStart w:id="61" w:name="_Hlk19115884"/>
      <w:r>
        <w:rPr>
          <w:rFonts w:ascii="Arial" w:hAnsi="Arial" w:eastAsia="宋体" w:cs="Arial"/>
          <w:b/>
          <w:color w:val="auto"/>
          <w:szCs w:val="21"/>
          <w:highlight w:val="none"/>
        </w:rPr>
        <w:t>中小企业声明函（货物）</w:t>
      </w:r>
    </w:p>
    <w:p w14:paraId="6C4C781C">
      <w:pPr>
        <w:spacing w:line="312"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本公司（联合体）郑重声明，根据《政府采购促进中小企业发展管理办法》（财库﹝2020﹞46 号）的规定，本公司（联合体）参加</w:t>
      </w:r>
      <w:r>
        <w:rPr>
          <w:rFonts w:ascii="Arial" w:hAnsi="Arial" w:eastAsia="宋体" w:cs="Arial"/>
          <w:bCs/>
          <w:color w:val="auto"/>
          <w:szCs w:val="21"/>
          <w:highlight w:val="none"/>
          <w:u w:val="single"/>
        </w:rPr>
        <w:t>（单位名称）</w:t>
      </w:r>
      <w:r>
        <w:rPr>
          <w:rFonts w:ascii="Arial" w:hAnsi="Arial" w:eastAsia="宋体" w:cs="Arial"/>
          <w:bCs/>
          <w:color w:val="auto"/>
          <w:szCs w:val="21"/>
          <w:highlight w:val="none"/>
        </w:rPr>
        <w:t>的</w:t>
      </w:r>
      <w:r>
        <w:rPr>
          <w:rFonts w:ascii="Arial" w:hAnsi="Arial" w:eastAsia="宋体" w:cs="Arial"/>
          <w:bCs/>
          <w:color w:val="auto"/>
          <w:szCs w:val="21"/>
          <w:highlight w:val="none"/>
          <w:u w:val="single"/>
        </w:rPr>
        <w:t>（项目名称）</w:t>
      </w:r>
      <w:r>
        <w:rPr>
          <w:rFonts w:ascii="Arial" w:hAnsi="Arial" w:eastAsia="宋体" w:cs="Arial"/>
          <w:bCs/>
          <w:color w:val="auto"/>
          <w:szCs w:val="21"/>
          <w:highlight w:val="none"/>
        </w:rPr>
        <w:t>采购活动，提供的货物全部由符合政策要求的中小企业制造。相关企业（含联合体中的中小企业、签订分包意向协议的中小企业）的具体情况如下：</w:t>
      </w:r>
    </w:p>
    <w:p w14:paraId="4CA8ADD3">
      <w:pPr>
        <w:spacing w:line="312"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1.</w:t>
      </w:r>
      <w:r>
        <w:rPr>
          <w:rFonts w:ascii="Arial" w:hAnsi="Arial" w:eastAsia="宋体" w:cs="Arial"/>
          <w:bCs/>
          <w:color w:val="auto"/>
          <w:szCs w:val="21"/>
          <w:highlight w:val="none"/>
          <w:u w:val="single"/>
        </w:rPr>
        <w:t>（标的名称）</w:t>
      </w:r>
      <w:r>
        <w:rPr>
          <w:rFonts w:ascii="Arial" w:hAnsi="Arial" w:eastAsia="宋体" w:cs="Arial"/>
          <w:bCs/>
          <w:color w:val="auto"/>
          <w:szCs w:val="21"/>
          <w:highlight w:val="none"/>
        </w:rPr>
        <w:t>，属于</w:t>
      </w:r>
      <w:r>
        <w:rPr>
          <w:rFonts w:ascii="Arial" w:hAnsi="Arial" w:eastAsia="宋体" w:cs="Arial"/>
          <w:bCs/>
          <w:color w:val="auto"/>
          <w:szCs w:val="21"/>
          <w:highlight w:val="none"/>
          <w:u w:val="single"/>
        </w:rPr>
        <w:t>（</w:t>
      </w:r>
      <w:r>
        <w:rPr>
          <w:rFonts w:hint="eastAsia" w:ascii="Arial" w:hAnsi="Arial" w:eastAsia="宋体" w:cs="Arial"/>
          <w:bCs/>
          <w:color w:val="auto"/>
          <w:szCs w:val="21"/>
          <w:highlight w:val="none"/>
          <w:u w:val="single"/>
        </w:rPr>
        <w:t>采购文</w:t>
      </w:r>
      <w:r>
        <w:rPr>
          <w:rFonts w:ascii="Arial" w:hAnsi="Arial" w:eastAsia="宋体" w:cs="Arial"/>
          <w:bCs/>
          <w:color w:val="auto"/>
          <w:szCs w:val="21"/>
          <w:highlight w:val="none"/>
          <w:u w:val="single"/>
        </w:rPr>
        <w:t>件中明确的所属行业）</w:t>
      </w:r>
      <w:r>
        <w:rPr>
          <w:rFonts w:ascii="Arial" w:hAnsi="Arial" w:eastAsia="宋体" w:cs="Arial"/>
          <w:bCs/>
          <w:color w:val="auto"/>
          <w:szCs w:val="21"/>
          <w:highlight w:val="none"/>
        </w:rPr>
        <w:t>行业；制造商为</w:t>
      </w:r>
      <w:r>
        <w:rPr>
          <w:rFonts w:ascii="Arial" w:hAnsi="Arial" w:eastAsia="宋体" w:cs="Arial"/>
          <w:bCs/>
          <w:color w:val="auto"/>
          <w:szCs w:val="21"/>
          <w:highlight w:val="none"/>
          <w:u w:val="single"/>
        </w:rPr>
        <w:t>（企业名称）</w:t>
      </w:r>
      <w:r>
        <w:rPr>
          <w:rFonts w:ascii="Arial" w:hAnsi="Arial" w:eastAsia="宋体" w:cs="Arial"/>
          <w:bCs/>
          <w:color w:val="auto"/>
          <w:szCs w:val="21"/>
          <w:highlight w:val="none"/>
        </w:rPr>
        <w:t>，从业人员</w:t>
      </w:r>
    </w:p>
    <w:p w14:paraId="7E2167F7">
      <w:pPr>
        <w:spacing w:line="312" w:lineRule="auto"/>
        <w:rPr>
          <w:rFonts w:ascii="Arial" w:hAnsi="Arial" w:eastAsia="宋体" w:cs="Arial"/>
          <w:bCs/>
          <w:color w:val="auto"/>
          <w:szCs w:val="21"/>
          <w:highlight w:val="none"/>
        </w:rPr>
      </w:pP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人，营业收入为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万元，资产总额为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万元，属于</w:t>
      </w:r>
      <w:r>
        <w:rPr>
          <w:rFonts w:ascii="Arial" w:hAnsi="Arial" w:eastAsia="宋体" w:cs="Arial"/>
          <w:bCs/>
          <w:color w:val="auto"/>
          <w:szCs w:val="21"/>
          <w:highlight w:val="none"/>
          <w:u w:val="single"/>
        </w:rPr>
        <w:t>（中型企业、小型企业、微型企业）</w:t>
      </w:r>
      <w:r>
        <w:rPr>
          <w:rFonts w:ascii="Arial" w:hAnsi="Arial" w:eastAsia="宋体" w:cs="Arial"/>
          <w:bCs/>
          <w:color w:val="auto"/>
          <w:szCs w:val="21"/>
          <w:highlight w:val="none"/>
        </w:rPr>
        <w:t>；</w:t>
      </w:r>
    </w:p>
    <w:p w14:paraId="629E79A5">
      <w:pPr>
        <w:spacing w:line="312" w:lineRule="auto"/>
        <w:ind w:firstLine="210" w:firstLineChars="100"/>
        <w:rPr>
          <w:rFonts w:ascii="Arial" w:hAnsi="Arial" w:eastAsia="宋体" w:cs="Arial"/>
          <w:bCs/>
          <w:color w:val="auto"/>
          <w:szCs w:val="21"/>
          <w:highlight w:val="none"/>
        </w:rPr>
      </w:pPr>
      <w:r>
        <w:rPr>
          <w:rFonts w:hint="eastAsia" w:ascii="Arial" w:hAnsi="Arial" w:eastAsia="宋体" w:cs="Arial"/>
          <w:bCs/>
          <w:color w:val="auto"/>
          <w:szCs w:val="21"/>
          <w:highlight w:val="none"/>
        </w:rPr>
        <w:t>2.</w:t>
      </w:r>
      <w:r>
        <w:rPr>
          <w:rFonts w:ascii="Arial" w:hAnsi="Arial" w:eastAsia="宋体" w:cs="Arial"/>
          <w:bCs/>
          <w:color w:val="auto"/>
          <w:szCs w:val="21"/>
          <w:highlight w:val="none"/>
          <w:u w:val="single"/>
        </w:rPr>
        <w:t>（标的名称）</w:t>
      </w:r>
      <w:r>
        <w:rPr>
          <w:rFonts w:ascii="Arial" w:hAnsi="Arial" w:eastAsia="宋体" w:cs="Arial"/>
          <w:bCs/>
          <w:color w:val="auto"/>
          <w:szCs w:val="21"/>
          <w:highlight w:val="none"/>
        </w:rPr>
        <w:t>，属于</w:t>
      </w:r>
      <w:r>
        <w:rPr>
          <w:rFonts w:ascii="Arial" w:hAnsi="Arial" w:eastAsia="宋体" w:cs="Arial"/>
          <w:bCs/>
          <w:color w:val="auto"/>
          <w:szCs w:val="21"/>
          <w:highlight w:val="none"/>
          <w:u w:val="single"/>
        </w:rPr>
        <w:t>（</w:t>
      </w:r>
      <w:r>
        <w:rPr>
          <w:rFonts w:hint="eastAsia" w:ascii="Arial" w:hAnsi="Arial" w:eastAsia="宋体" w:cs="Arial"/>
          <w:bCs/>
          <w:color w:val="auto"/>
          <w:szCs w:val="21"/>
          <w:highlight w:val="none"/>
          <w:u w:val="single"/>
        </w:rPr>
        <w:t>采购文</w:t>
      </w:r>
      <w:r>
        <w:rPr>
          <w:rFonts w:ascii="Arial" w:hAnsi="Arial" w:eastAsia="宋体" w:cs="Arial"/>
          <w:bCs/>
          <w:color w:val="auto"/>
          <w:szCs w:val="21"/>
          <w:highlight w:val="none"/>
          <w:u w:val="single"/>
        </w:rPr>
        <w:t>件中明确的所属行业）</w:t>
      </w:r>
      <w:r>
        <w:rPr>
          <w:rFonts w:ascii="Arial" w:hAnsi="Arial" w:eastAsia="宋体" w:cs="Arial"/>
          <w:bCs/>
          <w:color w:val="auto"/>
          <w:szCs w:val="21"/>
          <w:highlight w:val="none"/>
        </w:rPr>
        <w:t>行业；制造商为</w:t>
      </w:r>
      <w:r>
        <w:rPr>
          <w:rFonts w:ascii="Arial" w:hAnsi="Arial" w:eastAsia="宋体" w:cs="Arial"/>
          <w:bCs/>
          <w:color w:val="auto"/>
          <w:szCs w:val="21"/>
          <w:highlight w:val="none"/>
          <w:u w:val="single"/>
        </w:rPr>
        <w:t>（企业名称）</w:t>
      </w:r>
      <w:r>
        <w:rPr>
          <w:rFonts w:ascii="Arial" w:hAnsi="Arial" w:eastAsia="宋体" w:cs="Arial"/>
          <w:bCs/>
          <w:color w:val="auto"/>
          <w:szCs w:val="21"/>
          <w:highlight w:val="none"/>
        </w:rPr>
        <w:t>，从业人员</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人，营业收入为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万元，资产总额为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万元，属于</w:t>
      </w:r>
      <w:r>
        <w:rPr>
          <w:rFonts w:ascii="Arial" w:hAnsi="Arial" w:eastAsia="宋体" w:cs="Arial"/>
          <w:bCs/>
          <w:color w:val="auto"/>
          <w:szCs w:val="21"/>
          <w:highlight w:val="none"/>
          <w:u w:val="single"/>
        </w:rPr>
        <w:t>（中型企业、小型企业、微型企业）</w:t>
      </w:r>
      <w:r>
        <w:rPr>
          <w:rFonts w:ascii="Arial" w:hAnsi="Arial" w:eastAsia="宋体" w:cs="Arial"/>
          <w:bCs/>
          <w:color w:val="auto"/>
          <w:szCs w:val="21"/>
          <w:highlight w:val="none"/>
        </w:rPr>
        <w:t>；</w:t>
      </w:r>
    </w:p>
    <w:p w14:paraId="74ADA626">
      <w:pPr>
        <w:spacing w:line="312"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w:t>
      </w:r>
    </w:p>
    <w:p w14:paraId="44CBFFA2">
      <w:pPr>
        <w:spacing w:line="312"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以上企业，不属于大企业的分支机构，不存在控股股东为大企业的情形，也不存在与大企业的负责人为同一人的情形。</w:t>
      </w:r>
    </w:p>
    <w:p w14:paraId="611ABF31">
      <w:pPr>
        <w:spacing w:line="312"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本企业对上述声明内容的真实性负责。如有虚假，将依法承担相应责任。</w:t>
      </w:r>
    </w:p>
    <w:p w14:paraId="5A25B6BB">
      <w:pPr>
        <w:spacing w:line="312" w:lineRule="auto"/>
        <w:ind w:firstLine="4830" w:firstLineChars="2300"/>
        <w:rPr>
          <w:rFonts w:ascii="Arial" w:hAnsi="Arial" w:eastAsia="宋体" w:cs="Arial"/>
          <w:bCs/>
          <w:color w:val="auto"/>
          <w:szCs w:val="21"/>
          <w:highlight w:val="none"/>
        </w:rPr>
      </w:pPr>
      <w:r>
        <w:rPr>
          <w:rFonts w:ascii="Arial" w:hAnsi="Arial" w:eastAsia="宋体" w:cs="Arial"/>
          <w:color w:val="auto"/>
          <w:highlight w:val="none"/>
        </w:rPr>
        <w:t>供应商（公章）</w:t>
      </w:r>
      <w:r>
        <w:rPr>
          <w:rFonts w:ascii="Arial" w:hAnsi="Arial" w:eastAsia="宋体" w:cs="Arial"/>
          <w:bCs/>
          <w:color w:val="auto"/>
          <w:szCs w:val="21"/>
          <w:highlight w:val="none"/>
        </w:rPr>
        <w:t>：    日期：</w:t>
      </w:r>
    </w:p>
    <w:p w14:paraId="73E00E67">
      <w:pPr>
        <w:spacing w:line="312" w:lineRule="auto"/>
        <w:jc w:val="left"/>
        <w:rPr>
          <w:rFonts w:ascii="Arial" w:hAnsi="Arial" w:eastAsia="宋体" w:cs="Arial"/>
          <w:bCs/>
          <w:color w:val="auto"/>
          <w:szCs w:val="21"/>
          <w:highlight w:val="none"/>
        </w:rPr>
      </w:pPr>
      <w:bookmarkStart w:id="62" w:name="_Hlk65852026"/>
      <w:r>
        <w:rPr>
          <w:rFonts w:ascii="Arial" w:hAnsi="Arial" w:eastAsia="宋体" w:cs="Arial"/>
          <w:bCs/>
          <w:color w:val="auto"/>
          <w:szCs w:val="21"/>
          <w:highlight w:val="none"/>
        </w:rPr>
        <w:t>注：</w:t>
      </w:r>
    </w:p>
    <w:bookmarkEnd w:id="58"/>
    <w:bookmarkEnd w:id="59"/>
    <w:bookmarkEnd w:id="62"/>
    <w:p w14:paraId="759589E3">
      <w:pPr>
        <w:spacing w:line="312"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（1）标的名称按照第三章项目采购需求中的货物名称填写，</w:t>
      </w:r>
      <w:r>
        <w:rPr>
          <w:rFonts w:hint="eastAsia" w:ascii="Arial" w:hAnsi="Arial" w:eastAsia="宋体" w:cs="Arial"/>
          <w:b/>
          <w:color w:val="auto"/>
          <w:szCs w:val="21"/>
          <w:highlight w:val="none"/>
        </w:rPr>
        <w:t>本项目核心交换机所属行业为：工业；序号2本部校区态势感知系统维保及序号3南宁分校态势感知系统维保所属行业为软件和信息技术服务业</w:t>
      </w:r>
      <w:r>
        <w:rPr>
          <w:rFonts w:ascii="Arial" w:hAnsi="Arial" w:eastAsia="宋体" w:cs="Arial"/>
          <w:b/>
          <w:color w:val="auto"/>
          <w:szCs w:val="21"/>
          <w:highlight w:val="none"/>
        </w:rPr>
        <w:t>。</w:t>
      </w:r>
    </w:p>
    <w:p w14:paraId="04D7CF11">
      <w:pPr>
        <w:spacing w:line="312"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（2）如供应商为联合体或分包的，声明函中“项目名称”应填写联合体中小微企业承担的具体内容或者小微企业具体分包内容。</w:t>
      </w:r>
    </w:p>
    <w:p w14:paraId="662F6D8E">
      <w:pPr>
        <w:spacing w:line="312"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（3）从业人员、营业收入、资产总额填报上一年度数据，无上一年度数据的新成立企业参照国务院批准的中小企业划分标准，根据企业自身情况如实判断。</w:t>
      </w:r>
    </w:p>
    <w:p w14:paraId="448ACB22">
      <w:pPr>
        <w:spacing w:line="312"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4）根据工业和信息化部对“从业人员”定义的答复，《民法典》、《公司法》等法律规定，分公司不具有法人资格，其民事责任由总公司承担。企业划型时，应将分公司的从业人员、营业收入、资产总额等指标数据纳入合并计算。</w:t>
      </w:r>
    </w:p>
    <w:p w14:paraId="1B9FBC6F">
      <w:pPr>
        <w:spacing w:line="312"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（5）根据国际统计局《劳动工资统计报表制度》，从业人员数是指本单位工作，并取得工资活其他形式劳动报酬的人员数，是在岗职工、劳务派遣人员及其他从业人员之和。</w:t>
      </w:r>
    </w:p>
    <w:p w14:paraId="5A0CA313">
      <w:pPr>
        <w:spacing w:line="312"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（6）本声明函由供应商填写，供应商应按中小企业划分标准《关于印发中小企业划型标准规定的通知》（工信部联企业〔2011〕300号</w:t>
      </w:r>
      <w:r>
        <w:rPr>
          <w:rFonts w:ascii="Arial" w:hAnsi="Arial" w:eastAsia="宋体" w:cs="Arial"/>
          <w:color w:val="auto"/>
          <w:szCs w:val="21"/>
          <w:highlight w:val="none"/>
        </w:rPr>
        <w:t>以及《金融业企业划型标准规定》（银发〔2015〕309号）</w:t>
      </w:r>
      <w:r>
        <w:rPr>
          <w:rFonts w:ascii="Arial" w:hAnsi="Arial" w:eastAsia="宋体" w:cs="Arial"/>
          <w:bCs/>
          <w:color w:val="auto"/>
          <w:szCs w:val="21"/>
          <w:highlight w:val="none"/>
        </w:rPr>
        <w:t>）判断是否为中小企业。</w:t>
      </w:r>
    </w:p>
    <w:p w14:paraId="31D8E4F2">
      <w:pPr>
        <w:spacing w:line="312"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（7）供应商对《中小企业声明函》的真实性负责，如有虚假则需承担不利后果。依法享受中小企业优惠政策的，采购人或采购代理机构在公告中标结果时，同时公告其《中小企业声明函》，接受社会监督。</w:t>
      </w:r>
    </w:p>
    <w:p w14:paraId="68D3F7F8">
      <w:pPr>
        <w:spacing w:line="312"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8）上述企业属于大企业的分支机构或控股股东为大企业或与大企业的负责人为同一人的，不得享受价格扣除优惠政策。接受分包的小微企业与分包企业之间存在直接控股、管理关系的，不得享受价格扣除优惠政策。</w:t>
      </w:r>
    </w:p>
    <w:p w14:paraId="26DCE00E">
      <w:pPr>
        <w:spacing w:line="312" w:lineRule="auto"/>
        <w:jc w:val="left"/>
        <w:rPr>
          <w:rFonts w:ascii="Arial" w:hAnsi="Arial" w:eastAsia="宋体" w:cs="Arial"/>
          <w:bCs/>
          <w:color w:val="auto"/>
          <w:szCs w:val="21"/>
          <w:highlight w:val="none"/>
        </w:rPr>
      </w:pPr>
    </w:p>
    <w:p w14:paraId="028C2F57">
      <w:pPr>
        <w:snapToGrid w:val="0"/>
        <w:spacing w:before="50" w:after="156" w:afterLines="50" w:line="312" w:lineRule="auto"/>
        <w:jc w:val="left"/>
        <w:rPr>
          <w:rFonts w:ascii="Arial" w:hAnsi="Arial" w:eastAsia="宋体" w:cs="Arial"/>
          <w:color w:val="auto"/>
          <w:szCs w:val="21"/>
          <w:highlight w:val="none"/>
        </w:rPr>
      </w:pPr>
      <w:r>
        <w:rPr>
          <w:rFonts w:ascii="Arial" w:hAnsi="Arial" w:eastAsia="宋体" w:cs="Arial"/>
          <w:color w:val="auto"/>
          <w:szCs w:val="21"/>
          <w:highlight w:val="none"/>
        </w:rPr>
        <w:t>2</w:t>
      </w:r>
      <w:r>
        <w:rPr>
          <w:rFonts w:hint="eastAsia" w:ascii="Arial" w:hAnsi="Arial" w:eastAsia="宋体" w:cs="Arial"/>
          <w:color w:val="auto"/>
          <w:szCs w:val="21"/>
          <w:highlight w:val="none"/>
        </w:rPr>
        <w:t>.</w:t>
      </w:r>
      <w:r>
        <w:rPr>
          <w:rFonts w:ascii="Arial" w:hAnsi="Arial" w:eastAsia="宋体" w:cs="Arial"/>
          <w:color w:val="auto"/>
          <w:szCs w:val="21"/>
          <w:highlight w:val="none"/>
        </w:rPr>
        <w:t>监狱企业须提供最新一期《XX省监狱企业产品目录》或其他监狱企业证明材料。（非监狱企业无需提供）</w:t>
      </w:r>
    </w:p>
    <w:p w14:paraId="5700BD33">
      <w:pPr>
        <w:snapToGrid w:val="0"/>
        <w:spacing w:before="50" w:after="156" w:afterLines="50" w:line="312" w:lineRule="auto"/>
        <w:jc w:val="left"/>
        <w:rPr>
          <w:rFonts w:ascii="Arial" w:hAnsi="Arial" w:eastAsia="宋体" w:cs="Arial"/>
          <w:color w:val="auto"/>
          <w:szCs w:val="21"/>
          <w:highlight w:val="none"/>
        </w:rPr>
      </w:pPr>
    </w:p>
    <w:p w14:paraId="526727E4">
      <w:pPr>
        <w:widowControl/>
        <w:spacing w:line="312" w:lineRule="auto"/>
        <w:jc w:val="left"/>
        <w:rPr>
          <w:rFonts w:ascii="Arial" w:hAnsi="Arial" w:eastAsia="宋体" w:cs="Arial"/>
          <w:color w:val="auto"/>
          <w:szCs w:val="21"/>
          <w:highlight w:val="none"/>
        </w:rPr>
      </w:pPr>
      <w:r>
        <w:rPr>
          <w:rFonts w:ascii="Arial" w:hAnsi="Arial" w:eastAsia="宋体" w:cs="Arial"/>
          <w:color w:val="auto"/>
          <w:szCs w:val="21"/>
          <w:highlight w:val="none"/>
        </w:rPr>
        <w:t>3</w:t>
      </w:r>
      <w:bookmarkStart w:id="63" w:name="_Hlk19051624"/>
      <w:r>
        <w:rPr>
          <w:rFonts w:hint="eastAsia" w:ascii="Arial" w:hAnsi="Arial" w:eastAsia="宋体" w:cs="Arial"/>
          <w:color w:val="auto"/>
          <w:szCs w:val="21"/>
          <w:highlight w:val="none"/>
        </w:rPr>
        <w:t>.</w:t>
      </w:r>
      <w:r>
        <w:rPr>
          <w:rFonts w:ascii="Arial" w:hAnsi="Arial" w:eastAsia="宋体" w:cs="Arial"/>
          <w:color w:val="auto"/>
          <w:highlight w:val="none"/>
        </w:rPr>
        <w:t>残疾人福利性单位须提供《残疾人福利性单位声明函》，格式如下。</w:t>
      </w:r>
      <w:r>
        <w:rPr>
          <w:rFonts w:ascii="Arial" w:hAnsi="Arial" w:eastAsia="宋体" w:cs="Arial"/>
          <w:color w:val="auto"/>
          <w:szCs w:val="21"/>
          <w:highlight w:val="none"/>
        </w:rPr>
        <w:t>（非残疾人福利性单位无需提供）</w:t>
      </w:r>
    </w:p>
    <w:bookmarkEnd w:id="63"/>
    <w:p w14:paraId="5A7248EB">
      <w:pPr>
        <w:spacing w:line="312" w:lineRule="auto"/>
        <w:jc w:val="center"/>
        <w:rPr>
          <w:rFonts w:ascii="Arial" w:hAnsi="Arial" w:eastAsia="宋体" w:cs="Arial"/>
          <w:b/>
          <w:color w:val="auto"/>
          <w:szCs w:val="21"/>
          <w:highlight w:val="none"/>
        </w:rPr>
      </w:pPr>
      <w:bookmarkStart w:id="64" w:name="OLE_LINK13"/>
      <w:bookmarkStart w:id="65" w:name="OLE_LINK14"/>
      <w:r>
        <w:rPr>
          <w:rFonts w:ascii="Arial" w:hAnsi="Arial" w:eastAsia="宋体" w:cs="Arial"/>
          <w:b/>
          <w:color w:val="auto"/>
          <w:szCs w:val="21"/>
          <w:highlight w:val="none"/>
        </w:rPr>
        <w:t>残疾人福利性单位声明函</w:t>
      </w:r>
      <w:bookmarkEnd w:id="64"/>
      <w:bookmarkEnd w:id="65"/>
    </w:p>
    <w:p w14:paraId="6D643935">
      <w:pPr>
        <w:spacing w:line="312" w:lineRule="auto"/>
        <w:ind w:firstLine="420"/>
        <w:jc w:val="left"/>
        <w:rPr>
          <w:rFonts w:ascii="Arial" w:hAnsi="Arial" w:eastAsia="宋体" w:cs="Arial"/>
          <w:color w:val="auto"/>
          <w:szCs w:val="21"/>
          <w:highlight w:val="none"/>
        </w:rPr>
      </w:pPr>
      <w:r>
        <w:rPr>
          <w:rFonts w:ascii="Arial" w:hAnsi="Arial" w:eastAsia="宋体" w:cs="Arial"/>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单位的</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38F39E4A">
      <w:pPr>
        <w:spacing w:line="312" w:lineRule="auto"/>
        <w:ind w:firstLine="420"/>
        <w:rPr>
          <w:rFonts w:ascii="Arial" w:hAnsi="Arial" w:eastAsia="宋体" w:cs="Arial"/>
          <w:color w:val="auto"/>
          <w:szCs w:val="21"/>
          <w:highlight w:val="none"/>
        </w:rPr>
      </w:pPr>
      <w:r>
        <w:rPr>
          <w:rFonts w:ascii="Arial" w:hAnsi="Arial" w:eastAsia="宋体" w:cs="Arial"/>
          <w:color w:val="auto"/>
          <w:szCs w:val="21"/>
          <w:highlight w:val="none"/>
        </w:rPr>
        <w:t>本单位对上述声明的真实性负责。如有虚假，将依法承担相应责任。</w:t>
      </w:r>
    </w:p>
    <w:p w14:paraId="750C566B">
      <w:pPr>
        <w:spacing w:line="312" w:lineRule="auto"/>
        <w:ind w:firstLine="420"/>
        <w:jc w:val="center"/>
        <w:rPr>
          <w:rFonts w:ascii="Arial" w:hAnsi="Arial" w:eastAsia="宋体" w:cs="Arial"/>
          <w:color w:val="auto"/>
          <w:spacing w:val="6"/>
          <w:szCs w:val="21"/>
          <w:highlight w:val="none"/>
        </w:rPr>
      </w:pPr>
      <w:r>
        <w:rPr>
          <w:rFonts w:ascii="Arial" w:hAnsi="Arial" w:eastAsia="宋体" w:cs="Arial"/>
          <w:color w:val="auto"/>
          <w:highlight w:val="none"/>
        </w:rPr>
        <w:t>供应商（公章）</w:t>
      </w:r>
      <w:r>
        <w:rPr>
          <w:rFonts w:ascii="Arial" w:hAnsi="Arial" w:eastAsia="宋体" w:cs="Arial"/>
          <w:color w:val="auto"/>
          <w:spacing w:val="6"/>
          <w:szCs w:val="21"/>
          <w:highlight w:val="none"/>
        </w:rPr>
        <w:t>：</w:t>
      </w:r>
    </w:p>
    <w:p w14:paraId="755C4965">
      <w:pPr>
        <w:spacing w:line="312" w:lineRule="auto"/>
        <w:ind w:firstLine="420"/>
        <w:jc w:val="center"/>
        <w:rPr>
          <w:rFonts w:ascii="Arial" w:hAnsi="Arial" w:cs="Arial"/>
          <w:color w:val="auto"/>
          <w:spacing w:val="6"/>
          <w:szCs w:val="21"/>
          <w:highlight w:val="none"/>
        </w:rPr>
      </w:pPr>
      <w:r>
        <w:rPr>
          <w:rFonts w:ascii="Arial" w:hAnsi="Arial" w:eastAsia="宋体" w:cs="Arial"/>
          <w:color w:val="auto"/>
          <w:spacing w:val="6"/>
          <w:szCs w:val="21"/>
          <w:highlight w:val="none"/>
        </w:rPr>
        <w:t>日  期：</w:t>
      </w:r>
    </w:p>
    <w:p w14:paraId="707891B6">
      <w:pPr>
        <w:spacing w:line="312" w:lineRule="auto"/>
        <w:rPr>
          <w:rFonts w:ascii="Arial" w:hAnsi="Arial" w:cs="Arial"/>
          <w:color w:val="auto"/>
          <w:szCs w:val="21"/>
          <w:highlight w:val="none"/>
        </w:rPr>
      </w:pPr>
    </w:p>
    <w:bookmarkEnd w:id="60"/>
    <w:bookmarkEnd w:id="61"/>
    <w:p w14:paraId="5C7AF438">
      <w:pPr>
        <w:spacing w:line="312" w:lineRule="auto"/>
        <w:rPr>
          <w:color w:val="auto"/>
          <w:highlight w:val="none"/>
        </w:rPr>
      </w:pPr>
    </w:p>
    <w:p w14:paraId="73F7E0FB">
      <w:pPr>
        <w:spacing w:line="312" w:lineRule="auto"/>
        <w:rPr>
          <w:color w:val="auto"/>
          <w:highlight w:val="none"/>
        </w:rPr>
      </w:pPr>
    </w:p>
    <w:sectPr>
      <w:footerReference r:id="rId13" w:type="default"/>
      <w:pgSz w:w="11906" w:h="16838"/>
      <w:pgMar w:top="1304" w:right="924" w:bottom="851" w:left="179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CC646">
    <w:pPr>
      <w:pStyle w:val="1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102BE">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0C874A">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40C874A">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845F4">
    <w:pPr>
      <w:tabs>
        <w:tab w:val="left" w:pos="1785"/>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A87275">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5A87275">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44644">
    <w:pPr>
      <w:pStyle w:val="17"/>
      <w:rPr>
        <w:rStyle w:val="27"/>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F90D92">
                          <w:pPr>
                            <w:pStyle w:val="17"/>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6F90D92">
                    <w:pPr>
                      <w:pStyle w:val="17"/>
                    </w:pPr>
                    <w:r>
                      <w:fldChar w:fldCharType="begin"/>
                    </w:r>
                    <w:r>
                      <w:instrText xml:space="preserve"> PAGE  \* MERGEFORMAT </w:instrText>
                    </w:r>
                    <w:r>
                      <w:fldChar w:fldCharType="separate"/>
                    </w:r>
                    <w:r>
                      <w:t>20</w:t>
                    </w:r>
                    <w:r>
                      <w:fldChar w:fldCharType="end"/>
                    </w:r>
                  </w:p>
                </w:txbxContent>
              </v:textbox>
            </v:shape>
          </w:pict>
        </mc:Fallback>
      </mc:AlternateContent>
    </w:r>
  </w:p>
  <w:p w14:paraId="1B8A4833">
    <w:pPr>
      <w:pStyle w:val="1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CDF71">
    <w:pPr>
      <w:pStyle w:val="17"/>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499406">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0499406">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F22C2">
    <w:pPr>
      <w:pStyle w:val="17"/>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5657C3">
                          <w:pPr>
                            <w:pStyle w:val="1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A5657C3">
                    <w:pPr>
                      <w:pStyle w:val="1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EEAD6">
    <w:pPr>
      <w:pStyle w:val="1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C38AD">
    <w:pPr>
      <w:pStyle w:val="17"/>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19506B">
                          <w:pPr>
                            <w:pStyle w:val="1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F19506B">
                    <w:pPr>
                      <w:pStyle w:val="17"/>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A326F">
    <w:pPr>
      <w:pStyle w:val="1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5ZTM0MDYxYzNhZTBmMmQ3ODcyYTgxMzFhNWNiMjMifQ=="/>
  </w:docVars>
  <w:rsids>
    <w:rsidRoot w:val="00F92138"/>
    <w:rsid w:val="00000735"/>
    <w:rsid w:val="00000B7B"/>
    <w:rsid w:val="000011ED"/>
    <w:rsid w:val="000019D9"/>
    <w:rsid w:val="00002003"/>
    <w:rsid w:val="0000200F"/>
    <w:rsid w:val="000029FA"/>
    <w:rsid w:val="00002B62"/>
    <w:rsid w:val="000034A6"/>
    <w:rsid w:val="0000390F"/>
    <w:rsid w:val="0000393D"/>
    <w:rsid w:val="00003B4C"/>
    <w:rsid w:val="00003D30"/>
    <w:rsid w:val="00003D90"/>
    <w:rsid w:val="000040FD"/>
    <w:rsid w:val="0000477B"/>
    <w:rsid w:val="00004CC8"/>
    <w:rsid w:val="00004F9B"/>
    <w:rsid w:val="00005143"/>
    <w:rsid w:val="00005783"/>
    <w:rsid w:val="00005950"/>
    <w:rsid w:val="0000607D"/>
    <w:rsid w:val="00006352"/>
    <w:rsid w:val="00006F69"/>
    <w:rsid w:val="0000722A"/>
    <w:rsid w:val="0000775B"/>
    <w:rsid w:val="00007E83"/>
    <w:rsid w:val="00007F96"/>
    <w:rsid w:val="0001073E"/>
    <w:rsid w:val="00010FC0"/>
    <w:rsid w:val="00011006"/>
    <w:rsid w:val="00011968"/>
    <w:rsid w:val="000127AC"/>
    <w:rsid w:val="0001284A"/>
    <w:rsid w:val="00012E2A"/>
    <w:rsid w:val="0001357A"/>
    <w:rsid w:val="000139C8"/>
    <w:rsid w:val="000139E0"/>
    <w:rsid w:val="00013C2B"/>
    <w:rsid w:val="00013EBB"/>
    <w:rsid w:val="00013F2B"/>
    <w:rsid w:val="00014B3F"/>
    <w:rsid w:val="00014F96"/>
    <w:rsid w:val="00015001"/>
    <w:rsid w:val="00015ADA"/>
    <w:rsid w:val="00016778"/>
    <w:rsid w:val="000173F5"/>
    <w:rsid w:val="00017DA1"/>
    <w:rsid w:val="0002073E"/>
    <w:rsid w:val="00021F89"/>
    <w:rsid w:val="00022A04"/>
    <w:rsid w:val="00022A8E"/>
    <w:rsid w:val="00022F6B"/>
    <w:rsid w:val="00023406"/>
    <w:rsid w:val="000236CF"/>
    <w:rsid w:val="00023CCC"/>
    <w:rsid w:val="000247AB"/>
    <w:rsid w:val="000247AF"/>
    <w:rsid w:val="00024F8B"/>
    <w:rsid w:val="000250E7"/>
    <w:rsid w:val="000253B5"/>
    <w:rsid w:val="000257E8"/>
    <w:rsid w:val="0002714F"/>
    <w:rsid w:val="000300C9"/>
    <w:rsid w:val="00030708"/>
    <w:rsid w:val="00030994"/>
    <w:rsid w:val="00030C53"/>
    <w:rsid w:val="00031552"/>
    <w:rsid w:val="00031D39"/>
    <w:rsid w:val="000320EE"/>
    <w:rsid w:val="000325F4"/>
    <w:rsid w:val="00032678"/>
    <w:rsid w:val="000331B7"/>
    <w:rsid w:val="00033313"/>
    <w:rsid w:val="00033D61"/>
    <w:rsid w:val="00033DAF"/>
    <w:rsid w:val="0003439C"/>
    <w:rsid w:val="000343BC"/>
    <w:rsid w:val="00034A7A"/>
    <w:rsid w:val="000350F3"/>
    <w:rsid w:val="000351B3"/>
    <w:rsid w:val="000352CA"/>
    <w:rsid w:val="000356DA"/>
    <w:rsid w:val="00035820"/>
    <w:rsid w:val="00035834"/>
    <w:rsid w:val="00035910"/>
    <w:rsid w:val="00035DF7"/>
    <w:rsid w:val="000377B0"/>
    <w:rsid w:val="00040940"/>
    <w:rsid w:val="00041076"/>
    <w:rsid w:val="000411E2"/>
    <w:rsid w:val="0004167F"/>
    <w:rsid w:val="000416EF"/>
    <w:rsid w:val="0004179F"/>
    <w:rsid w:val="00041BEF"/>
    <w:rsid w:val="00042132"/>
    <w:rsid w:val="000426E2"/>
    <w:rsid w:val="000427AB"/>
    <w:rsid w:val="0004314D"/>
    <w:rsid w:val="00043329"/>
    <w:rsid w:val="000435BB"/>
    <w:rsid w:val="00043BC9"/>
    <w:rsid w:val="00044975"/>
    <w:rsid w:val="00044B95"/>
    <w:rsid w:val="00044E5F"/>
    <w:rsid w:val="0004528E"/>
    <w:rsid w:val="00045A41"/>
    <w:rsid w:val="00045B84"/>
    <w:rsid w:val="00045F82"/>
    <w:rsid w:val="0004674C"/>
    <w:rsid w:val="000475AF"/>
    <w:rsid w:val="00047DE2"/>
    <w:rsid w:val="00047EB0"/>
    <w:rsid w:val="00050027"/>
    <w:rsid w:val="00050052"/>
    <w:rsid w:val="000504DA"/>
    <w:rsid w:val="000506B3"/>
    <w:rsid w:val="00050C94"/>
    <w:rsid w:val="00050EC4"/>
    <w:rsid w:val="00052011"/>
    <w:rsid w:val="00052DA6"/>
    <w:rsid w:val="00052DC5"/>
    <w:rsid w:val="00053080"/>
    <w:rsid w:val="000530AB"/>
    <w:rsid w:val="00054905"/>
    <w:rsid w:val="00054966"/>
    <w:rsid w:val="00054C38"/>
    <w:rsid w:val="00055318"/>
    <w:rsid w:val="00055BF1"/>
    <w:rsid w:val="00055E73"/>
    <w:rsid w:val="00055F83"/>
    <w:rsid w:val="00056190"/>
    <w:rsid w:val="00056AB7"/>
    <w:rsid w:val="00057B1A"/>
    <w:rsid w:val="00057CC9"/>
    <w:rsid w:val="000606D6"/>
    <w:rsid w:val="0006077A"/>
    <w:rsid w:val="00060AED"/>
    <w:rsid w:val="00060B78"/>
    <w:rsid w:val="00061151"/>
    <w:rsid w:val="0006188A"/>
    <w:rsid w:val="0006209C"/>
    <w:rsid w:val="0006269C"/>
    <w:rsid w:val="00062F9E"/>
    <w:rsid w:val="0006472E"/>
    <w:rsid w:val="00065639"/>
    <w:rsid w:val="00065A4D"/>
    <w:rsid w:val="00065C46"/>
    <w:rsid w:val="000665E4"/>
    <w:rsid w:val="000670BB"/>
    <w:rsid w:val="000675B5"/>
    <w:rsid w:val="00071885"/>
    <w:rsid w:val="00071A6A"/>
    <w:rsid w:val="00071B5D"/>
    <w:rsid w:val="000723E2"/>
    <w:rsid w:val="00072628"/>
    <w:rsid w:val="00072883"/>
    <w:rsid w:val="000738B6"/>
    <w:rsid w:val="00074224"/>
    <w:rsid w:val="00074AB7"/>
    <w:rsid w:val="00074DC6"/>
    <w:rsid w:val="00074DD4"/>
    <w:rsid w:val="0007565A"/>
    <w:rsid w:val="000760D2"/>
    <w:rsid w:val="00076294"/>
    <w:rsid w:val="000762BD"/>
    <w:rsid w:val="00076C31"/>
    <w:rsid w:val="0007704A"/>
    <w:rsid w:val="000775E8"/>
    <w:rsid w:val="0007788B"/>
    <w:rsid w:val="000779EA"/>
    <w:rsid w:val="00080059"/>
    <w:rsid w:val="0008020F"/>
    <w:rsid w:val="00080266"/>
    <w:rsid w:val="0008063A"/>
    <w:rsid w:val="00080CE3"/>
    <w:rsid w:val="00081346"/>
    <w:rsid w:val="000815D9"/>
    <w:rsid w:val="000820F8"/>
    <w:rsid w:val="00082451"/>
    <w:rsid w:val="000834F3"/>
    <w:rsid w:val="000835D1"/>
    <w:rsid w:val="00084489"/>
    <w:rsid w:val="0008527D"/>
    <w:rsid w:val="00085C7F"/>
    <w:rsid w:val="000861D8"/>
    <w:rsid w:val="00086674"/>
    <w:rsid w:val="000875D7"/>
    <w:rsid w:val="00087A27"/>
    <w:rsid w:val="00090879"/>
    <w:rsid w:val="0009099E"/>
    <w:rsid w:val="00090D96"/>
    <w:rsid w:val="00090E17"/>
    <w:rsid w:val="00091299"/>
    <w:rsid w:val="00091791"/>
    <w:rsid w:val="00092868"/>
    <w:rsid w:val="0009290A"/>
    <w:rsid w:val="00093C28"/>
    <w:rsid w:val="00093E84"/>
    <w:rsid w:val="00094425"/>
    <w:rsid w:val="000945EF"/>
    <w:rsid w:val="000946E7"/>
    <w:rsid w:val="00095305"/>
    <w:rsid w:val="000965CD"/>
    <w:rsid w:val="00096861"/>
    <w:rsid w:val="00096AD2"/>
    <w:rsid w:val="00096CEF"/>
    <w:rsid w:val="00097655"/>
    <w:rsid w:val="000A00F5"/>
    <w:rsid w:val="000A046A"/>
    <w:rsid w:val="000A04BC"/>
    <w:rsid w:val="000A0FD6"/>
    <w:rsid w:val="000A1C45"/>
    <w:rsid w:val="000A2AA0"/>
    <w:rsid w:val="000A2FB4"/>
    <w:rsid w:val="000A3187"/>
    <w:rsid w:val="000A3E17"/>
    <w:rsid w:val="000A4F3B"/>
    <w:rsid w:val="000A5169"/>
    <w:rsid w:val="000A5C45"/>
    <w:rsid w:val="000A5E5D"/>
    <w:rsid w:val="000A60A3"/>
    <w:rsid w:val="000A6465"/>
    <w:rsid w:val="000A6629"/>
    <w:rsid w:val="000A6CD2"/>
    <w:rsid w:val="000A7625"/>
    <w:rsid w:val="000B010C"/>
    <w:rsid w:val="000B1226"/>
    <w:rsid w:val="000B1865"/>
    <w:rsid w:val="000B2456"/>
    <w:rsid w:val="000B2579"/>
    <w:rsid w:val="000B2980"/>
    <w:rsid w:val="000B38C7"/>
    <w:rsid w:val="000B414E"/>
    <w:rsid w:val="000B4180"/>
    <w:rsid w:val="000B48B6"/>
    <w:rsid w:val="000B512F"/>
    <w:rsid w:val="000B5531"/>
    <w:rsid w:val="000B5ACF"/>
    <w:rsid w:val="000B5F21"/>
    <w:rsid w:val="000B62C2"/>
    <w:rsid w:val="000B647B"/>
    <w:rsid w:val="000B6631"/>
    <w:rsid w:val="000B7939"/>
    <w:rsid w:val="000B7A97"/>
    <w:rsid w:val="000B7B41"/>
    <w:rsid w:val="000B7D9B"/>
    <w:rsid w:val="000B7FF1"/>
    <w:rsid w:val="000C0051"/>
    <w:rsid w:val="000C018F"/>
    <w:rsid w:val="000C0364"/>
    <w:rsid w:val="000C0406"/>
    <w:rsid w:val="000C093A"/>
    <w:rsid w:val="000C1270"/>
    <w:rsid w:val="000C1576"/>
    <w:rsid w:val="000C16C7"/>
    <w:rsid w:val="000C18B9"/>
    <w:rsid w:val="000C1C13"/>
    <w:rsid w:val="000C2478"/>
    <w:rsid w:val="000C2C4E"/>
    <w:rsid w:val="000C301E"/>
    <w:rsid w:val="000C31E4"/>
    <w:rsid w:val="000C3379"/>
    <w:rsid w:val="000C3502"/>
    <w:rsid w:val="000C3585"/>
    <w:rsid w:val="000C566C"/>
    <w:rsid w:val="000C6144"/>
    <w:rsid w:val="000C6905"/>
    <w:rsid w:val="000C699F"/>
    <w:rsid w:val="000C7705"/>
    <w:rsid w:val="000C7DC0"/>
    <w:rsid w:val="000D0321"/>
    <w:rsid w:val="000D06C8"/>
    <w:rsid w:val="000D093D"/>
    <w:rsid w:val="000D0DAA"/>
    <w:rsid w:val="000D11A7"/>
    <w:rsid w:val="000D1B37"/>
    <w:rsid w:val="000D1C99"/>
    <w:rsid w:val="000D3A93"/>
    <w:rsid w:val="000D4995"/>
    <w:rsid w:val="000D519C"/>
    <w:rsid w:val="000D55BE"/>
    <w:rsid w:val="000D5BC2"/>
    <w:rsid w:val="000D6062"/>
    <w:rsid w:val="000D60A5"/>
    <w:rsid w:val="000D6BAF"/>
    <w:rsid w:val="000D6D5C"/>
    <w:rsid w:val="000D6E30"/>
    <w:rsid w:val="000D6F1A"/>
    <w:rsid w:val="000E00A8"/>
    <w:rsid w:val="000E0204"/>
    <w:rsid w:val="000E1051"/>
    <w:rsid w:val="000E12EE"/>
    <w:rsid w:val="000E157C"/>
    <w:rsid w:val="000E1EA9"/>
    <w:rsid w:val="000E1ECA"/>
    <w:rsid w:val="000E3274"/>
    <w:rsid w:val="000E3298"/>
    <w:rsid w:val="000E3594"/>
    <w:rsid w:val="000E3877"/>
    <w:rsid w:val="000E3A19"/>
    <w:rsid w:val="000E3CB7"/>
    <w:rsid w:val="000E3E4D"/>
    <w:rsid w:val="000E4F78"/>
    <w:rsid w:val="000E5069"/>
    <w:rsid w:val="000E5BD7"/>
    <w:rsid w:val="000E5CD5"/>
    <w:rsid w:val="000E5FB4"/>
    <w:rsid w:val="000E65D4"/>
    <w:rsid w:val="000E7700"/>
    <w:rsid w:val="000E7AEE"/>
    <w:rsid w:val="000E7D2D"/>
    <w:rsid w:val="000F0191"/>
    <w:rsid w:val="000F0D36"/>
    <w:rsid w:val="000F0F13"/>
    <w:rsid w:val="000F1327"/>
    <w:rsid w:val="000F2296"/>
    <w:rsid w:val="000F38F8"/>
    <w:rsid w:val="000F3C3B"/>
    <w:rsid w:val="000F3D0D"/>
    <w:rsid w:val="000F5E9E"/>
    <w:rsid w:val="000F61C1"/>
    <w:rsid w:val="000F6817"/>
    <w:rsid w:val="000F77E7"/>
    <w:rsid w:val="000F77F5"/>
    <w:rsid w:val="00100145"/>
    <w:rsid w:val="00100632"/>
    <w:rsid w:val="00100D7E"/>
    <w:rsid w:val="001012FC"/>
    <w:rsid w:val="0010195A"/>
    <w:rsid w:val="00102187"/>
    <w:rsid w:val="0010254A"/>
    <w:rsid w:val="00102A52"/>
    <w:rsid w:val="00102C70"/>
    <w:rsid w:val="0010305F"/>
    <w:rsid w:val="0010326D"/>
    <w:rsid w:val="00103CFF"/>
    <w:rsid w:val="00103E2A"/>
    <w:rsid w:val="00103F5F"/>
    <w:rsid w:val="0010558B"/>
    <w:rsid w:val="001058BC"/>
    <w:rsid w:val="00105CF9"/>
    <w:rsid w:val="00105E54"/>
    <w:rsid w:val="00106D8F"/>
    <w:rsid w:val="00107ACD"/>
    <w:rsid w:val="00107DBE"/>
    <w:rsid w:val="0011002D"/>
    <w:rsid w:val="001104D5"/>
    <w:rsid w:val="001112F3"/>
    <w:rsid w:val="0011141A"/>
    <w:rsid w:val="00111A2D"/>
    <w:rsid w:val="00112099"/>
    <w:rsid w:val="00112160"/>
    <w:rsid w:val="00112386"/>
    <w:rsid w:val="0011273F"/>
    <w:rsid w:val="00112B2A"/>
    <w:rsid w:val="00112F5B"/>
    <w:rsid w:val="00113733"/>
    <w:rsid w:val="0011375A"/>
    <w:rsid w:val="00113956"/>
    <w:rsid w:val="0011430E"/>
    <w:rsid w:val="00114B86"/>
    <w:rsid w:val="00114BAC"/>
    <w:rsid w:val="00114C29"/>
    <w:rsid w:val="00115383"/>
    <w:rsid w:val="001158E8"/>
    <w:rsid w:val="0011594D"/>
    <w:rsid w:val="00116607"/>
    <w:rsid w:val="00116744"/>
    <w:rsid w:val="00117097"/>
    <w:rsid w:val="00117824"/>
    <w:rsid w:val="0012019E"/>
    <w:rsid w:val="00120802"/>
    <w:rsid w:val="0012135D"/>
    <w:rsid w:val="0012211E"/>
    <w:rsid w:val="001227F7"/>
    <w:rsid w:val="001234A8"/>
    <w:rsid w:val="00123502"/>
    <w:rsid w:val="00124398"/>
    <w:rsid w:val="00125B41"/>
    <w:rsid w:val="00125CB3"/>
    <w:rsid w:val="00126A9D"/>
    <w:rsid w:val="00127500"/>
    <w:rsid w:val="00127CFA"/>
    <w:rsid w:val="001302F3"/>
    <w:rsid w:val="00130436"/>
    <w:rsid w:val="00130918"/>
    <w:rsid w:val="00130EFA"/>
    <w:rsid w:val="00131596"/>
    <w:rsid w:val="001315FD"/>
    <w:rsid w:val="00131B68"/>
    <w:rsid w:val="00131C76"/>
    <w:rsid w:val="0013205C"/>
    <w:rsid w:val="00132A4F"/>
    <w:rsid w:val="00132ABE"/>
    <w:rsid w:val="00133A8A"/>
    <w:rsid w:val="001340B7"/>
    <w:rsid w:val="00134B6E"/>
    <w:rsid w:val="00134C8D"/>
    <w:rsid w:val="00135DD0"/>
    <w:rsid w:val="00135FC6"/>
    <w:rsid w:val="0013633F"/>
    <w:rsid w:val="00136862"/>
    <w:rsid w:val="00136C57"/>
    <w:rsid w:val="00137163"/>
    <w:rsid w:val="0013721A"/>
    <w:rsid w:val="00137254"/>
    <w:rsid w:val="001373DE"/>
    <w:rsid w:val="0013793C"/>
    <w:rsid w:val="00137BD4"/>
    <w:rsid w:val="001404BC"/>
    <w:rsid w:val="00140802"/>
    <w:rsid w:val="00140E6D"/>
    <w:rsid w:val="00140FCC"/>
    <w:rsid w:val="001418DC"/>
    <w:rsid w:val="001419A5"/>
    <w:rsid w:val="00141B28"/>
    <w:rsid w:val="00142C55"/>
    <w:rsid w:val="001435BC"/>
    <w:rsid w:val="00143961"/>
    <w:rsid w:val="00145252"/>
    <w:rsid w:val="00145C6E"/>
    <w:rsid w:val="00146959"/>
    <w:rsid w:val="00146B51"/>
    <w:rsid w:val="00146BC1"/>
    <w:rsid w:val="00147434"/>
    <w:rsid w:val="001500A3"/>
    <w:rsid w:val="00150283"/>
    <w:rsid w:val="0015052B"/>
    <w:rsid w:val="00150583"/>
    <w:rsid w:val="00150737"/>
    <w:rsid w:val="00150D45"/>
    <w:rsid w:val="00150E00"/>
    <w:rsid w:val="00150E78"/>
    <w:rsid w:val="00151760"/>
    <w:rsid w:val="001518A6"/>
    <w:rsid w:val="00151C92"/>
    <w:rsid w:val="00151D76"/>
    <w:rsid w:val="00151E1C"/>
    <w:rsid w:val="00152325"/>
    <w:rsid w:val="00152580"/>
    <w:rsid w:val="00152F32"/>
    <w:rsid w:val="001546EE"/>
    <w:rsid w:val="001552FB"/>
    <w:rsid w:val="00155E4D"/>
    <w:rsid w:val="001563CA"/>
    <w:rsid w:val="00156A8D"/>
    <w:rsid w:val="00157CF4"/>
    <w:rsid w:val="00157D40"/>
    <w:rsid w:val="00160B58"/>
    <w:rsid w:val="001614DE"/>
    <w:rsid w:val="001615FE"/>
    <w:rsid w:val="001620C7"/>
    <w:rsid w:val="00162359"/>
    <w:rsid w:val="00163267"/>
    <w:rsid w:val="001632FA"/>
    <w:rsid w:val="001634AE"/>
    <w:rsid w:val="001635EC"/>
    <w:rsid w:val="001639BC"/>
    <w:rsid w:val="00163AF5"/>
    <w:rsid w:val="00164A32"/>
    <w:rsid w:val="00164AEE"/>
    <w:rsid w:val="0016522F"/>
    <w:rsid w:val="00165908"/>
    <w:rsid w:val="001659D3"/>
    <w:rsid w:val="00165FF2"/>
    <w:rsid w:val="00166155"/>
    <w:rsid w:val="0016644F"/>
    <w:rsid w:val="00166459"/>
    <w:rsid w:val="001666A4"/>
    <w:rsid w:val="00166DF1"/>
    <w:rsid w:val="001670FE"/>
    <w:rsid w:val="001671D1"/>
    <w:rsid w:val="001707ED"/>
    <w:rsid w:val="00170B3B"/>
    <w:rsid w:val="00170C93"/>
    <w:rsid w:val="00170E6F"/>
    <w:rsid w:val="00171332"/>
    <w:rsid w:val="00171E9E"/>
    <w:rsid w:val="0017230F"/>
    <w:rsid w:val="00172886"/>
    <w:rsid w:val="00172DD5"/>
    <w:rsid w:val="00172FB9"/>
    <w:rsid w:val="001730B1"/>
    <w:rsid w:val="0017330B"/>
    <w:rsid w:val="00173523"/>
    <w:rsid w:val="00173EF6"/>
    <w:rsid w:val="0017420B"/>
    <w:rsid w:val="0017446B"/>
    <w:rsid w:val="00174579"/>
    <w:rsid w:val="00174DC5"/>
    <w:rsid w:val="001757E9"/>
    <w:rsid w:val="00175FAB"/>
    <w:rsid w:val="001767EA"/>
    <w:rsid w:val="00176A0F"/>
    <w:rsid w:val="00176EAE"/>
    <w:rsid w:val="00177137"/>
    <w:rsid w:val="0017717B"/>
    <w:rsid w:val="00177C81"/>
    <w:rsid w:val="00177EC5"/>
    <w:rsid w:val="00177FE6"/>
    <w:rsid w:val="00180BEC"/>
    <w:rsid w:val="00180F65"/>
    <w:rsid w:val="00181258"/>
    <w:rsid w:val="00181CCB"/>
    <w:rsid w:val="00182805"/>
    <w:rsid w:val="00182C8C"/>
    <w:rsid w:val="00183BC4"/>
    <w:rsid w:val="00183BCC"/>
    <w:rsid w:val="00184BEB"/>
    <w:rsid w:val="00184D91"/>
    <w:rsid w:val="00185033"/>
    <w:rsid w:val="00185173"/>
    <w:rsid w:val="00186411"/>
    <w:rsid w:val="00186C3F"/>
    <w:rsid w:val="001875C3"/>
    <w:rsid w:val="00187DCA"/>
    <w:rsid w:val="001902E5"/>
    <w:rsid w:val="0019071A"/>
    <w:rsid w:val="001907E1"/>
    <w:rsid w:val="001910FC"/>
    <w:rsid w:val="0019110D"/>
    <w:rsid w:val="001917AC"/>
    <w:rsid w:val="00191864"/>
    <w:rsid w:val="00192720"/>
    <w:rsid w:val="00192B99"/>
    <w:rsid w:val="00193724"/>
    <w:rsid w:val="00193C73"/>
    <w:rsid w:val="0019442F"/>
    <w:rsid w:val="00194DB9"/>
    <w:rsid w:val="001952C0"/>
    <w:rsid w:val="00195E14"/>
    <w:rsid w:val="00195EC8"/>
    <w:rsid w:val="0019621C"/>
    <w:rsid w:val="00196416"/>
    <w:rsid w:val="00196BC2"/>
    <w:rsid w:val="00196CD1"/>
    <w:rsid w:val="00197043"/>
    <w:rsid w:val="00197505"/>
    <w:rsid w:val="001978D4"/>
    <w:rsid w:val="00197B0B"/>
    <w:rsid w:val="001A0202"/>
    <w:rsid w:val="001A0C8D"/>
    <w:rsid w:val="001A162C"/>
    <w:rsid w:val="001A16C1"/>
    <w:rsid w:val="001A1766"/>
    <w:rsid w:val="001A1F39"/>
    <w:rsid w:val="001A223B"/>
    <w:rsid w:val="001A2572"/>
    <w:rsid w:val="001A3AEF"/>
    <w:rsid w:val="001A3FAA"/>
    <w:rsid w:val="001A493C"/>
    <w:rsid w:val="001A50C7"/>
    <w:rsid w:val="001A55F6"/>
    <w:rsid w:val="001A6669"/>
    <w:rsid w:val="001A69BB"/>
    <w:rsid w:val="001A7007"/>
    <w:rsid w:val="001A750D"/>
    <w:rsid w:val="001A7557"/>
    <w:rsid w:val="001A7949"/>
    <w:rsid w:val="001A7A26"/>
    <w:rsid w:val="001B02A1"/>
    <w:rsid w:val="001B0531"/>
    <w:rsid w:val="001B07BA"/>
    <w:rsid w:val="001B0E49"/>
    <w:rsid w:val="001B0E82"/>
    <w:rsid w:val="001B1AE3"/>
    <w:rsid w:val="001B2000"/>
    <w:rsid w:val="001B2025"/>
    <w:rsid w:val="001B22C7"/>
    <w:rsid w:val="001B276A"/>
    <w:rsid w:val="001B29D5"/>
    <w:rsid w:val="001B321D"/>
    <w:rsid w:val="001B39B6"/>
    <w:rsid w:val="001B3A22"/>
    <w:rsid w:val="001B41B3"/>
    <w:rsid w:val="001B4326"/>
    <w:rsid w:val="001B4367"/>
    <w:rsid w:val="001B4823"/>
    <w:rsid w:val="001B49CB"/>
    <w:rsid w:val="001B536B"/>
    <w:rsid w:val="001B59AE"/>
    <w:rsid w:val="001B5F59"/>
    <w:rsid w:val="001B674A"/>
    <w:rsid w:val="001B6E60"/>
    <w:rsid w:val="001B6E90"/>
    <w:rsid w:val="001B718C"/>
    <w:rsid w:val="001B7C3C"/>
    <w:rsid w:val="001B7E82"/>
    <w:rsid w:val="001B7FBB"/>
    <w:rsid w:val="001C0C11"/>
    <w:rsid w:val="001C150B"/>
    <w:rsid w:val="001C23AC"/>
    <w:rsid w:val="001C261A"/>
    <w:rsid w:val="001C2BB8"/>
    <w:rsid w:val="001C2C88"/>
    <w:rsid w:val="001C3764"/>
    <w:rsid w:val="001C3D12"/>
    <w:rsid w:val="001C4F29"/>
    <w:rsid w:val="001C50CF"/>
    <w:rsid w:val="001C5609"/>
    <w:rsid w:val="001C5817"/>
    <w:rsid w:val="001C5851"/>
    <w:rsid w:val="001C701F"/>
    <w:rsid w:val="001C72C5"/>
    <w:rsid w:val="001C743F"/>
    <w:rsid w:val="001C745C"/>
    <w:rsid w:val="001C750F"/>
    <w:rsid w:val="001C77CF"/>
    <w:rsid w:val="001C77EE"/>
    <w:rsid w:val="001C7893"/>
    <w:rsid w:val="001C78AD"/>
    <w:rsid w:val="001C79B7"/>
    <w:rsid w:val="001D027B"/>
    <w:rsid w:val="001D0660"/>
    <w:rsid w:val="001D1074"/>
    <w:rsid w:val="001D17FB"/>
    <w:rsid w:val="001D1A40"/>
    <w:rsid w:val="001D1BD9"/>
    <w:rsid w:val="001D2AE1"/>
    <w:rsid w:val="001D3726"/>
    <w:rsid w:val="001D4107"/>
    <w:rsid w:val="001D4CDA"/>
    <w:rsid w:val="001D53BE"/>
    <w:rsid w:val="001D5C2F"/>
    <w:rsid w:val="001D5EEB"/>
    <w:rsid w:val="001D6108"/>
    <w:rsid w:val="001D6933"/>
    <w:rsid w:val="001D6F26"/>
    <w:rsid w:val="001D6FBD"/>
    <w:rsid w:val="001D7145"/>
    <w:rsid w:val="001D77E8"/>
    <w:rsid w:val="001D7916"/>
    <w:rsid w:val="001E001B"/>
    <w:rsid w:val="001E0319"/>
    <w:rsid w:val="001E07BC"/>
    <w:rsid w:val="001E0862"/>
    <w:rsid w:val="001E12B7"/>
    <w:rsid w:val="001E148F"/>
    <w:rsid w:val="001E14C3"/>
    <w:rsid w:val="001E1882"/>
    <w:rsid w:val="001E1A98"/>
    <w:rsid w:val="001E23BF"/>
    <w:rsid w:val="001E275B"/>
    <w:rsid w:val="001E2DE6"/>
    <w:rsid w:val="001E3609"/>
    <w:rsid w:val="001E3693"/>
    <w:rsid w:val="001E3A6C"/>
    <w:rsid w:val="001E53BE"/>
    <w:rsid w:val="001E5B2B"/>
    <w:rsid w:val="001E696A"/>
    <w:rsid w:val="001E6D2F"/>
    <w:rsid w:val="001E74BB"/>
    <w:rsid w:val="001E781B"/>
    <w:rsid w:val="001E7AD7"/>
    <w:rsid w:val="001E7E7A"/>
    <w:rsid w:val="001F1412"/>
    <w:rsid w:val="001F1440"/>
    <w:rsid w:val="001F1853"/>
    <w:rsid w:val="001F1B67"/>
    <w:rsid w:val="001F2716"/>
    <w:rsid w:val="001F2976"/>
    <w:rsid w:val="001F3A64"/>
    <w:rsid w:val="001F3AD9"/>
    <w:rsid w:val="001F3DAC"/>
    <w:rsid w:val="001F3E76"/>
    <w:rsid w:val="001F46E0"/>
    <w:rsid w:val="001F4931"/>
    <w:rsid w:val="001F5596"/>
    <w:rsid w:val="001F5981"/>
    <w:rsid w:val="001F5AA1"/>
    <w:rsid w:val="001F5C11"/>
    <w:rsid w:val="001F641A"/>
    <w:rsid w:val="001F65D9"/>
    <w:rsid w:val="001F662E"/>
    <w:rsid w:val="001F664B"/>
    <w:rsid w:val="001F732F"/>
    <w:rsid w:val="001F7340"/>
    <w:rsid w:val="001F7F8D"/>
    <w:rsid w:val="00200316"/>
    <w:rsid w:val="0020050E"/>
    <w:rsid w:val="00200B3A"/>
    <w:rsid w:val="0020195A"/>
    <w:rsid w:val="00201D5E"/>
    <w:rsid w:val="00202C8B"/>
    <w:rsid w:val="00202ED7"/>
    <w:rsid w:val="002032BD"/>
    <w:rsid w:val="00203753"/>
    <w:rsid w:val="002039AE"/>
    <w:rsid w:val="00203EF9"/>
    <w:rsid w:val="00204664"/>
    <w:rsid w:val="0020466C"/>
    <w:rsid w:val="00206225"/>
    <w:rsid w:val="00206396"/>
    <w:rsid w:val="002077AB"/>
    <w:rsid w:val="0020795D"/>
    <w:rsid w:val="00207C8F"/>
    <w:rsid w:val="0021056F"/>
    <w:rsid w:val="0021125C"/>
    <w:rsid w:val="002114BA"/>
    <w:rsid w:val="00211C13"/>
    <w:rsid w:val="00212626"/>
    <w:rsid w:val="00212D38"/>
    <w:rsid w:val="002138FE"/>
    <w:rsid w:val="0021399E"/>
    <w:rsid w:val="0021404A"/>
    <w:rsid w:val="00214CC2"/>
    <w:rsid w:val="00215408"/>
    <w:rsid w:val="002155F1"/>
    <w:rsid w:val="00215F2B"/>
    <w:rsid w:val="00216AEA"/>
    <w:rsid w:val="0021774E"/>
    <w:rsid w:val="00217A72"/>
    <w:rsid w:val="00217AE5"/>
    <w:rsid w:val="00217CA7"/>
    <w:rsid w:val="00220E32"/>
    <w:rsid w:val="00221495"/>
    <w:rsid w:val="00221888"/>
    <w:rsid w:val="00222708"/>
    <w:rsid w:val="0022560E"/>
    <w:rsid w:val="00225B4E"/>
    <w:rsid w:val="002261F8"/>
    <w:rsid w:val="00226478"/>
    <w:rsid w:val="00226680"/>
    <w:rsid w:val="0022785B"/>
    <w:rsid w:val="002278CE"/>
    <w:rsid w:val="00227CED"/>
    <w:rsid w:val="00230CF5"/>
    <w:rsid w:val="0023141E"/>
    <w:rsid w:val="00231667"/>
    <w:rsid w:val="002322AC"/>
    <w:rsid w:val="002325AE"/>
    <w:rsid w:val="002326F2"/>
    <w:rsid w:val="0023295A"/>
    <w:rsid w:val="00232CC9"/>
    <w:rsid w:val="00232EBF"/>
    <w:rsid w:val="00233BE7"/>
    <w:rsid w:val="00234641"/>
    <w:rsid w:val="002350F8"/>
    <w:rsid w:val="002359C3"/>
    <w:rsid w:val="00235F89"/>
    <w:rsid w:val="00236BD8"/>
    <w:rsid w:val="00236F91"/>
    <w:rsid w:val="0024074A"/>
    <w:rsid w:val="0024096E"/>
    <w:rsid w:val="00240AB0"/>
    <w:rsid w:val="00241033"/>
    <w:rsid w:val="00241A5C"/>
    <w:rsid w:val="00241B87"/>
    <w:rsid w:val="0024232F"/>
    <w:rsid w:val="00242A3D"/>
    <w:rsid w:val="00242C00"/>
    <w:rsid w:val="00242CD7"/>
    <w:rsid w:val="00243041"/>
    <w:rsid w:val="00243321"/>
    <w:rsid w:val="00243541"/>
    <w:rsid w:val="002438F1"/>
    <w:rsid w:val="00243931"/>
    <w:rsid w:val="002439A1"/>
    <w:rsid w:val="00243F0E"/>
    <w:rsid w:val="00243FF7"/>
    <w:rsid w:val="002441BE"/>
    <w:rsid w:val="0024532F"/>
    <w:rsid w:val="0024557C"/>
    <w:rsid w:val="002456C7"/>
    <w:rsid w:val="00245F84"/>
    <w:rsid w:val="00246B1C"/>
    <w:rsid w:val="00246D89"/>
    <w:rsid w:val="002472AA"/>
    <w:rsid w:val="002473EC"/>
    <w:rsid w:val="002479E7"/>
    <w:rsid w:val="00247D80"/>
    <w:rsid w:val="00250102"/>
    <w:rsid w:val="00251040"/>
    <w:rsid w:val="002517A2"/>
    <w:rsid w:val="00251E7B"/>
    <w:rsid w:val="002528CC"/>
    <w:rsid w:val="00252F05"/>
    <w:rsid w:val="002540AA"/>
    <w:rsid w:val="002540FA"/>
    <w:rsid w:val="002544BE"/>
    <w:rsid w:val="0025461F"/>
    <w:rsid w:val="002549A9"/>
    <w:rsid w:val="00255A2B"/>
    <w:rsid w:val="002561FE"/>
    <w:rsid w:val="0025620E"/>
    <w:rsid w:val="002567CD"/>
    <w:rsid w:val="002567EF"/>
    <w:rsid w:val="00260359"/>
    <w:rsid w:val="00260361"/>
    <w:rsid w:val="00260586"/>
    <w:rsid w:val="0026067E"/>
    <w:rsid w:val="00260A7F"/>
    <w:rsid w:val="00261358"/>
    <w:rsid w:val="00261387"/>
    <w:rsid w:val="00261D25"/>
    <w:rsid w:val="00262C08"/>
    <w:rsid w:val="0026326B"/>
    <w:rsid w:val="002644C8"/>
    <w:rsid w:val="00264601"/>
    <w:rsid w:val="0026476F"/>
    <w:rsid w:val="002647A2"/>
    <w:rsid w:val="00264D86"/>
    <w:rsid w:val="0026510C"/>
    <w:rsid w:val="00265323"/>
    <w:rsid w:val="00265494"/>
    <w:rsid w:val="00265F65"/>
    <w:rsid w:val="00266A44"/>
    <w:rsid w:val="00266D2B"/>
    <w:rsid w:val="002675D9"/>
    <w:rsid w:val="0027022E"/>
    <w:rsid w:val="002704FB"/>
    <w:rsid w:val="00272CF4"/>
    <w:rsid w:val="00272F0B"/>
    <w:rsid w:val="00273044"/>
    <w:rsid w:val="00273278"/>
    <w:rsid w:val="002735AA"/>
    <w:rsid w:val="00273BF0"/>
    <w:rsid w:val="00273F3C"/>
    <w:rsid w:val="002748B6"/>
    <w:rsid w:val="00275551"/>
    <w:rsid w:val="00275602"/>
    <w:rsid w:val="00275CD6"/>
    <w:rsid w:val="00275DBE"/>
    <w:rsid w:val="00275EA2"/>
    <w:rsid w:val="00276424"/>
    <w:rsid w:val="0027652D"/>
    <w:rsid w:val="00276589"/>
    <w:rsid w:val="00276828"/>
    <w:rsid w:val="00276F15"/>
    <w:rsid w:val="00277E96"/>
    <w:rsid w:val="00277F33"/>
    <w:rsid w:val="00280012"/>
    <w:rsid w:val="00280A83"/>
    <w:rsid w:val="00280EB0"/>
    <w:rsid w:val="00280FD4"/>
    <w:rsid w:val="00281382"/>
    <w:rsid w:val="002814A0"/>
    <w:rsid w:val="00281DD3"/>
    <w:rsid w:val="00281F76"/>
    <w:rsid w:val="00282775"/>
    <w:rsid w:val="00282B2A"/>
    <w:rsid w:val="00283084"/>
    <w:rsid w:val="002838D5"/>
    <w:rsid w:val="0028443A"/>
    <w:rsid w:val="002846FC"/>
    <w:rsid w:val="00284870"/>
    <w:rsid w:val="00284C41"/>
    <w:rsid w:val="00284C49"/>
    <w:rsid w:val="00284D2F"/>
    <w:rsid w:val="00285210"/>
    <w:rsid w:val="00285367"/>
    <w:rsid w:val="00285440"/>
    <w:rsid w:val="0028551E"/>
    <w:rsid w:val="0028552C"/>
    <w:rsid w:val="002858A4"/>
    <w:rsid w:val="00285B1F"/>
    <w:rsid w:val="00285C28"/>
    <w:rsid w:val="00285FD5"/>
    <w:rsid w:val="00286F7B"/>
    <w:rsid w:val="002903F9"/>
    <w:rsid w:val="00291373"/>
    <w:rsid w:val="002914AC"/>
    <w:rsid w:val="002914B9"/>
    <w:rsid w:val="002918D2"/>
    <w:rsid w:val="00291B3C"/>
    <w:rsid w:val="00291DB8"/>
    <w:rsid w:val="002920EB"/>
    <w:rsid w:val="002922EE"/>
    <w:rsid w:val="0029241D"/>
    <w:rsid w:val="002937B6"/>
    <w:rsid w:val="0029395E"/>
    <w:rsid w:val="00293D04"/>
    <w:rsid w:val="00293F3A"/>
    <w:rsid w:val="00293F6E"/>
    <w:rsid w:val="002941BC"/>
    <w:rsid w:val="00294CF1"/>
    <w:rsid w:val="00294D40"/>
    <w:rsid w:val="00294D8B"/>
    <w:rsid w:val="00295953"/>
    <w:rsid w:val="00295A96"/>
    <w:rsid w:val="00295DBE"/>
    <w:rsid w:val="00296C8E"/>
    <w:rsid w:val="00296F26"/>
    <w:rsid w:val="002A0408"/>
    <w:rsid w:val="002A0425"/>
    <w:rsid w:val="002A0A25"/>
    <w:rsid w:val="002A0B6A"/>
    <w:rsid w:val="002A1103"/>
    <w:rsid w:val="002A115D"/>
    <w:rsid w:val="002A19C5"/>
    <w:rsid w:val="002A1F35"/>
    <w:rsid w:val="002A2251"/>
    <w:rsid w:val="002A25A4"/>
    <w:rsid w:val="002A2BE8"/>
    <w:rsid w:val="002A33B3"/>
    <w:rsid w:val="002A4149"/>
    <w:rsid w:val="002A432D"/>
    <w:rsid w:val="002A49D8"/>
    <w:rsid w:val="002A5A84"/>
    <w:rsid w:val="002A6046"/>
    <w:rsid w:val="002A610A"/>
    <w:rsid w:val="002A685E"/>
    <w:rsid w:val="002A6A6B"/>
    <w:rsid w:val="002A6CE9"/>
    <w:rsid w:val="002A725F"/>
    <w:rsid w:val="002B00FA"/>
    <w:rsid w:val="002B04A2"/>
    <w:rsid w:val="002B04BF"/>
    <w:rsid w:val="002B055D"/>
    <w:rsid w:val="002B08D1"/>
    <w:rsid w:val="002B0D00"/>
    <w:rsid w:val="002B0E55"/>
    <w:rsid w:val="002B10E6"/>
    <w:rsid w:val="002B14B7"/>
    <w:rsid w:val="002B1778"/>
    <w:rsid w:val="002B18C0"/>
    <w:rsid w:val="002B1ACF"/>
    <w:rsid w:val="002B1B61"/>
    <w:rsid w:val="002B2940"/>
    <w:rsid w:val="002B2C26"/>
    <w:rsid w:val="002B300C"/>
    <w:rsid w:val="002B45EE"/>
    <w:rsid w:val="002B4887"/>
    <w:rsid w:val="002B4889"/>
    <w:rsid w:val="002B4E25"/>
    <w:rsid w:val="002B4E94"/>
    <w:rsid w:val="002B52D5"/>
    <w:rsid w:val="002B583A"/>
    <w:rsid w:val="002B587F"/>
    <w:rsid w:val="002B594C"/>
    <w:rsid w:val="002B5ADA"/>
    <w:rsid w:val="002B619A"/>
    <w:rsid w:val="002B6695"/>
    <w:rsid w:val="002B6864"/>
    <w:rsid w:val="002B6C1E"/>
    <w:rsid w:val="002B75F1"/>
    <w:rsid w:val="002C050A"/>
    <w:rsid w:val="002C0666"/>
    <w:rsid w:val="002C1042"/>
    <w:rsid w:val="002C13B0"/>
    <w:rsid w:val="002C1AA2"/>
    <w:rsid w:val="002C1D85"/>
    <w:rsid w:val="002C2D35"/>
    <w:rsid w:val="002C311E"/>
    <w:rsid w:val="002C3FD0"/>
    <w:rsid w:val="002C58FC"/>
    <w:rsid w:val="002C6330"/>
    <w:rsid w:val="002C6E6B"/>
    <w:rsid w:val="002C70DC"/>
    <w:rsid w:val="002C7150"/>
    <w:rsid w:val="002C7464"/>
    <w:rsid w:val="002C7528"/>
    <w:rsid w:val="002C79DC"/>
    <w:rsid w:val="002D025E"/>
    <w:rsid w:val="002D03D5"/>
    <w:rsid w:val="002D0417"/>
    <w:rsid w:val="002D0694"/>
    <w:rsid w:val="002D06DE"/>
    <w:rsid w:val="002D0BB6"/>
    <w:rsid w:val="002D0E66"/>
    <w:rsid w:val="002D0E6F"/>
    <w:rsid w:val="002D140F"/>
    <w:rsid w:val="002D21F9"/>
    <w:rsid w:val="002D294C"/>
    <w:rsid w:val="002D2C44"/>
    <w:rsid w:val="002D2DF2"/>
    <w:rsid w:val="002D2E7E"/>
    <w:rsid w:val="002D2EC2"/>
    <w:rsid w:val="002D308D"/>
    <w:rsid w:val="002D3977"/>
    <w:rsid w:val="002D492C"/>
    <w:rsid w:val="002D4EE5"/>
    <w:rsid w:val="002D4F40"/>
    <w:rsid w:val="002D51D8"/>
    <w:rsid w:val="002D5EBE"/>
    <w:rsid w:val="002D5F8F"/>
    <w:rsid w:val="002D62EC"/>
    <w:rsid w:val="002D6CAE"/>
    <w:rsid w:val="002D6EFB"/>
    <w:rsid w:val="002D7409"/>
    <w:rsid w:val="002D752F"/>
    <w:rsid w:val="002D7D56"/>
    <w:rsid w:val="002E0047"/>
    <w:rsid w:val="002E058E"/>
    <w:rsid w:val="002E0DA4"/>
    <w:rsid w:val="002E120D"/>
    <w:rsid w:val="002E161B"/>
    <w:rsid w:val="002E1ACC"/>
    <w:rsid w:val="002E1BB9"/>
    <w:rsid w:val="002E28E7"/>
    <w:rsid w:val="002E30DE"/>
    <w:rsid w:val="002E3871"/>
    <w:rsid w:val="002E54DC"/>
    <w:rsid w:val="002E5B93"/>
    <w:rsid w:val="002E5BE6"/>
    <w:rsid w:val="002E5F60"/>
    <w:rsid w:val="002E626C"/>
    <w:rsid w:val="002E6298"/>
    <w:rsid w:val="002E6457"/>
    <w:rsid w:val="002E7BC4"/>
    <w:rsid w:val="002F0582"/>
    <w:rsid w:val="002F094F"/>
    <w:rsid w:val="002F103F"/>
    <w:rsid w:val="002F106F"/>
    <w:rsid w:val="002F13FB"/>
    <w:rsid w:val="002F148C"/>
    <w:rsid w:val="002F2007"/>
    <w:rsid w:val="002F2D4F"/>
    <w:rsid w:val="002F334E"/>
    <w:rsid w:val="002F338D"/>
    <w:rsid w:val="002F3892"/>
    <w:rsid w:val="002F4A6E"/>
    <w:rsid w:val="002F4F02"/>
    <w:rsid w:val="002F558C"/>
    <w:rsid w:val="002F579C"/>
    <w:rsid w:val="002F5A67"/>
    <w:rsid w:val="002F62AC"/>
    <w:rsid w:val="002F6949"/>
    <w:rsid w:val="002F6F79"/>
    <w:rsid w:val="002F7096"/>
    <w:rsid w:val="002F7800"/>
    <w:rsid w:val="002F7D3C"/>
    <w:rsid w:val="002F7EAD"/>
    <w:rsid w:val="003002E1"/>
    <w:rsid w:val="00300361"/>
    <w:rsid w:val="003010D5"/>
    <w:rsid w:val="003012D1"/>
    <w:rsid w:val="00301A92"/>
    <w:rsid w:val="00301EF9"/>
    <w:rsid w:val="00301F57"/>
    <w:rsid w:val="0030227A"/>
    <w:rsid w:val="00302447"/>
    <w:rsid w:val="0030260D"/>
    <w:rsid w:val="00302A8E"/>
    <w:rsid w:val="0030326B"/>
    <w:rsid w:val="00303390"/>
    <w:rsid w:val="00304E68"/>
    <w:rsid w:val="003056FA"/>
    <w:rsid w:val="0030577F"/>
    <w:rsid w:val="003061C1"/>
    <w:rsid w:val="003067E7"/>
    <w:rsid w:val="003069B8"/>
    <w:rsid w:val="00306B9D"/>
    <w:rsid w:val="003071E5"/>
    <w:rsid w:val="003071FC"/>
    <w:rsid w:val="00307877"/>
    <w:rsid w:val="00307E0A"/>
    <w:rsid w:val="00310AB1"/>
    <w:rsid w:val="00312ABC"/>
    <w:rsid w:val="00313827"/>
    <w:rsid w:val="0031417D"/>
    <w:rsid w:val="003146F7"/>
    <w:rsid w:val="00314A6A"/>
    <w:rsid w:val="00315648"/>
    <w:rsid w:val="00315F77"/>
    <w:rsid w:val="00317092"/>
    <w:rsid w:val="003173BE"/>
    <w:rsid w:val="003174FF"/>
    <w:rsid w:val="00317A07"/>
    <w:rsid w:val="00317C29"/>
    <w:rsid w:val="00317EE0"/>
    <w:rsid w:val="00317FCA"/>
    <w:rsid w:val="0032058C"/>
    <w:rsid w:val="00320669"/>
    <w:rsid w:val="00321001"/>
    <w:rsid w:val="00321313"/>
    <w:rsid w:val="003213A1"/>
    <w:rsid w:val="00321555"/>
    <w:rsid w:val="00322111"/>
    <w:rsid w:val="003223DB"/>
    <w:rsid w:val="00322E7E"/>
    <w:rsid w:val="0032395A"/>
    <w:rsid w:val="00323F4D"/>
    <w:rsid w:val="00323F97"/>
    <w:rsid w:val="003244B1"/>
    <w:rsid w:val="003245FB"/>
    <w:rsid w:val="003248ED"/>
    <w:rsid w:val="003254B9"/>
    <w:rsid w:val="00325EB2"/>
    <w:rsid w:val="003276EA"/>
    <w:rsid w:val="0033068B"/>
    <w:rsid w:val="00330E6E"/>
    <w:rsid w:val="003311BA"/>
    <w:rsid w:val="0033227C"/>
    <w:rsid w:val="003324E1"/>
    <w:rsid w:val="003328AE"/>
    <w:rsid w:val="0033291B"/>
    <w:rsid w:val="0033292A"/>
    <w:rsid w:val="00332D9F"/>
    <w:rsid w:val="003347F7"/>
    <w:rsid w:val="00334DB9"/>
    <w:rsid w:val="003355D8"/>
    <w:rsid w:val="00335C04"/>
    <w:rsid w:val="003360B0"/>
    <w:rsid w:val="003367E2"/>
    <w:rsid w:val="003377CD"/>
    <w:rsid w:val="0034001F"/>
    <w:rsid w:val="00340505"/>
    <w:rsid w:val="00340EE8"/>
    <w:rsid w:val="00341769"/>
    <w:rsid w:val="00343499"/>
    <w:rsid w:val="0034382F"/>
    <w:rsid w:val="00343A60"/>
    <w:rsid w:val="00343BE3"/>
    <w:rsid w:val="00343DE8"/>
    <w:rsid w:val="00344FAF"/>
    <w:rsid w:val="00345AB4"/>
    <w:rsid w:val="00345B3B"/>
    <w:rsid w:val="00345F85"/>
    <w:rsid w:val="00346989"/>
    <w:rsid w:val="00346C0D"/>
    <w:rsid w:val="0034705C"/>
    <w:rsid w:val="00347266"/>
    <w:rsid w:val="00347F84"/>
    <w:rsid w:val="003505ED"/>
    <w:rsid w:val="00350CB8"/>
    <w:rsid w:val="00350D30"/>
    <w:rsid w:val="00350E34"/>
    <w:rsid w:val="00351383"/>
    <w:rsid w:val="0035184A"/>
    <w:rsid w:val="003526FB"/>
    <w:rsid w:val="003529F2"/>
    <w:rsid w:val="00352F87"/>
    <w:rsid w:val="0035352F"/>
    <w:rsid w:val="00354041"/>
    <w:rsid w:val="00354144"/>
    <w:rsid w:val="00354A81"/>
    <w:rsid w:val="00354DE4"/>
    <w:rsid w:val="00354F5A"/>
    <w:rsid w:val="0035535E"/>
    <w:rsid w:val="00355773"/>
    <w:rsid w:val="003557C7"/>
    <w:rsid w:val="003564D1"/>
    <w:rsid w:val="0035664E"/>
    <w:rsid w:val="00356693"/>
    <w:rsid w:val="00356F60"/>
    <w:rsid w:val="0035719F"/>
    <w:rsid w:val="00357667"/>
    <w:rsid w:val="00357C89"/>
    <w:rsid w:val="00357E73"/>
    <w:rsid w:val="00360227"/>
    <w:rsid w:val="00360AC2"/>
    <w:rsid w:val="00361DE7"/>
    <w:rsid w:val="003621AD"/>
    <w:rsid w:val="0036262E"/>
    <w:rsid w:val="00362C30"/>
    <w:rsid w:val="00362EDB"/>
    <w:rsid w:val="0036300A"/>
    <w:rsid w:val="00363545"/>
    <w:rsid w:val="00363C48"/>
    <w:rsid w:val="0036421E"/>
    <w:rsid w:val="003653BF"/>
    <w:rsid w:val="00365CE6"/>
    <w:rsid w:val="00365F4C"/>
    <w:rsid w:val="00366433"/>
    <w:rsid w:val="0036670C"/>
    <w:rsid w:val="00366C27"/>
    <w:rsid w:val="00366FEC"/>
    <w:rsid w:val="0036777B"/>
    <w:rsid w:val="00367CFF"/>
    <w:rsid w:val="00367DA8"/>
    <w:rsid w:val="00367EBB"/>
    <w:rsid w:val="00370510"/>
    <w:rsid w:val="00370FC8"/>
    <w:rsid w:val="00371701"/>
    <w:rsid w:val="003721E4"/>
    <w:rsid w:val="003722AD"/>
    <w:rsid w:val="00373063"/>
    <w:rsid w:val="00373290"/>
    <w:rsid w:val="003734D3"/>
    <w:rsid w:val="003736CA"/>
    <w:rsid w:val="003738CD"/>
    <w:rsid w:val="00373911"/>
    <w:rsid w:val="00373FCA"/>
    <w:rsid w:val="00374260"/>
    <w:rsid w:val="00374671"/>
    <w:rsid w:val="00374A67"/>
    <w:rsid w:val="00374ABB"/>
    <w:rsid w:val="00374F7D"/>
    <w:rsid w:val="003753EF"/>
    <w:rsid w:val="00375F18"/>
    <w:rsid w:val="003766BD"/>
    <w:rsid w:val="0037780B"/>
    <w:rsid w:val="0037785F"/>
    <w:rsid w:val="00377D54"/>
    <w:rsid w:val="00380537"/>
    <w:rsid w:val="00380B28"/>
    <w:rsid w:val="00380F35"/>
    <w:rsid w:val="00380F81"/>
    <w:rsid w:val="00381713"/>
    <w:rsid w:val="003817C0"/>
    <w:rsid w:val="0038253C"/>
    <w:rsid w:val="00382976"/>
    <w:rsid w:val="00383485"/>
    <w:rsid w:val="00383551"/>
    <w:rsid w:val="00383B7B"/>
    <w:rsid w:val="00383E61"/>
    <w:rsid w:val="00384272"/>
    <w:rsid w:val="00384337"/>
    <w:rsid w:val="00384D75"/>
    <w:rsid w:val="00385142"/>
    <w:rsid w:val="00385542"/>
    <w:rsid w:val="0038567A"/>
    <w:rsid w:val="00385913"/>
    <w:rsid w:val="003859FB"/>
    <w:rsid w:val="003860B0"/>
    <w:rsid w:val="0038691F"/>
    <w:rsid w:val="00387233"/>
    <w:rsid w:val="00390924"/>
    <w:rsid w:val="0039172E"/>
    <w:rsid w:val="003917DE"/>
    <w:rsid w:val="00391DB7"/>
    <w:rsid w:val="00392B00"/>
    <w:rsid w:val="00392B47"/>
    <w:rsid w:val="00393FFE"/>
    <w:rsid w:val="003941C9"/>
    <w:rsid w:val="003944C7"/>
    <w:rsid w:val="0039477B"/>
    <w:rsid w:val="003953A6"/>
    <w:rsid w:val="00395754"/>
    <w:rsid w:val="003958A7"/>
    <w:rsid w:val="003965CC"/>
    <w:rsid w:val="003969BA"/>
    <w:rsid w:val="00396D1A"/>
    <w:rsid w:val="003973EA"/>
    <w:rsid w:val="00397909"/>
    <w:rsid w:val="00397949"/>
    <w:rsid w:val="003A0A89"/>
    <w:rsid w:val="003A12FD"/>
    <w:rsid w:val="003A14D6"/>
    <w:rsid w:val="003A27B2"/>
    <w:rsid w:val="003A2EF8"/>
    <w:rsid w:val="003A30E9"/>
    <w:rsid w:val="003A326F"/>
    <w:rsid w:val="003A39CD"/>
    <w:rsid w:val="003A3EA1"/>
    <w:rsid w:val="003A42A7"/>
    <w:rsid w:val="003A45DC"/>
    <w:rsid w:val="003A4B51"/>
    <w:rsid w:val="003A5A3F"/>
    <w:rsid w:val="003A5C0B"/>
    <w:rsid w:val="003A7263"/>
    <w:rsid w:val="003B0477"/>
    <w:rsid w:val="003B1FA4"/>
    <w:rsid w:val="003B22E9"/>
    <w:rsid w:val="003B2996"/>
    <w:rsid w:val="003B29BB"/>
    <w:rsid w:val="003B3311"/>
    <w:rsid w:val="003B3482"/>
    <w:rsid w:val="003B3A2A"/>
    <w:rsid w:val="003B3DF5"/>
    <w:rsid w:val="003B4796"/>
    <w:rsid w:val="003B4932"/>
    <w:rsid w:val="003B4D71"/>
    <w:rsid w:val="003B4F2D"/>
    <w:rsid w:val="003B5022"/>
    <w:rsid w:val="003B52C9"/>
    <w:rsid w:val="003B5CE1"/>
    <w:rsid w:val="003B620F"/>
    <w:rsid w:val="003B672A"/>
    <w:rsid w:val="003B714B"/>
    <w:rsid w:val="003B73F6"/>
    <w:rsid w:val="003B7549"/>
    <w:rsid w:val="003B76CD"/>
    <w:rsid w:val="003C0899"/>
    <w:rsid w:val="003C0B2D"/>
    <w:rsid w:val="003C1D54"/>
    <w:rsid w:val="003C1FC2"/>
    <w:rsid w:val="003C2144"/>
    <w:rsid w:val="003C23EC"/>
    <w:rsid w:val="003C25EB"/>
    <w:rsid w:val="003C271D"/>
    <w:rsid w:val="003C2A72"/>
    <w:rsid w:val="003C342E"/>
    <w:rsid w:val="003C37A0"/>
    <w:rsid w:val="003C398C"/>
    <w:rsid w:val="003C3E6A"/>
    <w:rsid w:val="003C47F5"/>
    <w:rsid w:val="003C4F4F"/>
    <w:rsid w:val="003C5CB3"/>
    <w:rsid w:val="003C64B9"/>
    <w:rsid w:val="003C696D"/>
    <w:rsid w:val="003C6FDC"/>
    <w:rsid w:val="003C72D8"/>
    <w:rsid w:val="003C7902"/>
    <w:rsid w:val="003C7A95"/>
    <w:rsid w:val="003D050F"/>
    <w:rsid w:val="003D06F5"/>
    <w:rsid w:val="003D0D7D"/>
    <w:rsid w:val="003D1188"/>
    <w:rsid w:val="003D1AAE"/>
    <w:rsid w:val="003D1F87"/>
    <w:rsid w:val="003D2AE9"/>
    <w:rsid w:val="003D2BCA"/>
    <w:rsid w:val="003D3C2D"/>
    <w:rsid w:val="003D449A"/>
    <w:rsid w:val="003D48D5"/>
    <w:rsid w:val="003D4AF8"/>
    <w:rsid w:val="003D5A8E"/>
    <w:rsid w:val="003D5B0E"/>
    <w:rsid w:val="003D63A3"/>
    <w:rsid w:val="003D7129"/>
    <w:rsid w:val="003D7200"/>
    <w:rsid w:val="003D7856"/>
    <w:rsid w:val="003D7E78"/>
    <w:rsid w:val="003E0099"/>
    <w:rsid w:val="003E0168"/>
    <w:rsid w:val="003E11EA"/>
    <w:rsid w:val="003E143A"/>
    <w:rsid w:val="003E1766"/>
    <w:rsid w:val="003E2231"/>
    <w:rsid w:val="003E255E"/>
    <w:rsid w:val="003E2978"/>
    <w:rsid w:val="003E4483"/>
    <w:rsid w:val="003E4DB8"/>
    <w:rsid w:val="003E4FFB"/>
    <w:rsid w:val="003E570D"/>
    <w:rsid w:val="003E59EA"/>
    <w:rsid w:val="003E600F"/>
    <w:rsid w:val="003E6AD5"/>
    <w:rsid w:val="003E6AF8"/>
    <w:rsid w:val="003E6E0C"/>
    <w:rsid w:val="003E7FE0"/>
    <w:rsid w:val="003F0370"/>
    <w:rsid w:val="003F0606"/>
    <w:rsid w:val="003F0675"/>
    <w:rsid w:val="003F0A8B"/>
    <w:rsid w:val="003F0D7E"/>
    <w:rsid w:val="003F100F"/>
    <w:rsid w:val="003F28F0"/>
    <w:rsid w:val="003F2D75"/>
    <w:rsid w:val="003F2D85"/>
    <w:rsid w:val="003F2FD6"/>
    <w:rsid w:val="003F35FB"/>
    <w:rsid w:val="003F3900"/>
    <w:rsid w:val="003F3ADB"/>
    <w:rsid w:val="003F4DC2"/>
    <w:rsid w:val="003F50C2"/>
    <w:rsid w:val="003F5B91"/>
    <w:rsid w:val="003F669B"/>
    <w:rsid w:val="003F6ADD"/>
    <w:rsid w:val="003F747F"/>
    <w:rsid w:val="003F7D08"/>
    <w:rsid w:val="004002DC"/>
    <w:rsid w:val="00400CAC"/>
    <w:rsid w:val="00400EAC"/>
    <w:rsid w:val="004010C2"/>
    <w:rsid w:val="004016BB"/>
    <w:rsid w:val="00401857"/>
    <w:rsid w:val="004018BA"/>
    <w:rsid w:val="00401DB0"/>
    <w:rsid w:val="004026D7"/>
    <w:rsid w:val="00402AC1"/>
    <w:rsid w:val="00403081"/>
    <w:rsid w:val="00403474"/>
    <w:rsid w:val="00403F22"/>
    <w:rsid w:val="004043BA"/>
    <w:rsid w:val="0040446F"/>
    <w:rsid w:val="004047D7"/>
    <w:rsid w:val="004047E5"/>
    <w:rsid w:val="004048E1"/>
    <w:rsid w:val="00404959"/>
    <w:rsid w:val="00404DE6"/>
    <w:rsid w:val="00405F9B"/>
    <w:rsid w:val="004064FA"/>
    <w:rsid w:val="004068FF"/>
    <w:rsid w:val="00406DD4"/>
    <w:rsid w:val="004070C1"/>
    <w:rsid w:val="00407407"/>
    <w:rsid w:val="00407867"/>
    <w:rsid w:val="00407F83"/>
    <w:rsid w:val="0041110A"/>
    <w:rsid w:val="004111C5"/>
    <w:rsid w:val="00411502"/>
    <w:rsid w:val="00412CCD"/>
    <w:rsid w:val="004130E1"/>
    <w:rsid w:val="00414F06"/>
    <w:rsid w:val="00415291"/>
    <w:rsid w:val="00415B54"/>
    <w:rsid w:val="004165C0"/>
    <w:rsid w:val="0041723E"/>
    <w:rsid w:val="004172AF"/>
    <w:rsid w:val="00417425"/>
    <w:rsid w:val="00420FA3"/>
    <w:rsid w:val="00420FD3"/>
    <w:rsid w:val="00421F9F"/>
    <w:rsid w:val="0042204B"/>
    <w:rsid w:val="004221B7"/>
    <w:rsid w:val="0042253A"/>
    <w:rsid w:val="004228CC"/>
    <w:rsid w:val="004230C3"/>
    <w:rsid w:val="004232C9"/>
    <w:rsid w:val="004240AD"/>
    <w:rsid w:val="0042418D"/>
    <w:rsid w:val="0042472C"/>
    <w:rsid w:val="004253DE"/>
    <w:rsid w:val="00425895"/>
    <w:rsid w:val="00425BF2"/>
    <w:rsid w:val="00425C3E"/>
    <w:rsid w:val="00426E24"/>
    <w:rsid w:val="004277D4"/>
    <w:rsid w:val="00430624"/>
    <w:rsid w:val="004309C8"/>
    <w:rsid w:val="00430A3C"/>
    <w:rsid w:val="00431139"/>
    <w:rsid w:val="004311BF"/>
    <w:rsid w:val="00431B4B"/>
    <w:rsid w:val="00431E9B"/>
    <w:rsid w:val="00431F3B"/>
    <w:rsid w:val="004323FE"/>
    <w:rsid w:val="004326D6"/>
    <w:rsid w:val="0043288A"/>
    <w:rsid w:val="00432E0C"/>
    <w:rsid w:val="00433281"/>
    <w:rsid w:val="00433529"/>
    <w:rsid w:val="0043389B"/>
    <w:rsid w:val="00433A4E"/>
    <w:rsid w:val="00433ECD"/>
    <w:rsid w:val="0043415B"/>
    <w:rsid w:val="004344C0"/>
    <w:rsid w:val="00434615"/>
    <w:rsid w:val="00434719"/>
    <w:rsid w:val="00434CD0"/>
    <w:rsid w:val="004350BA"/>
    <w:rsid w:val="0043563E"/>
    <w:rsid w:val="00435993"/>
    <w:rsid w:val="00435B52"/>
    <w:rsid w:val="00435C20"/>
    <w:rsid w:val="0043601E"/>
    <w:rsid w:val="00437DF8"/>
    <w:rsid w:val="00440022"/>
    <w:rsid w:val="00440062"/>
    <w:rsid w:val="00440B84"/>
    <w:rsid w:val="00441316"/>
    <w:rsid w:val="0044146C"/>
    <w:rsid w:val="004414EA"/>
    <w:rsid w:val="004418E3"/>
    <w:rsid w:val="00441AFA"/>
    <w:rsid w:val="00442192"/>
    <w:rsid w:val="00442AC3"/>
    <w:rsid w:val="00442EF9"/>
    <w:rsid w:val="00442FC0"/>
    <w:rsid w:val="00443102"/>
    <w:rsid w:val="00443189"/>
    <w:rsid w:val="00444396"/>
    <w:rsid w:val="0044479E"/>
    <w:rsid w:val="00444B3E"/>
    <w:rsid w:val="004450A9"/>
    <w:rsid w:val="004450F0"/>
    <w:rsid w:val="004453CB"/>
    <w:rsid w:val="004463FF"/>
    <w:rsid w:val="004466E0"/>
    <w:rsid w:val="00447099"/>
    <w:rsid w:val="0044747B"/>
    <w:rsid w:val="00447606"/>
    <w:rsid w:val="00447951"/>
    <w:rsid w:val="00447F91"/>
    <w:rsid w:val="004504FB"/>
    <w:rsid w:val="00450651"/>
    <w:rsid w:val="00450EC3"/>
    <w:rsid w:val="00451106"/>
    <w:rsid w:val="00452523"/>
    <w:rsid w:val="004528CD"/>
    <w:rsid w:val="00452ED5"/>
    <w:rsid w:val="00452F0B"/>
    <w:rsid w:val="00453700"/>
    <w:rsid w:val="0045429C"/>
    <w:rsid w:val="00454347"/>
    <w:rsid w:val="00454507"/>
    <w:rsid w:val="00454520"/>
    <w:rsid w:val="0045554E"/>
    <w:rsid w:val="004556E6"/>
    <w:rsid w:val="00455D02"/>
    <w:rsid w:val="0045611F"/>
    <w:rsid w:val="00456428"/>
    <w:rsid w:val="00457095"/>
    <w:rsid w:val="0045742A"/>
    <w:rsid w:val="004578AC"/>
    <w:rsid w:val="00460321"/>
    <w:rsid w:val="004605CA"/>
    <w:rsid w:val="004609C0"/>
    <w:rsid w:val="00460BF0"/>
    <w:rsid w:val="004613DA"/>
    <w:rsid w:val="00461FB1"/>
    <w:rsid w:val="0046298E"/>
    <w:rsid w:val="004629F9"/>
    <w:rsid w:val="00462C7F"/>
    <w:rsid w:val="0046301F"/>
    <w:rsid w:val="00463DAD"/>
    <w:rsid w:val="00463DD3"/>
    <w:rsid w:val="00463F67"/>
    <w:rsid w:val="00463FD6"/>
    <w:rsid w:val="0046402B"/>
    <w:rsid w:val="00464531"/>
    <w:rsid w:val="00464764"/>
    <w:rsid w:val="00464BC4"/>
    <w:rsid w:val="00465194"/>
    <w:rsid w:val="00465241"/>
    <w:rsid w:val="004659A0"/>
    <w:rsid w:val="004662BE"/>
    <w:rsid w:val="00466C01"/>
    <w:rsid w:val="00466F16"/>
    <w:rsid w:val="0046715D"/>
    <w:rsid w:val="00467468"/>
    <w:rsid w:val="0046768B"/>
    <w:rsid w:val="00467CCB"/>
    <w:rsid w:val="004703AA"/>
    <w:rsid w:val="004707E6"/>
    <w:rsid w:val="004707EA"/>
    <w:rsid w:val="00470AB7"/>
    <w:rsid w:val="00470BC7"/>
    <w:rsid w:val="004711AA"/>
    <w:rsid w:val="0047162A"/>
    <w:rsid w:val="0047181B"/>
    <w:rsid w:val="00471A93"/>
    <w:rsid w:val="00471D1E"/>
    <w:rsid w:val="00471DCD"/>
    <w:rsid w:val="00471F8F"/>
    <w:rsid w:val="00472DF4"/>
    <w:rsid w:val="00473C47"/>
    <w:rsid w:val="00473F40"/>
    <w:rsid w:val="0047402B"/>
    <w:rsid w:val="00474110"/>
    <w:rsid w:val="0047419D"/>
    <w:rsid w:val="00474350"/>
    <w:rsid w:val="004743F3"/>
    <w:rsid w:val="004748CF"/>
    <w:rsid w:val="004750D4"/>
    <w:rsid w:val="00475495"/>
    <w:rsid w:val="004754F6"/>
    <w:rsid w:val="004757D7"/>
    <w:rsid w:val="00475D12"/>
    <w:rsid w:val="00476469"/>
    <w:rsid w:val="00476A0C"/>
    <w:rsid w:val="00477688"/>
    <w:rsid w:val="00477A6B"/>
    <w:rsid w:val="00477CD6"/>
    <w:rsid w:val="00477F44"/>
    <w:rsid w:val="0048054C"/>
    <w:rsid w:val="00480692"/>
    <w:rsid w:val="00481660"/>
    <w:rsid w:val="00481836"/>
    <w:rsid w:val="00481B47"/>
    <w:rsid w:val="00482CC1"/>
    <w:rsid w:val="00482D78"/>
    <w:rsid w:val="00483302"/>
    <w:rsid w:val="004836CF"/>
    <w:rsid w:val="00483812"/>
    <w:rsid w:val="00483BA6"/>
    <w:rsid w:val="004847DC"/>
    <w:rsid w:val="00484AE4"/>
    <w:rsid w:val="004853B5"/>
    <w:rsid w:val="00485530"/>
    <w:rsid w:val="00485D15"/>
    <w:rsid w:val="00485DFD"/>
    <w:rsid w:val="00485E6C"/>
    <w:rsid w:val="00486031"/>
    <w:rsid w:val="004860BF"/>
    <w:rsid w:val="00486213"/>
    <w:rsid w:val="00486272"/>
    <w:rsid w:val="00486F79"/>
    <w:rsid w:val="00487425"/>
    <w:rsid w:val="004874EF"/>
    <w:rsid w:val="0048778E"/>
    <w:rsid w:val="0049044A"/>
    <w:rsid w:val="00490BC9"/>
    <w:rsid w:val="0049118C"/>
    <w:rsid w:val="00491986"/>
    <w:rsid w:val="00491AA2"/>
    <w:rsid w:val="00492CB6"/>
    <w:rsid w:val="0049317F"/>
    <w:rsid w:val="004944AF"/>
    <w:rsid w:val="0049512F"/>
    <w:rsid w:val="00495306"/>
    <w:rsid w:val="00495870"/>
    <w:rsid w:val="0049709A"/>
    <w:rsid w:val="004974BB"/>
    <w:rsid w:val="00497584"/>
    <w:rsid w:val="00497D26"/>
    <w:rsid w:val="004A0015"/>
    <w:rsid w:val="004A03A9"/>
    <w:rsid w:val="004A059F"/>
    <w:rsid w:val="004A0703"/>
    <w:rsid w:val="004A099B"/>
    <w:rsid w:val="004A0E06"/>
    <w:rsid w:val="004A0F6D"/>
    <w:rsid w:val="004A2483"/>
    <w:rsid w:val="004A28D1"/>
    <w:rsid w:val="004A2B52"/>
    <w:rsid w:val="004A33EF"/>
    <w:rsid w:val="004A38B3"/>
    <w:rsid w:val="004A3C30"/>
    <w:rsid w:val="004A3CEA"/>
    <w:rsid w:val="004A414B"/>
    <w:rsid w:val="004A42BF"/>
    <w:rsid w:val="004A4A67"/>
    <w:rsid w:val="004A4C27"/>
    <w:rsid w:val="004A4CC0"/>
    <w:rsid w:val="004A5452"/>
    <w:rsid w:val="004A601F"/>
    <w:rsid w:val="004A626F"/>
    <w:rsid w:val="004A630F"/>
    <w:rsid w:val="004A639C"/>
    <w:rsid w:val="004A6D62"/>
    <w:rsid w:val="004A7053"/>
    <w:rsid w:val="004A75FA"/>
    <w:rsid w:val="004A7AA6"/>
    <w:rsid w:val="004B0376"/>
    <w:rsid w:val="004B0609"/>
    <w:rsid w:val="004B063A"/>
    <w:rsid w:val="004B07D9"/>
    <w:rsid w:val="004B0ECE"/>
    <w:rsid w:val="004B111D"/>
    <w:rsid w:val="004B1535"/>
    <w:rsid w:val="004B20D1"/>
    <w:rsid w:val="004B2236"/>
    <w:rsid w:val="004B25E8"/>
    <w:rsid w:val="004B269C"/>
    <w:rsid w:val="004B2783"/>
    <w:rsid w:val="004B36E7"/>
    <w:rsid w:val="004B421C"/>
    <w:rsid w:val="004B42AA"/>
    <w:rsid w:val="004B438B"/>
    <w:rsid w:val="004B5623"/>
    <w:rsid w:val="004B5690"/>
    <w:rsid w:val="004B6031"/>
    <w:rsid w:val="004B67EA"/>
    <w:rsid w:val="004B6AE1"/>
    <w:rsid w:val="004B6FE8"/>
    <w:rsid w:val="004C0538"/>
    <w:rsid w:val="004C1AF2"/>
    <w:rsid w:val="004C1F78"/>
    <w:rsid w:val="004C2720"/>
    <w:rsid w:val="004C287D"/>
    <w:rsid w:val="004C2B86"/>
    <w:rsid w:val="004C2E81"/>
    <w:rsid w:val="004C3147"/>
    <w:rsid w:val="004C3CAB"/>
    <w:rsid w:val="004C3DC1"/>
    <w:rsid w:val="004C40AC"/>
    <w:rsid w:val="004C412D"/>
    <w:rsid w:val="004C4576"/>
    <w:rsid w:val="004C5196"/>
    <w:rsid w:val="004C524F"/>
    <w:rsid w:val="004C657B"/>
    <w:rsid w:val="004C69B0"/>
    <w:rsid w:val="004C6DF5"/>
    <w:rsid w:val="004D00E2"/>
    <w:rsid w:val="004D0650"/>
    <w:rsid w:val="004D0D46"/>
    <w:rsid w:val="004D1B79"/>
    <w:rsid w:val="004D1DE4"/>
    <w:rsid w:val="004D1F3B"/>
    <w:rsid w:val="004D26B2"/>
    <w:rsid w:val="004D2E38"/>
    <w:rsid w:val="004D2E45"/>
    <w:rsid w:val="004D39AA"/>
    <w:rsid w:val="004D4192"/>
    <w:rsid w:val="004D42B9"/>
    <w:rsid w:val="004D5F44"/>
    <w:rsid w:val="004D7B32"/>
    <w:rsid w:val="004D7F6E"/>
    <w:rsid w:val="004E0623"/>
    <w:rsid w:val="004E0BF4"/>
    <w:rsid w:val="004E0EA0"/>
    <w:rsid w:val="004E0EB0"/>
    <w:rsid w:val="004E1338"/>
    <w:rsid w:val="004E13C6"/>
    <w:rsid w:val="004E1590"/>
    <w:rsid w:val="004E166F"/>
    <w:rsid w:val="004E1865"/>
    <w:rsid w:val="004E1B66"/>
    <w:rsid w:val="004E1CE9"/>
    <w:rsid w:val="004E26E2"/>
    <w:rsid w:val="004E2CCD"/>
    <w:rsid w:val="004E2D83"/>
    <w:rsid w:val="004E3A1A"/>
    <w:rsid w:val="004E481E"/>
    <w:rsid w:val="004E4893"/>
    <w:rsid w:val="004E4CD5"/>
    <w:rsid w:val="004E4F3B"/>
    <w:rsid w:val="004E54D1"/>
    <w:rsid w:val="004E5F92"/>
    <w:rsid w:val="004E678D"/>
    <w:rsid w:val="004E6BFC"/>
    <w:rsid w:val="004E755D"/>
    <w:rsid w:val="004E7985"/>
    <w:rsid w:val="004F019E"/>
    <w:rsid w:val="004F0596"/>
    <w:rsid w:val="004F08E7"/>
    <w:rsid w:val="004F0A79"/>
    <w:rsid w:val="004F1378"/>
    <w:rsid w:val="004F141D"/>
    <w:rsid w:val="004F16D1"/>
    <w:rsid w:val="004F1F2E"/>
    <w:rsid w:val="004F280E"/>
    <w:rsid w:val="004F2BDA"/>
    <w:rsid w:val="004F38B0"/>
    <w:rsid w:val="004F3B01"/>
    <w:rsid w:val="004F4518"/>
    <w:rsid w:val="004F475A"/>
    <w:rsid w:val="004F4B56"/>
    <w:rsid w:val="004F5E43"/>
    <w:rsid w:val="004F6934"/>
    <w:rsid w:val="004F6941"/>
    <w:rsid w:val="004F6A0E"/>
    <w:rsid w:val="004F6A46"/>
    <w:rsid w:val="004F7159"/>
    <w:rsid w:val="004F7D70"/>
    <w:rsid w:val="0050003D"/>
    <w:rsid w:val="0050008D"/>
    <w:rsid w:val="005009B8"/>
    <w:rsid w:val="00500F34"/>
    <w:rsid w:val="00501300"/>
    <w:rsid w:val="00501E51"/>
    <w:rsid w:val="00502852"/>
    <w:rsid w:val="00502D9A"/>
    <w:rsid w:val="00503420"/>
    <w:rsid w:val="0050354F"/>
    <w:rsid w:val="00503B6C"/>
    <w:rsid w:val="00503D75"/>
    <w:rsid w:val="005040B1"/>
    <w:rsid w:val="00505800"/>
    <w:rsid w:val="00506A8E"/>
    <w:rsid w:val="00506B82"/>
    <w:rsid w:val="00506CC3"/>
    <w:rsid w:val="00507C30"/>
    <w:rsid w:val="005102F7"/>
    <w:rsid w:val="00510386"/>
    <w:rsid w:val="005104AC"/>
    <w:rsid w:val="00510B7C"/>
    <w:rsid w:val="005112CA"/>
    <w:rsid w:val="00511AA3"/>
    <w:rsid w:val="0051209A"/>
    <w:rsid w:val="0051250D"/>
    <w:rsid w:val="00515842"/>
    <w:rsid w:val="00515A68"/>
    <w:rsid w:val="00515F2A"/>
    <w:rsid w:val="0051653A"/>
    <w:rsid w:val="005173DA"/>
    <w:rsid w:val="00517654"/>
    <w:rsid w:val="00517718"/>
    <w:rsid w:val="005207D7"/>
    <w:rsid w:val="00521419"/>
    <w:rsid w:val="00521A27"/>
    <w:rsid w:val="0052284E"/>
    <w:rsid w:val="00522E56"/>
    <w:rsid w:val="00523469"/>
    <w:rsid w:val="00523A8D"/>
    <w:rsid w:val="00523AF4"/>
    <w:rsid w:val="00525283"/>
    <w:rsid w:val="00525980"/>
    <w:rsid w:val="00525B49"/>
    <w:rsid w:val="005267EE"/>
    <w:rsid w:val="00527E88"/>
    <w:rsid w:val="0053000B"/>
    <w:rsid w:val="005300EC"/>
    <w:rsid w:val="00530671"/>
    <w:rsid w:val="0053096F"/>
    <w:rsid w:val="00531087"/>
    <w:rsid w:val="005310C6"/>
    <w:rsid w:val="00532075"/>
    <w:rsid w:val="00532F0E"/>
    <w:rsid w:val="005331A5"/>
    <w:rsid w:val="00533572"/>
    <w:rsid w:val="00533911"/>
    <w:rsid w:val="00533C83"/>
    <w:rsid w:val="00533CE5"/>
    <w:rsid w:val="00533DA2"/>
    <w:rsid w:val="005345B6"/>
    <w:rsid w:val="0053477E"/>
    <w:rsid w:val="00534AC5"/>
    <w:rsid w:val="00534F38"/>
    <w:rsid w:val="00535170"/>
    <w:rsid w:val="0053569F"/>
    <w:rsid w:val="005369A1"/>
    <w:rsid w:val="00536BBB"/>
    <w:rsid w:val="00536F06"/>
    <w:rsid w:val="00537244"/>
    <w:rsid w:val="0053771F"/>
    <w:rsid w:val="005378B6"/>
    <w:rsid w:val="00537E40"/>
    <w:rsid w:val="00540175"/>
    <w:rsid w:val="00541000"/>
    <w:rsid w:val="00541D98"/>
    <w:rsid w:val="00542395"/>
    <w:rsid w:val="005424D0"/>
    <w:rsid w:val="00542ECA"/>
    <w:rsid w:val="00543C57"/>
    <w:rsid w:val="00544AC1"/>
    <w:rsid w:val="00544AF8"/>
    <w:rsid w:val="00544B0A"/>
    <w:rsid w:val="005452F8"/>
    <w:rsid w:val="0054538D"/>
    <w:rsid w:val="00545A48"/>
    <w:rsid w:val="00545A9D"/>
    <w:rsid w:val="00545C05"/>
    <w:rsid w:val="005461E5"/>
    <w:rsid w:val="005462E9"/>
    <w:rsid w:val="00546C1C"/>
    <w:rsid w:val="00546F9D"/>
    <w:rsid w:val="005472B9"/>
    <w:rsid w:val="005477D2"/>
    <w:rsid w:val="005478A3"/>
    <w:rsid w:val="00550C2D"/>
    <w:rsid w:val="00550CB8"/>
    <w:rsid w:val="00551A1F"/>
    <w:rsid w:val="005527DB"/>
    <w:rsid w:val="00553502"/>
    <w:rsid w:val="00553F68"/>
    <w:rsid w:val="00554091"/>
    <w:rsid w:val="0055476F"/>
    <w:rsid w:val="005547F8"/>
    <w:rsid w:val="00555043"/>
    <w:rsid w:val="0055516F"/>
    <w:rsid w:val="005557BA"/>
    <w:rsid w:val="00555C94"/>
    <w:rsid w:val="00556736"/>
    <w:rsid w:val="00556B24"/>
    <w:rsid w:val="005571DC"/>
    <w:rsid w:val="00557494"/>
    <w:rsid w:val="005574F9"/>
    <w:rsid w:val="0055793B"/>
    <w:rsid w:val="00557C70"/>
    <w:rsid w:val="00557CCA"/>
    <w:rsid w:val="00560374"/>
    <w:rsid w:val="00560AD6"/>
    <w:rsid w:val="00560B28"/>
    <w:rsid w:val="00561526"/>
    <w:rsid w:val="00561AFD"/>
    <w:rsid w:val="00561B3B"/>
    <w:rsid w:val="005630A2"/>
    <w:rsid w:val="005636D9"/>
    <w:rsid w:val="00563ADF"/>
    <w:rsid w:val="00563D56"/>
    <w:rsid w:val="0056413B"/>
    <w:rsid w:val="00564A34"/>
    <w:rsid w:val="00564A58"/>
    <w:rsid w:val="00564DAC"/>
    <w:rsid w:val="00565622"/>
    <w:rsid w:val="005661A7"/>
    <w:rsid w:val="0056685A"/>
    <w:rsid w:val="00566F00"/>
    <w:rsid w:val="00567539"/>
    <w:rsid w:val="00567885"/>
    <w:rsid w:val="00567C8C"/>
    <w:rsid w:val="00567E4B"/>
    <w:rsid w:val="00567E91"/>
    <w:rsid w:val="00567F9E"/>
    <w:rsid w:val="0057070E"/>
    <w:rsid w:val="00570AFB"/>
    <w:rsid w:val="00570B7E"/>
    <w:rsid w:val="005712C2"/>
    <w:rsid w:val="0057147F"/>
    <w:rsid w:val="00571815"/>
    <w:rsid w:val="005718DE"/>
    <w:rsid w:val="0057249C"/>
    <w:rsid w:val="00572672"/>
    <w:rsid w:val="005734AA"/>
    <w:rsid w:val="005743BB"/>
    <w:rsid w:val="00574A52"/>
    <w:rsid w:val="005755EF"/>
    <w:rsid w:val="00576449"/>
    <w:rsid w:val="00576B85"/>
    <w:rsid w:val="00576E08"/>
    <w:rsid w:val="00577003"/>
    <w:rsid w:val="00577323"/>
    <w:rsid w:val="0057768B"/>
    <w:rsid w:val="005778ED"/>
    <w:rsid w:val="0058037F"/>
    <w:rsid w:val="0058106A"/>
    <w:rsid w:val="005811CD"/>
    <w:rsid w:val="0058158D"/>
    <w:rsid w:val="00581BE8"/>
    <w:rsid w:val="00581D29"/>
    <w:rsid w:val="00581FC6"/>
    <w:rsid w:val="0058202B"/>
    <w:rsid w:val="005828EE"/>
    <w:rsid w:val="00582CAE"/>
    <w:rsid w:val="00583A51"/>
    <w:rsid w:val="00584487"/>
    <w:rsid w:val="00584684"/>
    <w:rsid w:val="0058626F"/>
    <w:rsid w:val="00586389"/>
    <w:rsid w:val="00586DC2"/>
    <w:rsid w:val="00586EAB"/>
    <w:rsid w:val="00590755"/>
    <w:rsid w:val="00590B18"/>
    <w:rsid w:val="00590EAA"/>
    <w:rsid w:val="0059141F"/>
    <w:rsid w:val="00591E32"/>
    <w:rsid w:val="005920AD"/>
    <w:rsid w:val="005924CD"/>
    <w:rsid w:val="0059337D"/>
    <w:rsid w:val="005935FF"/>
    <w:rsid w:val="005937EA"/>
    <w:rsid w:val="00593FED"/>
    <w:rsid w:val="0059453B"/>
    <w:rsid w:val="00594D30"/>
    <w:rsid w:val="005954A7"/>
    <w:rsid w:val="00595999"/>
    <w:rsid w:val="005963B8"/>
    <w:rsid w:val="00596B02"/>
    <w:rsid w:val="00597363"/>
    <w:rsid w:val="0059798D"/>
    <w:rsid w:val="00597EFE"/>
    <w:rsid w:val="005A0291"/>
    <w:rsid w:val="005A0479"/>
    <w:rsid w:val="005A0759"/>
    <w:rsid w:val="005A11C1"/>
    <w:rsid w:val="005A32DD"/>
    <w:rsid w:val="005A371A"/>
    <w:rsid w:val="005A3D63"/>
    <w:rsid w:val="005A3E1E"/>
    <w:rsid w:val="005A3E75"/>
    <w:rsid w:val="005A3EF8"/>
    <w:rsid w:val="005A3FF5"/>
    <w:rsid w:val="005A4DC1"/>
    <w:rsid w:val="005A611F"/>
    <w:rsid w:val="005A6607"/>
    <w:rsid w:val="005A6982"/>
    <w:rsid w:val="005A7CBF"/>
    <w:rsid w:val="005B017E"/>
    <w:rsid w:val="005B0382"/>
    <w:rsid w:val="005B04AD"/>
    <w:rsid w:val="005B0CAC"/>
    <w:rsid w:val="005B1050"/>
    <w:rsid w:val="005B1267"/>
    <w:rsid w:val="005B1333"/>
    <w:rsid w:val="005B1D61"/>
    <w:rsid w:val="005B219D"/>
    <w:rsid w:val="005B2238"/>
    <w:rsid w:val="005B2487"/>
    <w:rsid w:val="005B2700"/>
    <w:rsid w:val="005B2956"/>
    <w:rsid w:val="005B2AB9"/>
    <w:rsid w:val="005B2D23"/>
    <w:rsid w:val="005B3011"/>
    <w:rsid w:val="005B339F"/>
    <w:rsid w:val="005B37CE"/>
    <w:rsid w:val="005B3C27"/>
    <w:rsid w:val="005B444F"/>
    <w:rsid w:val="005B4B97"/>
    <w:rsid w:val="005B5063"/>
    <w:rsid w:val="005B526C"/>
    <w:rsid w:val="005B5DD1"/>
    <w:rsid w:val="005B668C"/>
    <w:rsid w:val="005B6BA3"/>
    <w:rsid w:val="005B6D32"/>
    <w:rsid w:val="005B6E8F"/>
    <w:rsid w:val="005B7B44"/>
    <w:rsid w:val="005C02A4"/>
    <w:rsid w:val="005C08AA"/>
    <w:rsid w:val="005C1C5B"/>
    <w:rsid w:val="005C1D94"/>
    <w:rsid w:val="005C1DED"/>
    <w:rsid w:val="005C22BC"/>
    <w:rsid w:val="005C22C5"/>
    <w:rsid w:val="005C2936"/>
    <w:rsid w:val="005C2FB0"/>
    <w:rsid w:val="005C3AC8"/>
    <w:rsid w:val="005C3FBD"/>
    <w:rsid w:val="005C418F"/>
    <w:rsid w:val="005C494D"/>
    <w:rsid w:val="005C4C84"/>
    <w:rsid w:val="005C5350"/>
    <w:rsid w:val="005C53CF"/>
    <w:rsid w:val="005C5DB7"/>
    <w:rsid w:val="005C64A0"/>
    <w:rsid w:val="005C69E7"/>
    <w:rsid w:val="005C6C53"/>
    <w:rsid w:val="005C6EF6"/>
    <w:rsid w:val="005C70DB"/>
    <w:rsid w:val="005C72B8"/>
    <w:rsid w:val="005C75BC"/>
    <w:rsid w:val="005C76CA"/>
    <w:rsid w:val="005C76DF"/>
    <w:rsid w:val="005C7959"/>
    <w:rsid w:val="005C7A73"/>
    <w:rsid w:val="005C7EC2"/>
    <w:rsid w:val="005D0DEC"/>
    <w:rsid w:val="005D259C"/>
    <w:rsid w:val="005D2A02"/>
    <w:rsid w:val="005D2B24"/>
    <w:rsid w:val="005D2CAB"/>
    <w:rsid w:val="005D332D"/>
    <w:rsid w:val="005D33EA"/>
    <w:rsid w:val="005D350D"/>
    <w:rsid w:val="005D3E04"/>
    <w:rsid w:val="005D3FDC"/>
    <w:rsid w:val="005D4222"/>
    <w:rsid w:val="005D4DA3"/>
    <w:rsid w:val="005D5037"/>
    <w:rsid w:val="005D5855"/>
    <w:rsid w:val="005D5D1D"/>
    <w:rsid w:val="005D6A0C"/>
    <w:rsid w:val="005D6DF3"/>
    <w:rsid w:val="005D7036"/>
    <w:rsid w:val="005D7C90"/>
    <w:rsid w:val="005E0A15"/>
    <w:rsid w:val="005E1191"/>
    <w:rsid w:val="005E16F3"/>
    <w:rsid w:val="005E1AF1"/>
    <w:rsid w:val="005E245A"/>
    <w:rsid w:val="005E2B22"/>
    <w:rsid w:val="005E3306"/>
    <w:rsid w:val="005E3C27"/>
    <w:rsid w:val="005E3C8B"/>
    <w:rsid w:val="005E3DF9"/>
    <w:rsid w:val="005E40B6"/>
    <w:rsid w:val="005E40F4"/>
    <w:rsid w:val="005E4A51"/>
    <w:rsid w:val="005E4BBC"/>
    <w:rsid w:val="005E4EED"/>
    <w:rsid w:val="005E51D4"/>
    <w:rsid w:val="005E54EA"/>
    <w:rsid w:val="005E5978"/>
    <w:rsid w:val="005E62B7"/>
    <w:rsid w:val="005E6326"/>
    <w:rsid w:val="005E69C6"/>
    <w:rsid w:val="005E71C3"/>
    <w:rsid w:val="005E722C"/>
    <w:rsid w:val="005E7D65"/>
    <w:rsid w:val="005E7F95"/>
    <w:rsid w:val="005F0BC8"/>
    <w:rsid w:val="005F183E"/>
    <w:rsid w:val="005F2164"/>
    <w:rsid w:val="005F3952"/>
    <w:rsid w:val="005F3C29"/>
    <w:rsid w:val="005F40C0"/>
    <w:rsid w:val="005F41DD"/>
    <w:rsid w:val="005F4450"/>
    <w:rsid w:val="005F4658"/>
    <w:rsid w:val="005F4783"/>
    <w:rsid w:val="005F48FC"/>
    <w:rsid w:val="005F58A2"/>
    <w:rsid w:val="005F5C54"/>
    <w:rsid w:val="005F6301"/>
    <w:rsid w:val="005F697D"/>
    <w:rsid w:val="005F7016"/>
    <w:rsid w:val="005F72C7"/>
    <w:rsid w:val="005F782D"/>
    <w:rsid w:val="005F7896"/>
    <w:rsid w:val="005F7B0C"/>
    <w:rsid w:val="0060020D"/>
    <w:rsid w:val="006006CE"/>
    <w:rsid w:val="00600D0F"/>
    <w:rsid w:val="006012A1"/>
    <w:rsid w:val="00601674"/>
    <w:rsid w:val="006020EF"/>
    <w:rsid w:val="00602DBD"/>
    <w:rsid w:val="00603115"/>
    <w:rsid w:val="00603300"/>
    <w:rsid w:val="00603D87"/>
    <w:rsid w:val="006049FC"/>
    <w:rsid w:val="00604A6F"/>
    <w:rsid w:val="006055BC"/>
    <w:rsid w:val="006069CF"/>
    <w:rsid w:val="00606BBE"/>
    <w:rsid w:val="006077B3"/>
    <w:rsid w:val="0061005E"/>
    <w:rsid w:val="00610B42"/>
    <w:rsid w:val="00611D92"/>
    <w:rsid w:val="00611DC5"/>
    <w:rsid w:val="00612001"/>
    <w:rsid w:val="006121BB"/>
    <w:rsid w:val="006122A8"/>
    <w:rsid w:val="0061277D"/>
    <w:rsid w:val="006127A3"/>
    <w:rsid w:val="00612C36"/>
    <w:rsid w:val="00612CE3"/>
    <w:rsid w:val="00612EA4"/>
    <w:rsid w:val="00612F83"/>
    <w:rsid w:val="0061300F"/>
    <w:rsid w:val="00613782"/>
    <w:rsid w:val="006143EF"/>
    <w:rsid w:val="0061452F"/>
    <w:rsid w:val="00614CF9"/>
    <w:rsid w:val="0061534C"/>
    <w:rsid w:val="0061565E"/>
    <w:rsid w:val="00615769"/>
    <w:rsid w:val="00615E87"/>
    <w:rsid w:val="00615F40"/>
    <w:rsid w:val="006160CB"/>
    <w:rsid w:val="00616175"/>
    <w:rsid w:val="00616806"/>
    <w:rsid w:val="00616B0B"/>
    <w:rsid w:val="00616F53"/>
    <w:rsid w:val="00617108"/>
    <w:rsid w:val="00617D5C"/>
    <w:rsid w:val="00617E5D"/>
    <w:rsid w:val="006203C0"/>
    <w:rsid w:val="0062072D"/>
    <w:rsid w:val="0062078F"/>
    <w:rsid w:val="00620811"/>
    <w:rsid w:val="0062086B"/>
    <w:rsid w:val="00620C07"/>
    <w:rsid w:val="00621505"/>
    <w:rsid w:val="006216EB"/>
    <w:rsid w:val="00621831"/>
    <w:rsid w:val="00621AB5"/>
    <w:rsid w:val="00621F2D"/>
    <w:rsid w:val="0062206A"/>
    <w:rsid w:val="00622692"/>
    <w:rsid w:val="00622F56"/>
    <w:rsid w:val="00623035"/>
    <w:rsid w:val="00623450"/>
    <w:rsid w:val="006235AB"/>
    <w:rsid w:val="0062398D"/>
    <w:rsid w:val="00623DAA"/>
    <w:rsid w:val="0062469F"/>
    <w:rsid w:val="00624715"/>
    <w:rsid w:val="0062512C"/>
    <w:rsid w:val="0062525D"/>
    <w:rsid w:val="00625885"/>
    <w:rsid w:val="0062728E"/>
    <w:rsid w:val="00627868"/>
    <w:rsid w:val="006278F2"/>
    <w:rsid w:val="00627BAA"/>
    <w:rsid w:val="00630AB7"/>
    <w:rsid w:val="00630EE2"/>
    <w:rsid w:val="006321BE"/>
    <w:rsid w:val="0063228B"/>
    <w:rsid w:val="00632450"/>
    <w:rsid w:val="00632639"/>
    <w:rsid w:val="00632C80"/>
    <w:rsid w:val="00632D60"/>
    <w:rsid w:val="00632E98"/>
    <w:rsid w:val="0063329F"/>
    <w:rsid w:val="00633A23"/>
    <w:rsid w:val="00634583"/>
    <w:rsid w:val="00634ABD"/>
    <w:rsid w:val="00634E7E"/>
    <w:rsid w:val="00634E9E"/>
    <w:rsid w:val="006364AE"/>
    <w:rsid w:val="0063658B"/>
    <w:rsid w:val="00636860"/>
    <w:rsid w:val="00636CDB"/>
    <w:rsid w:val="00636DBA"/>
    <w:rsid w:val="006373AC"/>
    <w:rsid w:val="0063794D"/>
    <w:rsid w:val="00637BA0"/>
    <w:rsid w:val="00640610"/>
    <w:rsid w:val="006409B0"/>
    <w:rsid w:val="006427E0"/>
    <w:rsid w:val="00643571"/>
    <w:rsid w:val="006435A3"/>
    <w:rsid w:val="00643BEB"/>
    <w:rsid w:val="0064490B"/>
    <w:rsid w:val="00645244"/>
    <w:rsid w:val="00645579"/>
    <w:rsid w:val="00646E62"/>
    <w:rsid w:val="00647421"/>
    <w:rsid w:val="006474EC"/>
    <w:rsid w:val="00647BE5"/>
    <w:rsid w:val="006504D9"/>
    <w:rsid w:val="00650AD1"/>
    <w:rsid w:val="00651104"/>
    <w:rsid w:val="00651A7F"/>
    <w:rsid w:val="006528F8"/>
    <w:rsid w:val="006530E7"/>
    <w:rsid w:val="00653713"/>
    <w:rsid w:val="0065390C"/>
    <w:rsid w:val="00653CD8"/>
    <w:rsid w:val="006542AF"/>
    <w:rsid w:val="006542BE"/>
    <w:rsid w:val="00654520"/>
    <w:rsid w:val="00654B7B"/>
    <w:rsid w:val="00655B5F"/>
    <w:rsid w:val="00655DE1"/>
    <w:rsid w:val="00655E4B"/>
    <w:rsid w:val="006568A4"/>
    <w:rsid w:val="00656FD9"/>
    <w:rsid w:val="0065702E"/>
    <w:rsid w:val="00657124"/>
    <w:rsid w:val="00657A71"/>
    <w:rsid w:val="00657D56"/>
    <w:rsid w:val="00660077"/>
    <w:rsid w:val="00660FCE"/>
    <w:rsid w:val="0066198E"/>
    <w:rsid w:val="00661BDC"/>
    <w:rsid w:val="00661CD4"/>
    <w:rsid w:val="00662715"/>
    <w:rsid w:val="00662AF7"/>
    <w:rsid w:val="00662CD1"/>
    <w:rsid w:val="00662D25"/>
    <w:rsid w:val="006635F1"/>
    <w:rsid w:val="0066369A"/>
    <w:rsid w:val="006636DF"/>
    <w:rsid w:val="0066408D"/>
    <w:rsid w:val="0066451C"/>
    <w:rsid w:val="00664D87"/>
    <w:rsid w:val="00666031"/>
    <w:rsid w:val="00666B21"/>
    <w:rsid w:val="00667069"/>
    <w:rsid w:val="00667275"/>
    <w:rsid w:val="0066764B"/>
    <w:rsid w:val="00667704"/>
    <w:rsid w:val="006679E2"/>
    <w:rsid w:val="00667B73"/>
    <w:rsid w:val="00667BA1"/>
    <w:rsid w:val="006701CE"/>
    <w:rsid w:val="006703FA"/>
    <w:rsid w:val="00671021"/>
    <w:rsid w:val="00671734"/>
    <w:rsid w:val="006720F0"/>
    <w:rsid w:val="00672A65"/>
    <w:rsid w:val="0067329F"/>
    <w:rsid w:val="0067394F"/>
    <w:rsid w:val="006742F1"/>
    <w:rsid w:val="0067467E"/>
    <w:rsid w:val="006749DF"/>
    <w:rsid w:val="00675239"/>
    <w:rsid w:val="00675867"/>
    <w:rsid w:val="006758EA"/>
    <w:rsid w:val="00676DC2"/>
    <w:rsid w:val="0067728D"/>
    <w:rsid w:val="0067764C"/>
    <w:rsid w:val="006800DE"/>
    <w:rsid w:val="006810DF"/>
    <w:rsid w:val="006817D9"/>
    <w:rsid w:val="006819EC"/>
    <w:rsid w:val="006820EA"/>
    <w:rsid w:val="00682250"/>
    <w:rsid w:val="00682E1E"/>
    <w:rsid w:val="0068304B"/>
    <w:rsid w:val="0068386E"/>
    <w:rsid w:val="00683B65"/>
    <w:rsid w:val="00683FFD"/>
    <w:rsid w:val="00684591"/>
    <w:rsid w:val="006845F7"/>
    <w:rsid w:val="006856E6"/>
    <w:rsid w:val="00686797"/>
    <w:rsid w:val="0068689C"/>
    <w:rsid w:val="006870C5"/>
    <w:rsid w:val="006872CE"/>
    <w:rsid w:val="0068769C"/>
    <w:rsid w:val="006876B7"/>
    <w:rsid w:val="00687FC4"/>
    <w:rsid w:val="0069096E"/>
    <w:rsid w:val="00690D91"/>
    <w:rsid w:val="006911E8"/>
    <w:rsid w:val="0069147B"/>
    <w:rsid w:val="0069159E"/>
    <w:rsid w:val="00692758"/>
    <w:rsid w:val="00692843"/>
    <w:rsid w:val="006928FB"/>
    <w:rsid w:val="0069301B"/>
    <w:rsid w:val="006933AA"/>
    <w:rsid w:val="006933EE"/>
    <w:rsid w:val="00694090"/>
    <w:rsid w:val="00694778"/>
    <w:rsid w:val="006949A7"/>
    <w:rsid w:val="00694F6D"/>
    <w:rsid w:val="006965AF"/>
    <w:rsid w:val="00696831"/>
    <w:rsid w:val="00696A25"/>
    <w:rsid w:val="00696F4A"/>
    <w:rsid w:val="00696F70"/>
    <w:rsid w:val="006972B4"/>
    <w:rsid w:val="00697516"/>
    <w:rsid w:val="006978B7"/>
    <w:rsid w:val="00697B87"/>
    <w:rsid w:val="006A0B48"/>
    <w:rsid w:val="006A20A8"/>
    <w:rsid w:val="006A260F"/>
    <w:rsid w:val="006A27C0"/>
    <w:rsid w:val="006A2C8E"/>
    <w:rsid w:val="006A307D"/>
    <w:rsid w:val="006A4276"/>
    <w:rsid w:val="006A4393"/>
    <w:rsid w:val="006A4FAF"/>
    <w:rsid w:val="006A5571"/>
    <w:rsid w:val="006A5F96"/>
    <w:rsid w:val="006A64D1"/>
    <w:rsid w:val="006A774B"/>
    <w:rsid w:val="006A7DE1"/>
    <w:rsid w:val="006B0172"/>
    <w:rsid w:val="006B03F3"/>
    <w:rsid w:val="006B0475"/>
    <w:rsid w:val="006B07D8"/>
    <w:rsid w:val="006B0976"/>
    <w:rsid w:val="006B0E4F"/>
    <w:rsid w:val="006B0EED"/>
    <w:rsid w:val="006B1255"/>
    <w:rsid w:val="006B1371"/>
    <w:rsid w:val="006B1563"/>
    <w:rsid w:val="006B18BD"/>
    <w:rsid w:val="006B28B7"/>
    <w:rsid w:val="006B2D69"/>
    <w:rsid w:val="006B38AA"/>
    <w:rsid w:val="006B3AD6"/>
    <w:rsid w:val="006B41A6"/>
    <w:rsid w:val="006B4898"/>
    <w:rsid w:val="006B4B55"/>
    <w:rsid w:val="006B4BCF"/>
    <w:rsid w:val="006B5BDD"/>
    <w:rsid w:val="006B6027"/>
    <w:rsid w:val="006B6724"/>
    <w:rsid w:val="006B6836"/>
    <w:rsid w:val="006B6DDF"/>
    <w:rsid w:val="006B71C8"/>
    <w:rsid w:val="006B7EEA"/>
    <w:rsid w:val="006B7F89"/>
    <w:rsid w:val="006C01CE"/>
    <w:rsid w:val="006C0277"/>
    <w:rsid w:val="006C0324"/>
    <w:rsid w:val="006C041A"/>
    <w:rsid w:val="006C046E"/>
    <w:rsid w:val="006C080E"/>
    <w:rsid w:val="006C0B96"/>
    <w:rsid w:val="006C11A1"/>
    <w:rsid w:val="006C1434"/>
    <w:rsid w:val="006C145D"/>
    <w:rsid w:val="006C193F"/>
    <w:rsid w:val="006C29F1"/>
    <w:rsid w:val="006C2CB1"/>
    <w:rsid w:val="006C3921"/>
    <w:rsid w:val="006C3B1D"/>
    <w:rsid w:val="006C4067"/>
    <w:rsid w:val="006C449E"/>
    <w:rsid w:val="006C467C"/>
    <w:rsid w:val="006C4BCA"/>
    <w:rsid w:val="006C4CBD"/>
    <w:rsid w:val="006C5494"/>
    <w:rsid w:val="006C56DD"/>
    <w:rsid w:val="006C5869"/>
    <w:rsid w:val="006C592F"/>
    <w:rsid w:val="006C5CC1"/>
    <w:rsid w:val="006C5D48"/>
    <w:rsid w:val="006C63D8"/>
    <w:rsid w:val="006C7198"/>
    <w:rsid w:val="006C7462"/>
    <w:rsid w:val="006C78D3"/>
    <w:rsid w:val="006C7D46"/>
    <w:rsid w:val="006C7EE5"/>
    <w:rsid w:val="006D0401"/>
    <w:rsid w:val="006D0C27"/>
    <w:rsid w:val="006D2114"/>
    <w:rsid w:val="006D292A"/>
    <w:rsid w:val="006D29BA"/>
    <w:rsid w:val="006D2A2A"/>
    <w:rsid w:val="006D2B62"/>
    <w:rsid w:val="006D2C49"/>
    <w:rsid w:val="006D2D13"/>
    <w:rsid w:val="006D30FB"/>
    <w:rsid w:val="006D337A"/>
    <w:rsid w:val="006D3EDB"/>
    <w:rsid w:val="006D425B"/>
    <w:rsid w:val="006D4BA5"/>
    <w:rsid w:val="006D5342"/>
    <w:rsid w:val="006D54AF"/>
    <w:rsid w:val="006D6622"/>
    <w:rsid w:val="006D6D82"/>
    <w:rsid w:val="006D7148"/>
    <w:rsid w:val="006D7F93"/>
    <w:rsid w:val="006E04F7"/>
    <w:rsid w:val="006E0AAD"/>
    <w:rsid w:val="006E0BF1"/>
    <w:rsid w:val="006E0C45"/>
    <w:rsid w:val="006E0D97"/>
    <w:rsid w:val="006E11DE"/>
    <w:rsid w:val="006E16F1"/>
    <w:rsid w:val="006E1CA6"/>
    <w:rsid w:val="006E1D41"/>
    <w:rsid w:val="006E2228"/>
    <w:rsid w:val="006E26D1"/>
    <w:rsid w:val="006E28C9"/>
    <w:rsid w:val="006E3293"/>
    <w:rsid w:val="006E33D2"/>
    <w:rsid w:val="006E410A"/>
    <w:rsid w:val="006E6022"/>
    <w:rsid w:val="006E60A3"/>
    <w:rsid w:val="006E6423"/>
    <w:rsid w:val="006E660D"/>
    <w:rsid w:val="006E6D3F"/>
    <w:rsid w:val="006F1B7B"/>
    <w:rsid w:val="006F1C20"/>
    <w:rsid w:val="006F1C9C"/>
    <w:rsid w:val="006F279B"/>
    <w:rsid w:val="006F2E8D"/>
    <w:rsid w:val="006F2FB4"/>
    <w:rsid w:val="006F30DB"/>
    <w:rsid w:val="006F330A"/>
    <w:rsid w:val="006F354A"/>
    <w:rsid w:val="006F3755"/>
    <w:rsid w:val="006F3A1C"/>
    <w:rsid w:val="006F3AD5"/>
    <w:rsid w:val="006F3C6D"/>
    <w:rsid w:val="006F4ED1"/>
    <w:rsid w:val="006F53C0"/>
    <w:rsid w:val="006F55C0"/>
    <w:rsid w:val="006F5E90"/>
    <w:rsid w:val="006F646B"/>
    <w:rsid w:val="006F754B"/>
    <w:rsid w:val="006F783B"/>
    <w:rsid w:val="006F7B02"/>
    <w:rsid w:val="0070024E"/>
    <w:rsid w:val="007004AC"/>
    <w:rsid w:val="007009B6"/>
    <w:rsid w:val="0070139F"/>
    <w:rsid w:val="00701AFE"/>
    <w:rsid w:val="00702731"/>
    <w:rsid w:val="00702A3B"/>
    <w:rsid w:val="00702AB3"/>
    <w:rsid w:val="00702AB7"/>
    <w:rsid w:val="007035DC"/>
    <w:rsid w:val="0070387F"/>
    <w:rsid w:val="00703F25"/>
    <w:rsid w:val="007044D3"/>
    <w:rsid w:val="00705B67"/>
    <w:rsid w:val="00705D69"/>
    <w:rsid w:val="00706664"/>
    <w:rsid w:val="0070724D"/>
    <w:rsid w:val="00707ADB"/>
    <w:rsid w:val="007100BC"/>
    <w:rsid w:val="00710566"/>
    <w:rsid w:val="00710773"/>
    <w:rsid w:val="00710C9D"/>
    <w:rsid w:val="00711114"/>
    <w:rsid w:val="007111B8"/>
    <w:rsid w:val="007114A6"/>
    <w:rsid w:val="00711E04"/>
    <w:rsid w:val="00712CCD"/>
    <w:rsid w:val="007130D2"/>
    <w:rsid w:val="00713BD7"/>
    <w:rsid w:val="00713D16"/>
    <w:rsid w:val="00714105"/>
    <w:rsid w:val="0071433A"/>
    <w:rsid w:val="007150C2"/>
    <w:rsid w:val="007157D0"/>
    <w:rsid w:val="0071587A"/>
    <w:rsid w:val="00716494"/>
    <w:rsid w:val="00716958"/>
    <w:rsid w:val="00716D92"/>
    <w:rsid w:val="00717F73"/>
    <w:rsid w:val="0072071B"/>
    <w:rsid w:val="00720975"/>
    <w:rsid w:val="00720A27"/>
    <w:rsid w:val="00720A49"/>
    <w:rsid w:val="00721192"/>
    <w:rsid w:val="007211D4"/>
    <w:rsid w:val="007219A3"/>
    <w:rsid w:val="00722071"/>
    <w:rsid w:val="00722336"/>
    <w:rsid w:val="0072257E"/>
    <w:rsid w:val="00722A3A"/>
    <w:rsid w:val="00722C27"/>
    <w:rsid w:val="007232FE"/>
    <w:rsid w:val="007238C1"/>
    <w:rsid w:val="0072472B"/>
    <w:rsid w:val="00724EF5"/>
    <w:rsid w:val="00725328"/>
    <w:rsid w:val="007257CC"/>
    <w:rsid w:val="00725842"/>
    <w:rsid w:val="007267EC"/>
    <w:rsid w:val="00726F75"/>
    <w:rsid w:val="0072703C"/>
    <w:rsid w:val="007272EF"/>
    <w:rsid w:val="007276E6"/>
    <w:rsid w:val="007303D9"/>
    <w:rsid w:val="00730C29"/>
    <w:rsid w:val="00730F34"/>
    <w:rsid w:val="00732236"/>
    <w:rsid w:val="00732394"/>
    <w:rsid w:val="00732AE4"/>
    <w:rsid w:val="00732F3C"/>
    <w:rsid w:val="0073321A"/>
    <w:rsid w:val="007332CA"/>
    <w:rsid w:val="007341A4"/>
    <w:rsid w:val="007345F9"/>
    <w:rsid w:val="0073473B"/>
    <w:rsid w:val="00734ACE"/>
    <w:rsid w:val="007351D8"/>
    <w:rsid w:val="00735483"/>
    <w:rsid w:val="00735853"/>
    <w:rsid w:val="00736507"/>
    <w:rsid w:val="00736BC9"/>
    <w:rsid w:val="00737FEF"/>
    <w:rsid w:val="00740169"/>
    <w:rsid w:val="007402FF"/>
    <w:rsid w:val="007403DA"/>
    <w:rsid w:val="0074050B"/>
    <w:rsid w:val="007409AF"/>
    <w:rsid w:val="007415F1"/>
    <w:rsid w:val="00741B0D"/>
    <w:rsid w:val="00741B28"/>
    <w:rsid w:val="00742115"/>
    <w:rsid w:val="00742D93"/>
    <w:rsid w:val="00742FAF"/>
    <w:rsid w:val="00743182"/>
    <w:rsid w:val="00743A9C"/>
    <w:rsid w:val="00743D7A"/>
    <w:rsid w:val="00744269"/>
    <w:rsid w:val="00744F98"/>
    <w:rsid w:val="00745AF6"/>
    <w:rsid w:val="00745EFA"/>
    <w:rsid w:val="00746401"/>
    <w:rsid w:val="0074692D"/>
    <w:rsid w:val="007474BA"/>
    <w:rsid w:val="0074792A"/>
    <w:rsid w:val="0074799E"/>
    <w:rsid w:val="00750076"/>
    <w:rsid w:val="00750BE0"/>
    <w:rsid w:val="00751CCD"/>
    <w:rsid w:val="00751F83"/>
    <w:rsid w:val="007520D4"/>
    <w:rsid w:val="00752554"/>
    <w:rsid w:val="007525B3"/>
    <w:rsid w:val="0075290F"/>
    <w:rsid w:val="0075328F"/>
    <w:rsid w:val="00753338"/>
    <w:rsid w:val="00753449"/>
    <w:rsid w:val="00753F23"/>
    <w:rsid w:val="007544C9"/>
    <w:rsid w:val="00754D20"/>
    <w:rsid w:val="0075512F"/>
    <w:rsid w:val="00755CDE"/>
    <w:rsid w:val="007560A0"/>
    <w:rsid w:val="00756253"/>
    <w:rsid w:val="00756C82"/>
    <w:rsid w:val="00756F3B"/>
    <w:rsid w:val="00756FDD"/>
    <w:rsid w:val="00757103"/>
    <w:rsid w:val="00760B87"/>
    <w:rsid w:val="00760D65"/>
    <w:rsid w:val="00761040"/>
    <w:rsid w:val="007616A7"/>
    <w:rsid w:val="00761AD5"/>
    <w:rsid w:val="00761CCA"/>
    <w:rsid w:val="00761CF1"/>
    <w:rsid w:val="0076235A"/>
    <w:rsid w:val="007627AF"/>
    <w:rsid w:val="00762842"/>
    <w:rsid w:val="00762E01"/>
    <w:rsid w:val="00763185"/>
    <w:rsid w:val="00763604"/>
    <w:rsid w:val="00763DCB"/>
    <w:rsid w:val="00763E1E"/>
    <w:rsid w:val="00764B15"/>
    <w:rsid w:val="00764F49"/>
    <w:rsid w:val="00765B4D"/>
    <w:rsid w:val="00765F8F"/>
    <w:rsid w:val="007660A2"/>
    <w:rsid w:val="0076783A"/>
    <w:rsid w:val="00767BF9"/>
    <w:rsid w:val="00767E8D"/>
    <w:rsid w:val="00767EC8"/>
    <w:rsid w:val="00770B8F"/>
    <w:rsid w:val="00770C3B"/>
    <w:rsid w:val="00770E74"/>
    <w:rsid w:val="0077143E"/>
    <w:rsid w:val="007714CD"/>
    <w:rsid w:val="00771A62"/>
    <w:rsid w:val="00771B64"/>
    <w:rsid w:val="007721AB"/>
    <w:rsid w:val="00772335"/>
    <w:rsid w:val="00772A94"/>
    <w:rsid w:val="00772CF4"/>
    <w:rsid w:val="00772E0A"/>
    <w:rsid w:val="0077335E"/>
    <w:rsid w:val="007733FB"/>
    <w:rsid w:val="00773AB6"/>
    <w:rsid w:val="007740E1"/>
    <w:rsid w:val="00775492"/>
    <w:rsid w:val="00775B1A"/>
    <w:rsid w:val="00776695"/>
    <w:rsid w:val="00776741"/>
    <w:rsid w:val="007773CD"/>
    <w:rsid w:val="00777755"/>
    <w:rsid w:val="00777B3E"/>
    <w:rsid w:val="00780CB9"/>
    <w:rsid w:val="007810CA"/>
    <w:rsid w:val="007814DD"/>
    <w:rsid w:val="00782310"/>
    <w:rsid w:val="007828DB"/>
    <w:rsid w:val="00782942"/>
    <w:rsid w:val="00784E5E"/>
    <w:rsid w:val="007851BF"/>
    <w:rsid w:val="007853A8"/>
    <w:rsid w:val="00785A97"/>
    <w:rsid w:val="00786711"/>
    <w:rsid w:val="0078684A"/>
    <w:rsid w:val="0078765F"/>
    <w:rsid w:val="00787716"/>
    <w:rsid w:val="00787A4B"/>
    <w:rsid w:val="00787E59"/>
    <w:rsid w:val="007900F0"/>
    <w:rsid w:val="0079012B"/>
    <w:rsid w:val="00790241"/>
    <w:rsid w:val="00790CA3"/>
    <w:rsid w:val="00790D37"/>
    <w:rsid w:val="00790DB0"/>
    <w:rsid w:val="00791390"/>
    <w:rsid w:val="00791996"/>
    <w:rsid w:val="00792123"/>
    <w:rsid w:val="00792185"/>
    <w:rsid w:val="00792361"/>
    <w:rsid w:val="00792655"/>
    <w:rsid w:val="0079343F"/>
    <w:rsid w:val="00793868"/>
    <w:rsid w:val="00793979"/>
    <w:rsid w:val="007941C7"/>
    <w:rsid w:val="0079426F"/>
    <w:rsid w:val="007947B6"/>
    <w:rsid w:val="00794827"/>
    <w:rsid w:val="007954CD"/>
    <w:rsid w:val="00795964"/>
    <w:rsid w:val="00795D07"/>
    <w:rsid w:val="007961D2"/>
    <w:rsid w:val="00796648"/>
    <w:rsid w:val="00796B98"/>
    <w:rsid w:val="0079708F"/>
    <w:rsid w:val="007970DA"/>
    <w:rsid w:val="007970E5"/>
    <w:rsid w:val="007975F8"/>
    <w:rsid w:val="00797C32"/>
    <w:rsid w:val="00797F01"/>
    <w:rsid w:val="007A014B"/>
    <w:rsid w:val="007A0994"/>
    <w:rsid w:val="007A0E8A"/>
    <w:rsid w:val="007A1653"/>
    <w:rsid w:val="007A1874"/>
    <w:rsid w:val="007A2C62"/>
    <w:rsid w:val="007A2C8B"/>
    <w:rsid w:val="007A2E5B"/>
    <w:rsid w:val="007A30FB"/>
    <w:rsid w:val="007A341C"/>
    <w:rsid w:val="007A38EE"/>
    <w:rsid w:val="007A3CE6"/>
    <w:rsid w:val="007A4B2F"/>
    <w:rsid w:val="007A4B82"/>
    <w:rsid w:val="007A4C0C"/>
    <w:rsid w:val="007A5820"/>
    <w:rsid w:val="007A5875"/>
    <w:rsid w:val="007A58E2"/>
    <w:rsid w:val="007A708C"/>
    <w:rsid w:val="007A7262"/>
    <w:rsid w:val="007A75A3"/>
    <w:rsid w:val="007A79D6"/>
    <w:rsid w:val="007A7D17"/>
    <w:rsid w:val="007B073A"/>
    <w:rsid w:val="007B112C"/>
    <w:rsid w:val="007B199B"/>
    <w:rsid w:val="007B2AE4"/>
    <w:rsid w:val="007B4F42"/>
    <w:rsid w:val="007B5023"/>
    <w:rsid w:val="007B574A"/>
    <w:rsid w:val="007B6036"/>
    <w:rsid w:val="007B65D9"/>
    <w:rsid w:val="007B6ADD"/>
    <w:rsid w:val="007B6B52"/>
    <w:rsid w:val="007B7227"/>
    <w:rsid w:val="007B74D5"/>
    <w:rsid w:val="007B75B6"/>
    <w:rsid w:val="007B76F3"/>
    <w:rsid w:val="007B78B6"/>
    <w:rsid w:val="007B7CE2"/>
    <w:rsid w:val="007C01A1"/>
    <w:rsid w:val="007C02DE"/>
    <w:rsid w:val="007C11D9"/>
    <w:rsid w:val="007C1561"/>
    <w:rsid w:val="007C171A"/>
    <w:rsid w:val="007C1F36"/>
    <w:rsid w:val="007C2BC1"/>
    <w:rsid w:val="007C2E58"/>
    <w:rsid w:val="007C3277"/>
    <w:rsid w:val="007C3612"/>
    <w:rsid w:val="007C3A61"/>
    <w:rsid w:val="007C4493"/>
    <w:rsid w:val="007C463A"/>
    <w:rsid w:val="007C51D4"/>
    <w:rsid w:val="007C53E0"/>
    <w:rsid w:val="007C5F1F"/>
    <w:rsid w:val="007C60FE"/>
    <w:rsid w:val="007C730C"/>
    <w:rsid w:val="007C755C"/>
    <w:rsid w:val="007C7A81"/>
    <w:rsid w:val="007C7BB0"/>
    <w:rsid w:val="007D057D"/>
    <w:rsid w:val="007D09AE"/>
    <w:rsid w:val="007D0B71"/>
    <w:rsid w:val="007D1403"/>
    <w:rsid w:val="007D17E3"/>
    <w:rsid w:val="007D2712"/>
    <w:rsid w:val="007D28F9"/>
    <w:rsid w:val="007D2B19"/>
    <w:rsid w:val="007D3150"/>
    <w:rsid w:val="007D3515"/>
    <w:rsid w:val="007D3C09"/>
    <w:rsid w:val="007D42BB"/>
    <w:rsid w:val="007D45D4"/>
    <w:rsid w:val="007D58D3"/>
    <w:rsid w:val="007D58D4"/>
    <w:rsid w:val="007D6159"/>
    <w:rsid w:val="007D63A4"/>
    <w:rsid w:val="007D6A68"/>
    <w:rsid w:val="007D6C87"/>
    <w:rsid w:val="007D7063"/>
    <w:rsid w:val="007D7892"/>
    <w:rsid w:val="007E00BA"/>
    <w:rsid w:val="007E00F7"/>
    <w:rsid w:val="007E13B0"/>
    <w:rsid w:val="007E16A2"/>
    <w:rsid w:val="007E174D"/>
    <w:rsid w:val="007E1F55"/>
    <w:rsid w:val="007E2097"/>
    <w:rsid w:val="007E2517"/>
    <w:rsid w:val="007E263D"/>
    <w:rsid w:val="007E2C0E"/>
    <w:rsid w:val="007E2FAB"/>
    <w:rsid w:val="007E33D0"/>
    <w:rsid w:val="007E351E"/>
    <w:rsid w:val="007E3A09"/>
    <w:rsid w:val="007E422B"/>
    <w:rsid w:val="007E487B"/>
    <w:rsid w:val="007E5275"/>
    <w:rsid w:val="007E54B6"/>
    <w:rsid w:val="007E6444"/>
    <w:rsid w:val="007E64D8"/>
    <w:rsid w:val="007E6AB5"/>
    <w:rsid w:val="007E77A0"/>
    <w:rsid w:val="007E7C24"/>
    <w:rsid w:val="007F07C1"/>
    <w:rsid w:val="007F1032"/>
    <w:rsid w:val="007F12E3"/>
    <w:rsid w:val="007F1C96"/>
    <w:rsid w:val="007F228A"/>
    <w:rsid w:val="007F275D"/>
    <w:rsid w:val="007F3270"/>
    <w:rsid w:val="007F3519"/>
    <w:rsid w:val="007F398B"/>
    <w:rsid w:val="007F39B8"/>
    <w:rsid w:val="007F4787"/>
    <w:rsid w:val="007F4A2E"/>
    <w:rsid w:val="007F5F6B"/>
    <w:rsid w:val="007F6329"/>
    <w:rsid w:val="007F6A23"/>
    <w:rsid w:val="007F6A7D"/>
    <w:rsid w:val="007F719C"/>
    <w:rsid w:val="0080053C"/>
    <w:rsid w:val="00801351"/>
    <w:rsid w:val="008016A8"/>
    <w:rsid w:val="00802B20"/>
    <w:rsid w:val="00802E52"/>
    <w:rsid w:val="00803117"/>
    <w:rsid w:val="008033C9"/>
    <w:rsid w:val="008049CB"/>
    <w:rsid w:val="008049D5"/>
    <w:rsid w:val="00804C30"/>
    <w:rsid w:val="0080505D"/>
    <w:rsid w:val="0080576C"/>
    <w:rsid w:val="008057ED"/>
    <w:rsid w:val="00805870"/>
    <w:rsid w:val="008073BA"/>
    <w:rsid w:val="00807873"/>
    <w:rsid w:val="00807903"/>
    <w:rsid w:val="0081086F"/>
    <w:rsid w:val="00811033"/>
    <w:rsid w:val="008111B1"/>
    <w:rsid w:val="00811EAE"/>
    <w:rsid w:val="00812CF9"/>
    <w:rsid w:val="00812F30"/>
    <w:rsid w:val="00813770"/>
    <w:rsid w:val="008142E0"/>
    <w:rsid w:val="008149D4"/>
    <w:rsid w:val="00814FA1"/>
    <w:rsid w:val="0081598F"/>
    <w:rsid w:val="0081600C"/>
    <w:rsid w:val="0081627B"/>
    <w:rsid w:val="00816634"/>
    <w:rsid w:val="00816A4E"/>
    <w:rsid w:val="00816D5E"/>
    <w:rsid w:val="00816FDE"/>
    <w:rsid w:val="00817410"/>
    <w:rsid w:val="008175CC"/>
    <w:rsid w:val="008201F2"/>
    <w:rsid w:val="00820371"/>
    <w:rsid w:val="0082172C"/>
    <w:rsid w:val="00821F1B"/>
    <w:rsid w:val="0082219B"/>
    <w:rsid w:val="0082263D"/>
    <w:rsid w:val="00822FA2"/>
    <w:rsid w:val="00823100"/>
    <w:rsid w:val="008238D2"/>
    <w:rsid w:val="008239B5"/>
    <w:rsid w:val="00824340"/>
    <w:rsid w:val="008243E5"/>
    <w:rsid w:val="00824428"/>
    <w:rsid w:val="00824482"/>
    <w:rsid w:val="0082493A"/>
    <w:rsid w:val="00824FF2"/>
    <w:rsid w:val="00825849"/>
    <w:rsid w:val="00825FFA"/>
    <w:rsid w:val="008268E2"/>
    <w:rsid w:val="00827D5E"/>
    <w:rsid w:val="00830949"/>
    <w:rsid w:val="00830E59"/>
    <w:rsid w:val="00831386"/>
    <w:rsid w:val="00832546"/>
    <w:rsid w:val="00832C2B"/>
    <w:rsid w:val="00833B3A"/>
    <w:rsid w:val="00833B7F"/>
    <w:rsid w:val="00833C2C"/>
    <w:rsid w:val="00833FE7"/>
    <w:rsid w:val="008341C4"/>
    <w:rsid w:val="00834579"/>
    <w:rsid w:val="00834714"/>
    <w:rsid w:val="00835373"/>
    <w:rsid w:val="0083573D"/>
    <w:rsid w:val="00836097"/>
    <w:rsid w:val="00836195"/>
    <w:rsid w:val="00836FD7"/>
    <w:rsid w:val="0083722C"/>
    <w:rsid w:val="008374B7"/>
    <w:rsid w:val="008374EB"/>
    <w:rsid w:val="00837802"/>
    <w:rsid w:val="00837A75"/>
    <w:rsid w:val="00837CA8"/>
    <w:rsid w:val="0084015A"/>
    <w:rsid w:val="00840A4B"/>
    <w:rsid w:val="008418D2"/>
    <w:rsid w:val="00841E2F"/>
    <w:rsid w:val="0084234F"/>
    <w:rsid w:val="0084266D"/>
    <w:rsid w:val="008428DD"/>
    <w:rsid w:val="00843529"/>
    <w:rsid w:val="00843DEA"/>
    <w:rsid w:val="00844536"/>
    <w:rsid w:val="00844682"/>
    <w:rsid w:val="00845EC4"/>
    <w:rsid w:val="0084601E"/>
    <w:rsid w:val="0084618E"/>
    <w:rsid w:val="008466E0"/>
    <w:rsid w:val="008470ED"/>
    <w:rsid w:val="00847157"/>
    <w:rsid w:val="00847919"/>
    <w:rsid w:val="00850140"/>
    <w:rsid w:val="00850DEC"/>
    <w:rsid w:val="00851B01"/>
    <w:rsid w:val="00852180"/>
    <w:rsid w:val="008525ED"/>
    <w:rsid w:val="00852824"/>
    <w:rsid w:val="008537E4"/>
    <w:rsid w:val="00853BF0"/>
    <w:rsid w:val="00853CED"/>
    <w:rsid w:val="00853D62"/>
    <w:rsid w:val="0085449D"/>
    <w:rsid w:val="008546E3"/>
    <w:rsid w:val="008548D7"/>
    <w:rsid w:val="00856499"/>
    <w:rsid w:val="008577EA"/>
    <w:rsid w:val="00860423"/>
    <w:rsid w:val="008608AF"/>
    <w:rsid w:val="00861A5B"/>
    <w:rsid w:val="00861F0E"/>
    <w:rsid w:val="00862012"/>
    <w:rsid w:val="00862098"/>
    <w:rsid w:val="008624C9"/>
    <w:rsid w:val="00862A9E"/>
    <w:rsid w:val="00863DB9"/>
    <w:rsid w:val="0086488D"/>
    <w:rsid w:val="00864970"/>
    <w:rsid w:val="00864F08"/>
    <w:rsid w:val="00865967"/>
    <w:rsid w:val="00865BC1"/>
    <w:rsid w:val="00865CF1"/>
    <w:rsid w:val="00865FCF"/>
    <w:rsid w:val="00865FD4"/>
    <w:rsid w:val="008663D3"/>
    <w:rsid w:val="00866920"/>
    <w:rsid w:val="00866953"/>
    <w:rsid w:val="00866A32"/>
    <w:rsid w:val="0086700E"/>
    <w:rsid w:val="00867754"/>
    <w:rsid w:val="008677A0"/>
    <w:rsid w:val="008677E9"/>
    <w:rsid w:val="00867CFE"/>
    <w:rsid w:val="00870123"/>
    <w:rsid w:val="0087075C"/>
    <w:rsid w:val="008709F1"/>
    <w:rsid w:val="00870BFD"/>
    <w:rsid w:val="00870D0A"/>
    <w:rsid w:val="00871008"/>
    <w:rsid w:val="00871031"/>
    <w:rsid w:val="0087134E"/>
    <w:rsid w:val="00871BE5"/>
    <w:rsid w:val="00871D8E"/>
    <w:rsid w:val="008724C3"/>
    <w:rsid w:val="00872CE8"/>
    <w:rsid w:val="00872ED3"/>
    <w:rsid w:val="00873735"/>
    <w:rsid w:val="00874D7A"/>
    <w:rsid w:val="00874FBE"/>
    <w:rsid w:val="008754F3"/>
    <w:rsid w:val="00876D07"/>
    <w:rsid w:val="008775C6"/>
    <w:rsid w:val="00877C1F"/>
    <w:rsid w:val="008803FD"/>
    <w:rsid w:val="008807A7"/>
    <w:rsid w:val="008818CD"/>
    <w:rsid w:val="00881C8F"/>
    <w:rsid w:val="0088263C"/>
    <w:rsid w:val="00883149"/>
    <w:rsid w:val="00883364"/>
    <w:rsid w:val="0088365F"/>
    <w:rsid w:val="0088367B"/>
    <w:rsid w:val="00884500"/>
    <w:rsid w:val="008854AD"/>
    <w:rsid w:val="00885BA3"/>
    <w:rsid w:val="00885C25"/>
    <w:rsid w:val="00885CC0"/>
    <w:rsid w:val="00886500"/>
    <w:rsid w:val="00886985"/>
    <w:rsid w:val="008869AA"/>
    <w:rsid w:val="00886B1B"/>
    <w:rsid w:val="0088701A"/>
    <w:rsid w:val="008873C8"/>
    <w:rsid w:val="00887C73"/>
    <w:rsid w:val="00890BBD"/>
    <w:rsid w:val="00890E65"/>
    <w:rsid w:val="008910BB"/>
    <w:rsid w:val="00891159"/>
    <w:rsid w:val="00891444"/>
    <w:rsid w:val="0089190B"/>
    <w:rsid w:val="00892EB0"/>
    <w:rsid w:val="008931EE"/>
    <w:rsid w:val="00893759"/>
    <w:rsid w:val="008941FD"/>
    <w:rsid w:val="00894482"/>
    <w:rsid w:val="00894A88"/>
    <w:rsid w:val="008950BD"/>
    <w:rsid w:val="00896033"/>
    <w:rsid w:val="008963EB"/>
    <w:rsid w:val="00896613"/>
    <w:rsid w:val="008967DC"/>
    <w:rsid w:val="00896868"/>
    <w:rsid w:val="00896CB5"/>
    <w:rsid w:val="00896E39"/>
    <w:rsid w:val="00896E96"/>
    <w:rsid w:val="008972DB"/>
    <w:rsid w:val="00897D74"/>
    <w:rsid w:val="00897DAA"/>
    <w:rsid w:val="008A06F9"/>
    <w:rsid w:val="008A0ADF"/>
    <w:rsid w:val="008A0FC1"/>
    <w:rsid w:val="008A184F"/>
    <w:rsid w:val="008A1BA2"/>
    <w:rsid w:val="008A1DE0"/>
    <w:rsid w:val="008A1FF6"/>
    <w:rsid w:val="008A2252"/>
    <w:rsid w:val="008A3466"/>
    <w:rsid w:val="008A347B"/>
    <w:rsid w:val="008A3F16"/>
    <w:rsid w:val="008A40C4"/>
    <w:rsid w:val="008A4668"/>
    <w:rsid w:val="008A4F09"/>
    <w:rsid w:val="008A5507"/>
    <w:rsid w:val="008A59DD"/>
    <w:rsid w:val="008A5BE5"/>
    <w:rsid w:val="008A5D65"/>
    <w:rsid w:val="008A61DF"/>
    <w:rsid w:val="008A69BB"/>
    <w:rsid w:val="008A6DFF"/>
    <w:rsid w:val="008A6F5B"/>
    <w:rsid w:val="008A7427"/>
    <w:rsid w:val="008A7CE1"/>
    <w:rsid w:val="008B1986"/>
    <w:rsid w:val="008B1A45"/>
    <w:rsid w:val="008B2426"/>
    <w:rsid w:val="008B25A8"/>
    <w:rsid w:val="008B30FE"/>
    <w:rsid w:val="008B4E82"/>
    <w:rsid w:val="008B68F1"/>
    <w:rsid w:val="008B7629"/>
    <w:rsid w:val="008B797A"/>
    <w:rsid w:val="008B7E64"/>
    <w:rsid w:val="008C075B"/>
    <w:rsid w:val="008C085A"/>
    <w:rsid w:val="008C0BC7"/>
    <w:rsid w:val="008C0E3B"/>
    <w:rsid w:val="008C0F3E"/>
    <w:rsid w:val="008C12D3"/>
    <w:rsid w:val="008C1E61"/>
    <w:rsid w:val="008C2827"/>
    <w:rsid w:val="008C291E"/>
    <w:rsid w:val="008C2CD3"/>
    <w:rsid w:val="008C3098"/>
    <w:rsid w:val="008C31B1"/>
    <w:rsid w:val="008C33E2"/>
    <w:rsid w:val="008C34C1"/>
    <w:rsid w:val="008C37BB"/>
    <w:rsid w:val="008C3A25"/>
    <w:rsid w:val="008C3B44"/>
    <w:rsid w:val="008C4DA6"/>
    <w:rsid w:val="008C51C3"/>
    <w:rsid w:val="008C53D5"/>
    <w:rsid w:val="008C5502"/>
    <w:rsid w:val="008C5B22"/>
    <w:rsid w:val="008C5CDC"/>
    <w:rsid w:val="008C74BE"/>
    <w:rsid w:val="008C76BB"/>
    <w:rsid w:val="008C77C3"/>
    <w:rsid w:val="008C7A5E"/>
    <w:rsid w:val="008D0290"/>
    <w:rsid w:val="008D0765"/>
    <w:rsid w:val="008D0849"/>
    <w:rsid w:val="008D15B5"/>
    <w:rsid w:val="008D19B0"/>
    <w:rsid w:val="008D1F63"/>
    <w:rsid w:val="008D34D2"/>
    <w:rsid w:val="008D37B8"/>
    <w:rsid w:val="008D39B7"/>
    <w:rsid w:val="008D4060"/>
    <w:rsid w:val="008D5799"/>
    <w:rsid w:val="008D616B"/>
    <w:rsid w:val="008D6298"/>
    <w:rsid w:val="008D668D"/>
    <w:rsid w:val="008D6BEA"/>
    <w:rsid w:val="008D71A2"/>
    <w:rsid w:val="008D7670"/>
    <w:rsid w:val="008D78B7"/>
    <w:rsid w:val="008D7B5F"/>
    <w:rsid w:val="008E18A2"/>
    <w:rsid w:val="008E1F41"/>
    <w:rsid w:val="008E1F9B"/>
    <w:rsid w:val="008E2243"/>
    <w:rsid w:val="008E236F"/>
    <w:rsid w:val="008E3205"/>
    <w:rsid w:val="008E32A5"/>
    <w:rsid w:val="008E3F40"/>
    <w:rsid w:val="008E4922"/>
    <w:rsid w:val="008E49C1"/>
    <w:rsid w:val="008E4F9D"/>
    <w:rsid w:val="008E5297"/>
    <w:rsid w:val="008E6789"/>
    <w:rsid w:val="008E68CF"/>
    <w:rsid w:val="008E6924"/>
    <w:rsid w:val="008E6ECE"/>
    <w:rsid w:val="008E7AB6"/>
    <w:rsid w:val="008E7B2C"/>
    <w:rsid w:val="008F047C"/>
    <w:rsid w:val="008F0700"/>
    <w:rsid w:val="008F0855"/>
    <w:rsid w:val="008F13AA"/>
    <w:rsid w:val="008F15DE"/>
    <w:rsid w:val="008F197F"/>
    <w:rsid w:val="008F19BE"/>
    <w:rsid w:val="008F1C0B"/>
    <w:rsid w:val="008F1FDE"/>
    <w:rsid w:val="008F2303"/>
    <w:rsid w:val="008F23F2"/>
    <w:rsid w:val="008F39C0"/>
    <w:rsid w:val="008F3B36"/>
    <w:rsid w:val="008F3BE0"/>
    <w:rsid w:val="008F4869"/>
    <w:rsid w:val="008F4BC0"/>
    <w:rsid w:val="008F50FC"/>
    <w:rsid w:val="008F5DCC"/>
    <w:rsid w:val="008F61E2"/>
    <w:rsid w:val="008F6345"/>
    <w:rsid w:val="008F7A1C"/>
    <w:rsid w:val="009009C1"/>
    <w:rsid w:val="00900E00"/>
    <w:rsid w:val="0090186C"/>
    <w:rsid w:val="0090195B"/>
    <w:rsid w:val="0090224A"/>
    <w:rsid w:val="00902722"/>
    <w:rsid w:val="009032B3"/>
    <w:rsid w:val="00903798"/>
    <w:rsid w:val="009037BE"/>
    <w:rsid w:val="00904233"/>
    <w:rsid w:val="009046C3"/>
    <w:rsid w:val="00904B20"/>
    <w:rsid w:val="00904E20"/>
    <w:rsid w:val="00904EE6"/>
    <w:rsid w:val="009060A0"/>
    <w:rsid w:val="00906460"/>
    <w:rsid w:val="009065E7"/>
    <w:rsid w:val="009067DC"/>
    <w:rsid w:val="00906C63"/>
    <w:rsid w:val="00906EC4"/>
    <w:rsid w:val="009074C8"/>
    <w:rsid w:val="00907D68"/>
    <w:rsid w:val="00910498"/>
    <w:rsid w:val="009107C2"/>
    <w:rsid w:val="00910BE7"/>
    <w:rsid w:val="009114FA"/>
    <w:rsid w:val="0091229D"/>
    <w:rsid w:val="00912677"/>
    <w:rsid w:val="00912BC5"/>
    <w:rsid w:val="00912F79"/>
    <w:rsid w:val="00913084"/>
    <w:rsid w:val="0091420F"/>
    <w:rsid w:val="00914478"/>
    <w:rsid w:val="00914A02"/>
    <w:rsid w:val="00914F85"/>
    <w:rsid w:val="009150CD"/>
    <w:rsid w:val="00915235"/>
    <w:rsid w:val="0091560E"/>
    <w:rsid w:val="00915E2C"/>
    <w:rsid w:val="00915FAE"/>
    <w:rsid w:val="00916792"/>
    <w:rsid w:val="00916CDC"/>
    <w:rsid w:val="0091764C"/>
    <w:rsid w:val="009179D8"/>
    <w:rsid w:val="009206BA"/>
    <w:rsid w:val="00920862"/>
    <w:rsid w:val="00920D58"/>
    <w:rsid w:val="00921250"/>
    <w:rsid w:val="00921626"/>
    <w:rsid w:val="00921F84"/>
    <w:rsid w:val="00922363"/>
    <w:rsid w:val="009226F9"/>
    <w:rsid w:val="0092296D"/>
    <w:rsid w:val="00922C3D"/>
    <w:rsid w:val="0092398B"/>
    <w:rsid w:val="00923C76"/>
    <w:rsid w:val="00923D70"/>
    <w:rsid w:val="0092403A"/>
    <w:rsid w:val="00924B82"/>
    <w:rsid w:val="00925E7A"/>
    <w:rsid w:val="009266F3"/>
    <w:rsid w:val="00926E9E"/>
    <w:rsid w:val="00927726"/>
    <w:rsid w:val="009277F7"/>
    <w:rsid w:val="00927F64"/>
    <w:rsid w:val="009307D2"/>
    <w:rsid w:val="00930AC9"/>
    <w:rsid w:val="00930DA7"/>
    <w:rsid w:val="00931CA4"/>
    <w:rsid w:val="00931D3F"/>
    <w:rsid w:val="00931F56"/>
    <w:rsid w:val="00932EB6"/>
    <w:rsid w:val="00932F72"/>
    <w:rsid w:val="0093314F"/>
    <w:rsid w:val="009332E1"/>
    <w:rsid w:val="009337D6"/>
    <w:rsid w:val="00934489"/>
    <w:rsid w:val="0093611E"/>
    <w:rsid w:val="009366BF"/>
    <w:rsid w:val="00937A1A"/>
    <w:rsid w:val="00937A77"/>
    <w:rsid w:val="009405AF"/>
    <w:rsid w:val="00940CA7"/>
    <w:rsid w:val="00940DD7"/>
    <w:rsid w:val="00941196"/>
    <w:rsid w:val="0094129C"/>
    <w:rsid w:val="0094161D"/>
    <w:rsid w:val="00941C48"/>
    <w:rsid w:val="00942426"/>
    <w:rsid w:val="009427E5"/>
    <w:rsid w:val="00942A20"/>
    <w:rsid w:val="00943707"/>
    <w:rsid w:val="00943ED7"/>
    <w:rsid w:val="009447CF"/>
    <w:rsid w:val="00944CA8"/>
    <w:rsid w:val="00944DE9"/>
    <w:rsid w:val="0094537C"/>
    <w:rsid w:val="009456D4"/>
    <w:rsid w:val="00945D26"/>
    <w:rsid w:val="00946E6C"/>
    <w:rsid w:val="00947212"/>
    <w:rsid w:val="00947AEE"/>
    <w:rsid w:val="00950551"/>
    <w:rsid w:val="009511AA"/>
    <w:rsid w:val="00951884"/>
    <w:rsid w:val="00953137"/>
    <w:rsid w:val="009541C6"/>
    <w:rsid w:val="009544BE"/>
    <w:rsid w:val="009551C9"/>
    <w:rsid w:val="009551F6"/>
    <w:rsid w:val="00955771"/>
    <w:rsid w:val="009559D4"/>
    <w:rsid w:val="00955F48"/>
    <w:rsid w:val="009566E5"/>
    <w:rsid w:val="00956FB7"/>
    <w:rsid w:val="009571D6"/>
    <w:rsid w:val="009573D0"/>
    <w:rsid w:val="00957E9B"/>
    <w:rsid w:val="0096066E"/>
    <w:rsid w:val="009608E6"/>
    <w:rsid w:val="00960FA3"/>
    <w:rsid w:val="009610E8"/>
    <w:rsid w:val="0096167B"/>
    <w:rsid w:val="00961E59"/>
    <w:rsid w:val="00961FCA"/>
    <w:rsid w:val="009620A6"/>
    <w:rsid w:val="009625AA"/>
    <w:rsid w:val="009627E1"/>
    <w:rsid w:val="009628D1"/>
    <w:rsid w:val="00963BD2"/>
    <w:rsid w:val="009647F1"/>
    <w:rsid w:val="00964946"/>
    <w:rsid w:val="00964C08"/>
    <w:rsid w:val="00964CB2"/>
    <w:rsid w:val="00965ED6"/>
    <w:rsid w:val="00966645"/>
    <w:rsid w:val="009671FF"/>
    <w:rsid w:val="00967B96"/>
    <w:rsid w:val="00970339"/>
    <w:rsid w:val="00970518"/>
    <w:rsid w:val="009705F6"/>
    <w:rsid w:val="00970A2A"/>
    <w:rsid w:val="009718A7"/>
    <w:rsid w:val="009719F1"/>
    <w:rsid w:val="00971A53"/>
    <w:rsid w:val="009722D7"/>
    <w:rsid w:val="009723DD"/>
    <w:rsid w:val="009725E8"/>
    <w:rsid w:val="00972812"/>
    <w:rsid w:val="0097306A"/>
    <w:rsid w:val="00973B34"/>
    <w:rsid w:val="00973C85"/>
    <w:rsid w:val="009759B5"/>
    <w:rsid w:val="00975C8B"/>
    <w:rsid w:val="0097749A"/>
    <w:rsid w:val="009776B7"/>
    <w:rsid w:val="00977E8B"/>
    <w:rsid w:val="009804B7"/>
    <w:rsid w:val="0098083C"/>
    <w:rsid w:val="00980D55"/>
    <w:rsid w:val="00981829"/>
    <w:rsid w:val="009819DA"/>
    <w:rsid w:val="00981E97"/>
    <w:rsid w:val="00982743"/>
    <w:rsid w:val="00982EC7"/>
    <w:rsid w:val="00983314"/>
    <w:rsid w:val="00983A02"/>
    <w:rsid w:val="00983CBD"/>
    <w:rsid w:val="0098593B"/>
    <w:rsid w:val="0099050F"/>
    <w:rsid w:val="00990577"/>
    <w:rsid w:val="0099079F"/>
    <w:rsid w:val="0099103F"/>
    <w:rsid w:val="00991726"/>
    <w:rsid w:val="00991A81"/>
    <w:rsid w:val="00991E57"/>
    <w:rsid w:val="00992586"/>
    <w:rsid w:val="00992596"/>
    <w:rsid w:val="0099271B"/>
    <w:rsid w:val="009928DB"/>
    <w:rsid w:val="00992DA4"/>
    <w:rsid w:val="00992E8D"/>
    <w:rsid w:val="00992FD2"/>
    <w:rsid w:val="009937D7"/>
    <w:rsid w:val="00993955"/>
    <w:rsid w:val="00993DDA"/>
    <w:rsid w:val="00993F96"/>
    <w:rsid w:val="00994D44"/>
    <w:rsid w:val="009952F2"/>
    <w:rsid w:val="00995B50"/>
    <w:rsid w:val="00995C73"/>
    <w:rsid w:val="00995DFD"/>
    <w:rsid w:val="00996231"/>
    <w:rsid w:val="009962A7"/>
    <w:rsid w:val="00996C83"/>
    <w:rsid w:val="0099792D"/>
    <w:rsid w:val="009A008F"/>
    <w:rsid w:val="009A01C4"/>
    <w:rsid w:val="009A094D"/>
    <w:rsid w:val="009A1918"/>
    <w:rsid w:val="009A191E"/>
    <w:rsid w:val="009A200C"/>
    <w:rsid w:val="009A23AA"/>
    <w:rsid w:val="009A2CCA"/>
    <w:rsid w:val="009A2E19"/>
    <w:rsid w:val="009A2E47"/>
    <w:rsid w:val="009A2ED6"/>
    <w:rsid w:val="009A368D"/>
    <w:rsid w:val="009A36CB"/>
    <w:rsid w:val="009A3762"/>
    <w:rsid w:val="009A4265"/>
    <w:rsid w:val="009A4338"/>
    <w:rsid w:val="009A4EC6"/>
    <w:rsid w:val="009A4FDE"/>
    <w:rsid w:val="009A50E8"/>
    <w:rsid w:val="009A5218"/>
    <w:rsid w:val="009A538E"/>
    <w:rsid w:val="009A59FB"/>
    <w:rsid w:val="009A623F"/>
    <w:rsid w:val="009A640A"/>
    <w:rsid w:val="009A6492"/>
    <w:rsid w:val="009A64EB"/>
    <w:rsid w:val="009A65B9"/>
    <w:rsid w:val="009A79E6"/>
    <w:rsid w:val="009A7C7C"/>
    <w:rsid w:val="009B0A5A"/>
    <w:rsid w:val="009B1B04"/>
    <w:rsid w:val="009B2732"/>
    <w:rsid w:val="009B2C20"/>
    <w:rsid w:val="009B3306"/>
    <w:rsid w:val="009B5165"/>
    <w:rsid w:val="009B5629"/>
    <w:rsid w:val="009B6333"/>
    <w:rsid w:val="009B696D"/>
    <w:rsid w:val="009B737A"/>
    <w:rsid w:val="009B748E"/>
    <w:rsid w:val="009B755A"/>
    <w:rsid w:val="009B78F5"/>
    <w:rsid w:val="009C07D5"/>
    <w:rsid w:val="009C0FC5"/>
    <w:rsid w:val="009C14A0"/>
    <w:rsid w:val="009C16F2"/>
    <w:rsid w:val="009C2138"/>
    <w:rsid w:val="009C277E"/>
    <w:rsid w:val="009C36AB"/>
    <w:rsid w:val="009C3B19"/>
    <w:rsid w:val="009C4015"/>
    <w:rsid w:val="009C4106"/>
    <w:rsid w:val="009C4AD0"/>
    <w:rsid w:val="009C51B3"/>
    <w:rsid w:val="009C7398"/>
    <w:rsid w:val="009C782A"/>
    <w:rsid w:val="009C7D5B"/>
    <w:rsid w:val="009D079B"/>
    <w:rsid w:val="009D0DFF"/>
    <w:rsid w:val="009D1C5F"/>
    <w:rsid w:val="009D2199"/>
    <w:rsid w:val="009D2C72"/>
    <w:rsid w:val="009D3234"/>
    <w:rsid w:val="009D3E41"/>
    <w:rsid w:val="009D487B"/>
    <w:rsid w:val="009D4A5E"/>
    <w:rsid w:val="009D4DD5"/>
    <w:rsid w:val="009D508E"/>
    <w:rsid w:val="009D52E1"/>
    <w:rsid w:val="009D57C7"/>
    <w:rsid w:val="009D582A"/>
    <w:rsid w:val="009D5A89"/>
    <w:rsid w:val="009D5E85"/>
    <w:rsid w:val="009D5E89"/>
    <w:rsid w:val="009D643B"/>
    <w:rsid w:val="009D644C"/>
    <w:rsid w:val="009D6AB4"/>
    <w:rsid w:val="009D6AF2"/>
    <w:rsid w:val="009D7498"/>
    <w:rsid w:val="009D7C8D"/>
    <w:rsid w:val="009D7F0E"/>
    <w:rsid w:val="009E037D"/>
    <w:rsid w:val="009E07A1"/>
    <w:rsid w:val="009E08D1"/>
    <w:rsid w:val="009E0E03"/>
    <w:rsid w:val="009E13BD"/>
    <w:rsid w:val="009E1538"/>
    <w:rsid w:val="009E1851"/>
    <w:rsid w:val="009E1C82"/>
    <w:rsid w:val="009E1F5C"/>
    <w:rsid w:val="009E3920"/>
    <w:rsid w:val="009E3BA9"/>
    <w:rsid w:val="009E3C13"/>
    <w:rsid w:val="009E3D3C"/>
    <w:rsid w:val="009E4544"/>
    <w:rsid w:val="009E479C"/>
    <w:rsid w:val="009E5621"/>
    <w:rsid w:val="009E6279"/>
    <w:rsid w:val="009F01F6"/>
    <w:rsid w:val="009F0548"/>
    <w:rsid w:val="009F0D78"/>
    <w:rsid w:val="009F2127"/>
    <w:rsid w:val="009F2409"/>
    <w:rsid w:val="009F24D3"/>
    <w:rsid w:val="009F2EB8"/>
    <w:rsid w:val="009F34ED"/>
    <w:rsid w:val="009F3BF0"/>
    <w:rsid w:val="009F3D05"/>
    <w:rsid w:val="009F4FEA"/>
    <w:rsid w:val="009F5185"/>
    <w:rsid w:val="009F54B7"/>
    <w:rsid w:val="009F6047"/>
    <w:rsid w:val="009F6FEF"/>
    <w:rsid w:val="009F7637"/>
    <w:rsid w:val="009F767E"/>
    <w:rsid w:val="00A0026E"/>
    <w:rsid w:val="00A00352"/>
    <w:rsid w:val="00A02783"/>
    <w:rsid w:val="00A02CE4"/>
    <w:rsid w:val="00A02D23"/>
    <w:rsid w:val="00A02F67"/>
    <w:rsid w:val="00A02FD5"/>
    <w:rsid w:val="00A038B3"/>
    <w:rsid w:val="00A04105"/>
    <w:rsid w:val="00A04210"/>
    <w:rsid w:val="00A04B06"/>
    <w:rsid w:val="00A04BE6"/>
    <w:rsid w:val="00A04F3A"/>
    <w:rsid w:val="00A06A7F"/>
    <w:rsid w:val="00A06E34"/>
    <w:rsid w:val="00A07112"/>
    <w:rsid w:val="00A077A9"/>
    <w:rsid w:val="00A104F8"/>
    <w:rsid w:val="00A10649"/>
    <w:rsid w:val="00A115E7"/>
    <w:rsid w:val="00A1162C"/>
    <w:rsid w:val="00A12694"/>
    <w:rsid w:val="00A12C70"/>
    <w:rsid w:val="00A12ED7"/>
    <w:rsid w:val="00A134C7"/>
    <w:rsid w:val="00A135F0"/>
    <w:rsid w:val="00A138C3"/>
    <w:rsid w:val="00A13FCF"/>
    <w:rsid w:val="00A14669"/>
    <w:rsid w:val="00A14C98"/>
    <w:rsid w:val="00A1534D"/>
    <w:rsid w:val="00A17693"/>
    <w:rsid w:val="00A17772"/>
    <w:rsid w:val="00A2186F"/>
    <w:rsid w:val="00A21990"/>
    <w:rsid w:val="00A21A94"/>
    <w:rsid w:val="00A224DC"/>
    <w:rsid w:val="00A22950"/>
    <w:rsid w:val="00A23167"/>
    <w:rsid w:val="00A231CC"/>
    <w:rsid w:val="00A2357F"/>
    <w:rsid w:val="00A255EC"/>
    <w:rsid w:val="00A25C70"/>
    <w:rsid w:val="00A26028"/>
    <w:rsid w:val="00A26097"/>
    <w:rsid w:val="00A2728C"/>
    <w:rsid w:val="00A277CF"/>
    <w:rsid w:val="00A30CDB"/>
    <w:rsid w:val="00A30E85"/>
    <w:rsid w:val="00A32112"/>
    <w:rsid w:val="00A32422"/>
    <w:rsid w:val="00A3273F"/>
    <w:rsid w:val="00A32B8E"/>
    <w:rsid w:val="00A339AB"/>
    <w:rsid w:val="00A33EBB"/>
    <w:rsid w:val="00A34025"/>
    <w:rsid w:val="00A34032"/>
    <w:rsid w:val="00A34AD5"/>
    <w:rsid w:val="00A34F6C"/>
    <w:rsid w:val="00A35211"/>
    <w:rsid w:val="00A3542C"/>
    <w:rsid w:val="00A36A6D"/>
    <w:rsid w:val="00A36F9F"/>
    <w:rsid w:val="00A37979"/>
    <w:rsid w:val="00A407DF"/>
    <w:rsid w:val="00A4121C"/>
    <w:rsid w:val="00A41259"/>
    <w:rsid w:val="00A41A55"/>
    <w:rsid w:val="00A422B1"/>
    <w:rsid w:val="00A424BD"/>
    <w:rsid w:val="00A42822"/>
    <w:rsid w:val="00A429EA"/>
    <w:rsid w:val="00A42CEC"/>
    <w:rsid w:val="00A43ECC"/>
    <w:rsid w:val="00A4417C"/>
    <w:rsid w:val="00A44A87"/>
    <w:rsid w:val="00A45530"/>
    <w:rsid w:val="00A455A7"/>
    <w:rsid w:val="00A4592C"/>
    <w:rsid w:val="00A46B03"/>
    <w:rsid w:val="00A470D3"/>
    <w:rsid w:val="00A47579"/>
    <w:rsid w:val="00A47781"/>
    <w:rsid w:val="00A477CB"/>
    <w:rsid w:val="00A477CC"/>
    <w:rsid w:val="00A47E13"/>
    <w:rsid w:val="00A500CA"/>
    <w:rsid w:val="00A503BD"/>
    <w:rsid w:val="00A50658"/>
    <w:rsid w:val="00A51002"/>
    <w:rsid w:val="00A51669"/>
    <w:rsid w:val="00A516CE"/>
    <w:rsid w:val="00A5173F"/>
    <w:rsid w:val="00A51A9A"/>
    <w:rsid w:val="00A53C02"/>
    <w:rsid w:val="00A53D99"/>
    <w:rsid w:val="00A54148"/>
    <w:rsid w:val="00A5516B"/>
    <w:rsid w:val="00A5545D"/>
    <w:rsid w:val="00A570E4"/>
    <w:rsid w:val="00A57342"/>
    <w:rsid w:val="00A573B8"/>
    <w:rsid w:val="00A576A6"/>
    <w:rsid w:val="00A601E0"/>
    <w:rsid w:val="00A60DE4"/>
    <w:rsid w:val="00A610C5"/>
    <w:rsid w:val="00A615A1"/>
    <w:rsid w:val="00A6274B"/>
    <w:rsid w:val="00A62C74"/>
    <w:rsid w:val="00A62CAF"/>
    <w:rsid w:val="00A62CEB"/>
    <w:rsid w:val="00A638D7"/>
    <w:rsid w:val="00A6390B"/>
    <w:rsid w:val="00A63D0D"/>
    <w:rsid w:val="00A6498F"/>
    <w:rsid w:val="00A65C52"/>
    <w:rsid w:val="00A65DB0"/>
    <w:rsid w:val="00A65E6B"/>
    <w:rsid w:val="00A65E87"/>
    <w:rsid w:val="00A66244"/>
    <w:rsid w:val="00A6710F"/>
    <w:rsid w:val="00A678B2"/>
    <w:rsid w:val="00A701C5"/>
    <w:rsid w:val="00A71C01"/>
    <w:rsid w:val="00A71E8A"/>
    <w:rsid w:val="00A71EEA"/>
    <w:rsid w:val="00A72B21"/>
    <w:rsid w:val="00A72CF8"/>
    <w:rsid w:val="00A73A7B"/>
    <w:rsid w:val="00A7425A"/>
    <w:rsid w:val="00A747CA"/>
    <w:rsid w:val="00A7515D"/>
    <w:rsid w:val="00A752A7"/>
    <w:rsid w:val="00A75536"/>
    <w:rsid w:val="00A75723"/>
    <w:rsid w:val="00A75FBB"/>
    <w:rsid w:val="00A765BC"/>
    <w:rsid w:val="00A76FF4"/>
    <w:rsid w:val="00A77015"/>
    <w:rsid w:val="00A778D7"/>
    <w:rsid w:val="00A77A7A"/>
    <w:rsid w:val="00A80A7C"/>
    <w:rsid w:val="00A80F92"/>
    <w:rsid w:val="00A81075"/>
    <w:rsid w:val="00A8142B"/>
    <w:rsid w:val="00A81C9D"/>
    <w:rsid w:val="00A81F57"/>
    <w:rsid w:val="00A82308"/>
    <w:rsid w:val="00A83E63"/>
    <w:rsid w:val="00A84084"/>
    <w:rsid w:val="00A8422D"/>
    <w:rsid w:val="00A84344"/>
    <w:rsid w:val="00A854BF"/>
    <w:rsid w:val="00A85694"/>
    <w:rsid w:val="00A85AE8"/>
    <w:rsid w:val="00A85FAE"/>
    <w:rsid w:val="00A86C57"/>
    <w:rsid w:val="00A86CC5"/>
    <w:rsid w:val="00A87FE3"/>
    <w:rsid w:val="00A9001B"/>
    <w:rsid w:val="00A9045D"/>
    <w:rsid w:val="00A9080A"/>
    <w:rsid w:val="00A909F2"/>
    <w:rsid w:val="00A90E7A"/>
    <w:rsid w:val="00A91233"/>
    <w:rsid w:val="00A91CBB"/>
    <w:rsid w:val="00A9290F"/>
    <w:rsid w:val="00A93471"/>
    <w:rsid w:val="00A944FA"/>
    <w:rsid w:val="00A94694"/>
    <w:rsid w:val="00A95A7B"/>
    <w:rsid w:val="00A95E4B"/>
    <w:rsid w:val="00A95E7F"/>
    <w:rsid w:val="00A96486"/>
    <w:rsid w:val="00A96767"/>
    <w:rsid w:val="00A9681E"/>
    <w:rsid w:val="00A97864"/>
    <w:rsid w:val="00AA0FBC"/>
    <w:rsid w:val="00AA0FDF"/>
    <w:rsid w:val="00AA2411"/>
    <w:rsid w:val="00AA2653"/>
    <w:rsid w:val="00AA2D5A"/>
    <w:rsid w:val="00AA2F1B"/>
    <w:rsid w:val="00AA3300"/>
    <w:rsid w:val="00AA36D5"/>
    <w:rsid w:val="00AA47CF"/>
    <w:rsid w:val="00AA4B70"/>
    <w:rsid w:val="00AA4F3B"/>
    <w:rsid w:val="00AA62ED"/>
    <w:rsid w:val="00AA63D2"/>
    <w:rsid w:val="00AA6F19"/>
    <w:rsid w:val="00AA72D6"/>
    <w:rsid w:val="00AA7490"/>
    <w:rsid w:val="00AB0413"/>
    <w:rsid w:val="00AB06D9"/>
    <w:rsid w:val="00AB09DB"/>
    <w:rsid w:val="00AB0B38"/>
    <w:rsid w:val="00AB0D9F"/>
    <w:rsid w:val="00AB16D4"/>
    <w:rsid w:val="00AB19B2"/>
    <w:rsid w:val="00AB29F9"/>
    <w:rsid w:val="00AB2FF9"/>
    <w:rsid w:val="00AB3014"/>
    <w:rsid w:val="00AB3EE3"/>
    <w:rsid w:val="00AB5648"/>
    <w:rsid w:val="00AB58EE"/>
    <w:rsid w:val="00AB6855"/>
    <w:rsid w:val="00AB7B9F"/>
    <w:rsid w:val="00AB7EBB"/>
    <w:rsid w:val="00AC1135"/>
    <w:rsid w:val="00AC18FA"/>
    <w:rsid w:val="00AC2440"/>
    <w:rsid w:val="00AC26ED"/>
    <w:rsid w:val="00AC2759"/>
    <w:rsid w:val="00AC2A64"/>
    <w:rsid w:val="00AC2FB2"/>
    <w:rsid w:val="00AC314D"/>
    <w:rsid w:val="00AC39A3"/>
    <w:rsid w:val="00AC3DB2"/>
    <w:rsid w:val="00AC3E1E"/>
    <w:rsid w:val="00AC52A3"/>
    <w:rsid w:val="00AC5A17"/>
    <w:rsid w:val="00AC6FD6"/>
    <w:rsid w:val="00AC769D"/>
    <w:rsid w:val="00AC791F"/>
    <w:rsid w:val="00AC7A69"/>
    <w:rsid w:val="00AC7BFD"/>
    <w:rsid w:val="00AC7F04"/>
    <w:rsid w:val="00AC7F24"/>
    <w:rsid w:val="00AD027D"/>
    <w:rsid w:val="00AD03B9"/>
    <w:rsid w:val="00AD04D8"/>
    <w:rsid w:val="00AD0512"/>
    <w:rsid w:val="00AD0D8D"/>
    <w:rsid w:val="00AD0EAF"/>
    <w:rsid w:val="00AD0F3B"/>
    <w:rsid w:val="00AD13CB"/>
    <w:rsid w:val="00AD16F9"/>
    <w:rsid w:val="00AD1D2C"/>
    <w:rsid w:val="00AD25F0"/>
    <w:rsid w:val="00AD2C60"/>
    <w:rsid w:val="00AD2CA8"/>
    <w:rsid w:val="00AD3090"/>
    <w:rsid w:val="00AD44C9"/>
    <w:rsid w:val="00AD5178"/>
    <w:rsid w:val="00AD5329"/>
    <w:rsid w:val="00AD5359"/>
    <w:rsid w:val="00AD5770"/>
    <w:rsid w:val="00AD5912"/>
    <w:rsid w:val="00AD6B2F"/>
    <w:rsid w:val="00AD6D99"/>
    <w:rsid w:val="00AD6F66"/>
    <w:rsid w:val="00AD721D"/>
    <w:rsid w:val="00AD78BB"/>
    <w:rsid w:val="00AD7A15"/>
    <w:rsid w:val="00AE0ABF"/>
    <w:rsid w:val="00AE0C69"/>
    <w:rsid w:val="00AE0CE8"/>
    <w:rsid w:val="00AE13A6"/>
    <w:rsid w:val="00AE1594"/>
    <w:rsid w:val="00AE27C7"/>
    <w:rsid w:val="00AE28AA"/>
    <w:rsid w:val="00AE2BB4"/>
    <w:rsid w:val="00AE49AD"/>
    <w:rsid w:val="00AE5403"/>
    <w:rsid w:val="00AE5638"/>
    <w:rsid w:val="00AE5EF4"/>
    <w:rsid w:val="00AE6400"/>
    <w:rsid w:val="00AF06FD"/>
    <w:rsid w:val="00AF0DA0"/>
    <w:rsid w:val="00AF120E"/>
    <w:rsid w:val="00AF1517"/>
    <w:rsid w:val="00AF157A"/>
    <w:rsid w:val="00AF16DA"/>
    <w:rsid w:val="00AF16EE"/>
    <w:rsid w:val="00AF1DB1"/>
    <w:rsid w:val="00AF23B5"/>
    <w:rsid w:val="00AF2468"/>
    <w:rsid w:val="00AF30E1"/>
    <w:rsid w:val="00AF41DA"/>
    <w:rsid w:val="00AF4B40"/>
    <w:rsid w:val="00AF50D5"/>
    <w:rsid w:val="00AF5DD8"/>
    <w:rsid w:val="00AF625A"/>
    <w:rsid w:val="00AF6262"/>
    <w:rsid w:val="00AF6D0C"/>
    <w:rsid w:val="00AF7BD3"/>
    <w:rsid w:val="00AF7CCE"/>
    <w:rsid w:val="00B00071"/>
    <w:rsid w:val="00B00956"/>
    <w:rsid w:val="00B00E80"/>
    <w:rsid w:val="00B015D1"/>
    <w:rsid w:val="00B01607"/>
    <w:rsid w:val="00B016E7"/>
    <w:rsid w:val="00B019F1"/>
    <w:rsid w:val="00B019F6"/>
    <w:rsid w:val="00B01B2C"/>
    <w:rsid w:val="00B0378E"/>
    <w:rsid w:val="00B03C44"/>
    <w:rsid w:val="00B03F8F"/>
    <w:rsid w:val="00B04E6C"/>
    <w:rsid w:val="00B05B4F"/>
    <w:rsid w:val="00B05F21"/>
    <w:rsid w:val="00B061AB"/>
    <w:rsid w:val="00B06587"/>
    <w:rsid w:val="00B0677E"/>
    <w:rsid w:val="00B067F5"/>
    <w:rsid w:val="00B06A20"/>
    <w:rsid w:val="00B06D0B"/>
    <w:rsid w:val="00B07011"/>
    <w:rsid w:val="00B070E4"/>
    <w:rsid w:val="00B07556"/>
    <w:rsid w:val="00B076BD"/>
    <w:rsid w:val="00B111B6"/>
    <w:rsid w:val="00B11708"/>
    <w:rsid w:val="00B11DB6"/>
    <w:rsid w:val="00B1207F"/>
    <w:rsid w:val="00B122FA"/>
    <w:rsid w:val="00B1247D"/>
    <w:rsid w:val="00B12B5A"/>
    <w:rsid w:val="00B1301E"/>
    <w:rsid w:val="00B131B3"/>
    <w:rsid w:val="00B13283"/>
    <w:rsid w:val="00B133A7"/>
    <w:rsid w:val="00B136A8"/>
    <w:rsid w:val="00B13788"/>
    <w:rsid w:val="00B13811"/>
    <w:rsid w:val="00B1399D"/>
    <w:rsid w:val="00B13E9C"/>
    <w:rsid w:val="00B14361"/>
    <w:rsid w:val="00B16ABE"/>
    <w:rsid w:val="00B17D66"/>
    <w:rsid w:val="00B204BB"/>
    <w:rsid w:val="00B20536"/>
    <w:rsid w:val="00B2094B"/>
    <w:rsid w:val="00B2124D"/>
    <w:rsid w:val="00B21F72"/>
    <w:rsid w:val="00B226B8"/>
    <w:rsid w:val="00B22CAF"/>
    <w:rsid w:val="00B22EBE"/>
    <w:rsid w:val="00B23957"/>
    <w:rsid w:val="00B24440"/>
    <w:rsid w:val="00B2548C"/>
    <w:rsid w:val="00B2578A"/>
    <w:rsid w:val="00B25858"/>
    <w:rsid w:val="00B25FEF"/>
    <w:rsid w:val="00B268C1"/>
    <w:rsid w:val="00B269E4"/>
    <w:rsid w:val="00B26BB0"/>
    <w:rsid w:val="00B26C56"/>
    <w:rsid w:val="00B26C6B"/>
    <w:rsid w:val="00B26D04"/>
    <w:rsid w:val="00B2713F"/>
    <w:rsid w:val="00B2748D"/>
    <w:rsid w:val="00B279FA"/>
    <w:rsid w:val="00B311E0"/>
    <w:rsid w:val="00B3132D"/>
    <w:rsid w:val="00B3152E"/>
    <w:rsid w:val="00B31B63"/>
    <w:rsid w:val="00B321C1"/>
    <w:rsid w:val="00B32586"/>
    <w:rsid w:val="00B32E18"/>
    <w:rsid w:val="00B32EA4"/>
    <w:rsid w:val="00B3409B"/>
    <w:rsid w:val="00B34407"/>
    <w:rsid w:val="00B34411"/>
    <w:rsid w:val="00B34A76"/>
    <w:rsid w:val="00B35A2A"/>
    <w:rsid w:val="00B35E3E"/>
    <w:rsid w:val="00B36700"/>
    <w:rsid w:val="00B379CB"/>
    <w:rsid w:val="00B37F31"/>
    <w:rsid w:val="00B4083A"/>
    <w:rsid w:val="00B408EA"/>
    <w:rsid w:val="00B408FC"/>
    <w:rsid w:val="00B42291"/>
    <w:rsid w:val="00B42449"/>
    <w:rsid w:val="00B42B9B"/>
    <w:rsid w:val="00B42D20"/>
    <w:rsid w:val="00B434D1"/>
    <w:rsid w:val="00B435DF"/>
    <w:rsid w:val="00B439CA"/>
    <w:rsid w:val="00B44223"/>
    <w:rsid w:val="00B447A1"/>
    <w:rsid w:val="00B44AFD"/>
    <w:rsid w:val="00B45A20"/>
    <w:rsid w:val="00B45E8D"/>
    <w:rsid w:val="00B461F3"/>
    <w:rsid w:val="00B4671F"/>
    <w:rsid w:val="00B46C8B"/>
    <w:rsid w:val="00B476D3"/>
    <w:rsid w:val="00B4795C"/>
    <w:rsid w:val="00B509CB"/>
    <w:rsid w:val="00B51847"/>
    <w:rsid w:val="00B51A9D"/>
    <w:rsid w:val="00B51C9A"/>
    <w:rsid w:val="00B51E45"/>
    <w:rsid w:val="00B5225E"/>
    <w:rsid w:val="00B52661"/>
    <w:rsid w:val="00B535D9"/>
    <w:rsid w:val="00B53913"/>
    <w:rsid w:val="00B541BF"/>
    <w:rsid w:val="00B544DD"/>
    <w:rsid w:val="00B55928"/>
    <w:rsid w:val="00B568A9"/>
    <w:rsid w:val="00B608B4"/>
    <w:rsid w:val="00B61ECD"/>
    <w:rsid w:val="00B61FA3"/>
    <w:rsid w:val="00B62000"/>
    <w:rsid w:val="00B62695"/>
    <w:rsid w:val="00B6286D"/>
    <w:rsid w:val="00B6325F"/>
    <w:rsid w:val="00B636CC"/>
    <w:rsid w:val="00B63C18"/>
    <w:rsid w:val="00B645D3"/>
    <w:rsid w:val="00B64B29"/>
    <w:rsid w:val="00B64C6D"/>
    <w:rsid w:val="00B6571D"/>
    <w:rsid w:val="00B65B60"/>
    <w:rsid w:val="00B65F9D"/>
    <w:rsid w:val="00B66447"/>
    <w:rsid w:val="00B66DE0"/>
    <w:rsid w:val="00B6756C"/>
    <w:rsid w:val="00B678B1"/>
    <w:rsid w:val="00B67C31"/>
    <w:rsid w:val="00B70A0A"/>
    <w:rsid w:val="00B70A14"/>
    <w:rsid w:val="00B71308"/>
    <w:rsid w:val="00B71892"/>
    <w:rsid w:val="00B73B25"/>
    <w:rsid w:val="00B747F0"/>
    <w:rsid w:val="00B747F4"/>
    <w:rsid w:val="00B74FD2"/>
    <w:rsid w:val="00B750F3"/>
    <w:rsid w:val="00B75A2B"/>
    <w:rsid w:val="00B75BA4"/>
    <w:rsid w:val="00B75D0D"/>
    <w:rsid w:val="00B76085"/>
    <w:rsid w:val="00B7624D"/>
    <w:rsid w:val="00B76700"/>
    <w:rsid w:val="00B7675B"/>
    <w:rsid w:val="00B768E6"/>
    <w:rsid w:val="00B775EC"/>
    <w:rsid w:val="00B77A22"/>
    <w:rsid w:val="00B77B44"/>
    <w:rsid w:val="00B80014"/>
    <w:rsid w:val="00B80138"/>
    <w:rsid w:val="00B801E6"/>
    <w:rsid w:val="00B80705"/>
    <w:rsid w:val="00B80D5E"/>
    <w:rsid w:val="00B82380"/>
    <w:rsid w:val="00B82399"/>
    <w:rsid w:val="00B8312B"/>
    <w:rsid w:val="00B84195"/>
    <w:rsid w:val="00B84206"/>
    <w:rsid w:val="00B84584"/>
    <w:rsid w:val="00B84E7E"/>
    <w:rsid w:val="00B8519F"/>
    <w:rsid w:val="00B858AF"/>
    <w:rsid w:val="00B8631F"/>
    <w:rsid w:val="00B8646D"/>
    <w:rsid w:val="00B8686A"/>
    <w:rsid w:val="00B86CAA"/>
    <w:rsid w:val="00B90554"/>
    <w:rsid w:val="00B908B1"/>
    <w:rsid w:val="00B91C3A"/>
    <w:rsid w:val="00B91D78"/>
    <w:rsid w:val="00B923B5"/>
    <w:rsid w:val="00B92CDC"/>
    <w:rsid w:val="00B933FE"/>
    <w:rsid w:val="00B93ADB"/>
    <w:rsid w:val="00B93DB3"/>
    <w:rsid w:val="00B95EA9"/>
    <w:rsid w:val="00B95F95"/>
    <w:rsid w:val="00B962D0"/>
    <w:rsid w:val="00B969FB"/>
    <w:rsid w:val="00B96D54"/>
    <w:rsid w:val="00B9741C"/>
    <w:rsid w:val="00B97597"/>
    <w:rsid w:val="00B977CE"/>
    <w:rsid w:val="00B979F9"/>
    <w:rsid w:val="00BA0657"/>
    <w:rsid w:val="00BA0A9E"/>
    <w:rsid w:val="00BA10E3"/>
    <w:rsid w:val="00BA1CD2"/>
    <w:rsid w:val="00BA246F"/>
    <w:rsid w:val="00BA25D1"/>
    <w:rsid w:val="00BA3295"/>
    <w:rsid w:val="00BA3BEB"/>
    <w:rsid w:val="00BA3C13"/>
    <w:rsid w:val="00BA3D2F"/>
    <w:rsid w:val="00BA4730"/>
    <w:rsid w:val="00BA49AA"/>
    <w:rsid w:val="00BA4C01"/>
    <w:rsid w:val="00BA55AF"/>
    <w:rsid w:val="00BA5805"/>
    <w:rsid w:val="00BA5BF3"/>
    <w:rsid w:val="00BA63E5"/>
    <w:rsid w:val="00BA688F"/>
    <w:rsid w:val="00BA6A7F"/>
    <w:rsid w:val="00BA7349"/>
    <w:rsid w:val="00BA74E2"/>
    <w:rsid w:val="00BA7AEF"/>
    <w:rsid w:val="00BB08B1"/>
    <w:rsid w:val="00BB09CB"/>
    <w:rsid w:val="00BB0CE9"/>
    <w:rsid w:val="00BB10F2"/>
    <w:rsid w:val="00BB1411"/>
    <w:rsid w:val="00BB171C"/>
    <w:rsid w:val="00BB1CF3"/>
    <w:rsid w:val="00BB229A"/>
    <w:rsid w:val="00BB280F"/>
    <w:rsid w:val="00BB2C66"/>
    <w:rsid w:val="00BB2E70"/>
    <w:rsid w:val="00BB3506"/>
    <w:rsid w:val="00BB3780"/>
    <w:rsid w:val="00BB38FF"/>
    <w:rsid w:val="00BB3DD4"/>
    <w:rsid w:val="00BB4117"/>
    <w:rsid w:val="00BB4368"/>
    <w:rsid w:val="00BB437D"/>
    <w:rsid w:val="00BB4685"/>
    <w:rsid w:val="00BB5540"/>
    <w:rsid w:val="00BB6175"/>
    <w:rsid w:val="00BB6E92"/>
    <w:rsid w:val="00BB6FC8"/>
    <w:rsid w:val="00BB71E0"/>
    <w:rsid w:val="00BB748D"/>
    <w:rsid w:val="00BB7B0E"/>
    <w:rsid w:val="00BC05F3"/>
    <w:rsid w:val="00BC15CF"/>
    <w:rsid w:val="00BC25B7"/>
    <w:rsid w:val="00BC2BD4"/>
    <w:rsid w:val="00BC2CD3"/>
    <w:rsid w:val="00BC3050"/>
    <w:rsid w:val="00BC3399"/>
    <w:rsid w:val="00BC33F6"/>
    <w:rsid w:val="00BC46C4"/>
    <w:rsid w:val="00BC4744"/>
    <w:rsid w:val="00BC4C6B"/>
    <w:rsid w:val="00BC4D0A"/>
    <w:rsid w:val="00BC6C92"/>
    <w:rsid w:val="00BC6DF6"/>
    <w:rsid w:val="00BC6EF0"/>
    <w:rsid w:val="00BC7153"/>
    <w:rsid w:val="00BC7254"/>
    <w:rsid w:val="00BD0362"/>
    <w:rsid w:val="00BD047E"/>
    <w:rsid w:val="00BD0590"/>
    <w:rsid w:val="00BD061B"/>
    <w:rsid w:val="00BD0F61"/>
    <w:rsid w:val="00BD1202"/>
    <w:rsid w:val="00BD133B"/>
    <w:rsid w:val="00BD13C8"/>
    <w:rsid w:val="00BD1A60"/>
    <w:rsid w:val="00BD1CBB"/>
    <w:rsid w:val="00BD221B"/>
    <w:rsid w:val="00BD2720"/>
    <w:rsid w:val="00BD2CD8"/>
    <w:rsid w:val="00BD2D00"/>
    <w:rsid w:val="00BD2D26"/>
    <w:rsid w:val="00BD3400"/>
    <w:rsid w:val="00BD3568"/>
    <w:rsid w:val="00BD36DB"/>
    <w:rsid w:val="00BD3A28"/>
    <w:rsid w:val="00BD4049"/>
    <w:rsid w:val="00BD42AF"/>
    <w:rsid w:val="00BD4CCA"/>
    <w:rsid w:val="00BD4CF3"/>
    <w:rsid w:val="00BD4FC2"/>
    <w:rsid w:val="00BD59BF"/>
    <w:rsid w:val="00BD59E7"/>
    <w:rsid w:val="00BD5FEE"/>
    <w:rsid w:val="00BD612D"/>
    <w:rsid w:val="00BD615D"/>
    <w:rsid w:val="00BD7538"/>
    <w:rsid w:val="00BD79CF"/>
    <w:rsid w:val="00BD7AAA"/>
    <w:rsid w:val="00BD7B13"/>
    <w:rsid w:val="00BD7E98"/>
    <w:rsid w:val="00BE0011"/>
    <w:rsid w:val="00BE0227"/>
    <w:rsid w:val="00BE034E"/>
    <w:rsid w:val="00BE08FD"/>
    <w:rsid w:val="00BE0AF4"/>
    <w:rsid w:val="00BE11EF"/>
    <w:rsid w:val="00BE16E3"/>
    <w:rsid w:val="00BE288A"/>
    <w:rsid w:val="00BE2D44"/>
    <w:rsid w:val="00BE2DAA"/>
    <w:rsid w:val="00BE2ED4"/>
    <w:rsid w:val="00BE3141"/>
    <w:rsid w:val="00BE31AF"/>
    <w:rsid w:val="00BE346F"/>
    <w:rsid w:val="00BE36D3"/>
    <w:rsid w:val="00BE3F8B"/>
    <w:rsid w:val="00BE4281"/>
    <w:rsid w:val="00BE4599"/>
    <w:rsid w:val="00BE59A4"/>
    <w:rsid w:val="00BE5AF8"/>
    <w:rsid w:val="00BE5BBC"/>
    <w:rsid w:val="00BE5DFF"/>
    <w:rsid w:val="00BE6232"/>
    <w:rsid w:val="00BE6F97"/>
    <w:rsid w:val="00BE702F"/>
    <w:rsid w:val="00BE7CA1"/>
    <w:rsid w:val="00BF0D46"/>
    <w:rsid w:val="00BF0F8C"/>
    <w:rsid w:val="00BF12D0"/>
    <w:rsid w:val="00BF156B"/>
    <w:rsid w:val="00BF227C"/>
    <w:rsid w:val="00BF27E1"/>
    <w:rsid w:val="00BF3D2F"/>
    <w:rsid w:val="00BF42CA"/>
    <w:rsid w:val="00BF43DF"/>
    <w:rsid w:val="00BF4DB6"/>
    <w:rsid w:val="00BF4E36"/>
    <w:rsid w:val="00BF4E55"/>
    <w:rsid w:val="00BF50C0"/>
    <w:rsid w:val="00BF6382"/>
    <w:rsid w:val="00BF667C"/>
    <w:rsid w:val="00BF69F0"/>
    <w:rsid w:val="00BF6D2D"/>
    <w:rsid w:val="00C0061B"/>
    <w:rsid w:val="00C011CA"/>
    <w:rsid w:val="00C01D59"/>
    <w:rsid w:val="00C01E72"/>
    <w:rsid w:val="00C0205E"/>
    <w:rsid w:val="00C02166"/>
    <w:rsid w:val="00C02552"/>
    <w:rsid w:val="00C02748"/>
    <w:rsid w:val="00C02DD4"/>
    <w:rsid w:val="00C03BC5"/>
    <w:rsid w:val="00C03DF6"/>
    <w:rsid w:val="00C040A5"/>
    <w:rsid w:val="00C04111"/>
    <w:rsid w:val="00C041ED"/>
    <w:rsid w:val="00C045C0"/>
    <w:rsid w:val="00C04690"/>
    <w:rsid w:val="00C0475F"/>
    <w:rsid w:val="00C04BF9"/>
    <w:rsid w:val="00C05032"/>
    <w:rsid w:val="00C05093"/>
    <w:rsid w:val="00C0515E"/>
    <w:rsid w:val="00C0572A"/>
    <w:rsid w:val="00C057C2"/>
    <w:rsid w:val="00C05ED7"/>
    <w:rsid w:val="00C0617A"/>
    <w:rsid w:val="00C07280"/>
    <w:rsid w:val="00C07BA7"/>
    <w:rsid w:val="00C1054F"/>
    <w:rsid w:val="00C10825"/>
    <w:rsid w:val="00C10977"/>
    <w:rsid w:val="00C10D8D"/>
    <w:rsid w:val="00C12018"/>
    <w:rsid w:val="00C13FF4"/>
    <w:rsid w:val="00C14CCF"/>
    <w:rsid w:val="00C15004"/>
    <w:rsid w:val="00C1515D"/>
    <w:rsid w:val="00C15CF2"/>
    <w:rsid w:val="00C15D7A"/>
    <w:rsid w:val="00C15E2D"/>
    <w:rsid w:val="00C15EC7"/>
    <w:rsid w:val="00C1636B"/>
    <w:rsid w:val="00C16F04"/>
    <w:rsid w:val="00C17438"/>
    <w:rsid w:val="00C174D3"/>
    <w:rsid w:val="00C17825"/>
    <w:rsid w:val="00C17C0F"/>
    <w:rsid w:val="00C17F40"/>
    <w:rsid w:val="00C20459"/>
    <w:rsid w:val="00C20539"/>
    <w:rsid w:val="00C20E1C"/>
    <w:rsid w:val="00C20E42"/>
    <w:rsid w:val="00C20EFA"/>
    <w:rsid w:val="00C210C7"/>
    <w:rsid w:val="00C21D63"/>
    <w:rsid w:val="00C21E0B"/>
    <w:rsid w:val="00C223B7"/>
    <w:rsid w:val="00C22635"/>
    <w:rsid w:val="00C226FE"/>
    <w:rsid w:val="00C22757"/>
    <w:rsid w:val="00C228D8"/>
    <w:rsid w:val="00C22D04"/>
    <w:rsid w:val="00C22EC8"/>
    <w:rsid w:val="00C22FB1"/>
    <w:rsid w:val="00C2322B"/>
    <w:rsid w:val="00C239EE"/>
    <w:rsid w:val="00C24D1A"/>
    <w:rsid w:val="00C2510E"/>
    <w:rsid w:val="00C2514C"/>
    <w:rsid w:val="00C262A2"/>
    <w:rsid w:val="00C2736C"/>
    <w:rsid w:val="00C27E2B"/>
    <w:rsid w:val="00C27F59"/>
    <w:rsid w:val="00C30064"/>
    <w:rsid w:val="00C326D0"/>
    <w:rsid w:val="00C32EB5"/>
    <w:rsid w:val="00C33B3A"/>
    <w:rsid w:val="00C34566"/>
    <w:rsid w:val="00C34957"/>
    <w:rsid w:val="00C34A16"/>
    <w:rsid w:val="00C34A71"/>
    <w:rsid w:val="00C35248"/>
    <w:rsid w:val="00C357A2"/>
    <w:rsid w:val="00C361A3"/>
    <w:rsid w:val="00C367D3"/>
    <w:rsid w:val="00C36CBC"/>
    <w:rsid w:val="00C37727"/>
    <w:rsid w:val="00C379E8"/>
    <w:rsid w:val="00C37E0F"/>
    <w:rsid w:val="00C37FE0"/>
    <w:rsid w:val="00C4061D"/>
    <w:rsid w:val="00C4250C"/>
    <w:rsid w:val="00C42DEE"/>
    <w:rsid w:val="00C434A3"/>
    <w:rsid w:val="00C44027"/>
    <w:rsid w:val="00C44CE5"/>
    <w:rsid w:val="00C455AD"/>
    <w:rsid w:val="00C45A01"/>
    <w:rsid w:val="00C45F0C"/>
    <w:rsid w:val="00C45F25"/>
    <w:rsid w:val="00C4695B"/>
    <w:rsid w:val="00C46A46"/>
    <w:rsid w:val="00C472A8"/>
    <w:rsid w:val="00C472D1"/>
    <w:rsid w:val="00C47455"/>
    <w:rsid w:val="00C47725"/>
    <w:rsid w:val="00C4787C"/>
    <w:rsid w:val="00C47C39"/>
    <w:rsid w:val="00C47F22"/>
    <w:rsid w:val="00C47F58"/>
    <w:rsid w:val="00C50175"/>
    <w:rsid w:val="00C50903"/>
    <w:rsid w:val="00C50CAC"/>
    <w:rsid w:val="00C51052"/>
    <w:rsid w:val="00C51326"/>
    <w:rsid w:val="00C51FEA"/>
    <w:rsid w:val="00C5227A"/>
    <w:rsid w:val="00C52748"/>
    <w:rsid w:val="00C52E49"/>
    <w:rsid w:val="00C539B5"/>
    <w:rsid w:val="00C53D12"/>
    <w:rsid w:val="00C54E86"/>
    <w:rsid w:val="00C54EC4"/>
    <w:rsid w:val="00C55469"/>
    <w:rsid w:val="00C55511"/>
    <w:rsid w:val="00C55DD1"/>
    <w:rsid w:val="00C61173"/>
    <w:rsid w:val="00C61AD4"/>
    <w:rsid w:val="00C61C6F"/>
    <w:rsid w:val="00C61F4A"/>
    <w:rsid w:val="00C624DC"/>
    <w:rsid w:val="00C62508"/>
    <w:rsid w:val="00C630D0"/>
    <w:rsid w:val="00C63443"/>
    <w:rsid w:val="00C637D8"/>
    <w:rsid w:val="00C63BA0"/>
    <w:rsid w:val="00C64240"/>
    <w:rsid w:val="00C6437C"/>
    <w:rsid w:val="00C64C9F"/>
    <w:rsid w:val="00C64D43"/>
    <w:rsid w:val="00C64F11"/>
    <w:rsid w:val="00C65961"/>
    <w:rsid w:val="00C65DE7"/>
    <w:rsid w:val="00C6601D"/>
    <w:rsid w:val="00C66763"/>
    <w:rsid w:val="00C66822"/>
    <w:rsid w:val="00C66A6C"/>
    <w:rsid w:val="00C671A3"/>
    <w:rsid w:val="00C67CFA"/>
    <w:rsid w:val="00C701DA"/>
    <w:rsid w:val="00C705AD"/>
    <w:rsid w:val="00C70C7B"/>
    <w:rsid w:val="00C70E2A"/>
    <w:rsid w:val="00C71281"/>
    <w:rsid w:val="00C714C2"/>
    <w:rsid w:val="00C71782"/>
    <w:rsid w:val="00C718E1"/>
    <w:rsid w:val="00C7205D"/>
    <w:rsid w:val="00C723E1"/>
    <w:rsid w:val="00C72A68"/>
    <w:rsid w:val="00C72BE4"/>
    <w:rsid w:val="00C72EC3"/>
    <w:rsid w:val="00C730C1"/>
    <w:rsid w:val="00C7357C"/>
    <w:rsid w:val="00C73E72"/>
    <w:rsid w:val="00C7422E"/>
    <w:rsid w:val="00C749CB"/>
    <w:rsid w:val="00C752B8"/>
    <w:rsid w:val="00C75F7D"/>
    <w:rsid w:val="00C76AB9"/>
    <w:rsid w:val="00C76E8D"/>
    <w:rsid w:val="00C770D3"/>
    <w:rsid w:val="00C772AE"/>
    <w:rsid w:val="00C77524"/>
    <w:rsid w:val="00C776BB"/>
    <w:rsid w:val="00C77B9D"/>
    <w:rsid w:val="00C80165"/>
    <w:rsid w:val="00C801E5"/>
    <w:rsid w:val="00C807F1"/>
    <w:rsid w:val="00C80FC8"/>
    <w:rsid w:val="00C81E89"/>
    <w:rsid w:val="00C82AAC"/>
    <w:rsid w:val="00C8329C"/>
    <w:rsid w:val="00C84056"/>
    <w:rsid w:val="00C84D2E"/>
    <w:rsid w:val="00C85181"/>
    <w:rsid w:val="00C85A82"/>
    <w:rsid w:val="00C86638"/>
    <w:rsid w:val="00C869FA"/>
    <w:rsid w:val="00C86A43"/>
    <w:rsid w:val="00C86FC1"/>
    <w:rsid w:val="00C87AA2"/>
    <w:rsid w:val="00C913FD"/>
    <w:rsid w:val="00C91449"/>
    <w:rsid w:val="00C91C0D"/>
    <w:rsid w:val="00C921EF"/>
    <w:rsid w:val="00C9221A"/>
    <w:rsid w:val="00C92963"/>
    <w:rsid w:val="00C9296F"/>
    <w:rsid w:val="00C9314B"/>
    <w:rsid w:val="00C935EA"/>
    <w:rsid w:val="00C936D4"/>
    <w:rsid w:val="00C93D32"/>
    <w:rsid w:val="00C9417F"/>
    <w:rsid w:val="00C941FF"/>
    <w:rsid w:val="00C94C2B"/>
    <w:rsid w:val="00C95107"/>
    <w:rsid w:val="00C9518A"/>
    <w:rsid w:val="00C95439"/>
    <w:rsid w:val="00C95ACC"/>
    <w:rsid w:val="00C95E23"/>
    <w:rsid w:val="00C95ECB"/>
    <w:rsid w:val="00C96802"/>
    <w:rsid w:val="00C96CEA"/>
    <w:rsid w:val="00C97119"/>
    <w:rsid w:val="00C9712E"/>
    <w:rsid w:val="00C97FF1"/>
    <w:rsid w:val="00CA0694"/>
    <w:rsid w:val="00CA076B"/>
    <w:rsid w:val="00CA07BD"/>
    <w:rsid w:val="00CA086C"/>
    <w:rsid w:val="00CA1DEC"/>
    <w:rsid w:val="00CA2C5C"/>
    <w:rsid w:val="00CA2D5C"/>
    <w:rsid w:val="00CA2D98"/>
    <w:rsid w:val="00CA360E"/>
    <w:rsid w:val="00CA3679"/>
    <w:rsid w:val="00CA3E92"/>
    <w:rsid w:val="00CA3F51"/>
    <w:rsid w:val="00CA493D"/>
    <w:rsid w:val="00CA4CDC"/>
    <w:rsid w:val="00CA61FB"/>
    <w:rsid w:val="00CA6470"/>
    <w:rsid w:val="00CA6570"/>
    <w:rsid w:val="00CA6920"/>
    <w:rsid w:val="00CA6B97"/>
    <w:rsid w:val="00CA6CDE"/>
    <w:rsid w:val="00CA78D8"/>
    <w:rsid w:val="00CA7BD4"/>
    <w:rsid w:val="00CB0270"/>
    <w:rsid w:val="00CB0924"/>
    <w:rsid w:val="00CB0E3A"/>
    <w:rsid w:val="00CB1685"/>
    <w:rsid w:val="00CB1AD6"/>
    <w:rsid w:val="00CB1F59"/>
    <w:rsid w:val="00CB2F9A"/>
    <w:rsid w:val="00CB3318"/>
    <w:rsid w:val="00CB340F"/>
    <w:rsid w:val="00CB36F6"/>
    <w:rsid w:val="00CB3B3F"/>
    <w:rsid w:val="00CB3FA0"/>
    <w:rsid w:val="00CB41DD"/>
    <w:rsid w:val="00CB4B70"/>
    <w:rsid w:val="00CB4EBB"/>
    <w:rsid w:val="00CB5C05"/>
    <w:rsid w:val="00CB5D44"/>
    <w:rsid w:val="00CB68AA"/>
    <w:rsid w:val="00CB7C33"/>
    <w:rsid w:val="00CC01BD"/>
    <w:rsid w:val="00CC0A90"/>
    <w:rsid w:val="00CC1425"/>
    <w:rsid w:val="00CC1B59"/>
    <w:rsid w:val="00CC2401"/>
    <w:rsid w:val="00CC259A"/>
    <w:rsid w:val="00CC2648"/>
    <w:rsid w:val="00CC2C55"/>
    <w:rsid w:val="00CC3001"/>
    <w:rsid w:val="00CC37FC"/>
    <w:rsid w:val="00CC4D38"/>
    <w:rsid w:val="00CC5364"/>
    <w:rsid w:val="00CC6361"/>
    <w:rsid w:val="00CC70EB"/>
    <w:rsid w:val="00CC7562"/>
    <w:rsid w:val="00CD0836"/>
    <w:rsid w:val="00CD0A1C"/>
    <w:rsid w:val="00CD0D96"/>
    <w:rsid w:val="00CD0F03"/>
    <w:rsid w:val="00CD1318"/>
    <w:rsid w:val="00CD1B16"/>
    <w:rsid w:val="00CD1FAC"/>
    <w:rsid w:val="00CD2182"/>
    <w:rsid w:val="00CD2698"/>
    <w:rsid w:val="00CD2771"/>
    <w:rsid w:val="00CD2C8F"/>
    <w:rsid w:val="00CD2D30"/>
    <w:rsid w:val="00CD3705"/>
    <w:rsid w:val="00CD3F57"/>
    <w:rsid w:val="00CD40AB"/>
    <w:rsid w:val="00CD4D2F"/>
    <w:rsid w:val="00CD4F2A"/>
    <w:rsid w:val="00CD5136"/>
    <w:rsid w:val="00CD5D7A"/>
    <w:rsid w:val="00CD622C"/>
    <w:rsid w:val="00CD6611"/>
    <w:rsid w:val="00CD6666"/>
    <w:rsid w:val="00CD6AA8"/>
    <w:rsid w:val="00CD6AB0"/>
    <w:rsid w:val="00CD6EFC"/>
    <w:rsid w:val="00CD76B1"/>
    <w:rsid w:val="00CE0955"/>
    <w:rsid w:val="00CE0FC2"/>
    <w:rsid w:val="00CE101E"/>
    <w:rsid w:val="00CE1251"/>
    <w:rsid w:val="00CE1533"/>
    <w:rsid w:val="00CE161A"/>
    <w:rsid w:val="00CE1BC3"/>
    <w:rsid w:val="00CE1D1C"/>
    <w:rsid w:val="00CE1F19"/>
    <w:rsid w:val="00CE2D21"/>
    <w:rsid w:val="00CE321B"/>
    <w:rsid w:val="00CE32C8"/>
    <w:rsid w:val="00CE34AB"/>
    <w:rsid w:val="00CE361F"/>
    <w:rsid w:val="00CE3771"/>
    <w:rsid w:val="00CE37EC"/>
    <w:rsid w:val="00CE3D39"/>
    <w:rsid w:val="00CE4523"/>
    <w:rsid w:val="00CE5250"/>
    <w:rsid w:val="00CE575C"/>
    <w:rsid w:val="00CE5E48"/>
    <w:rsid w:val="00CE7B96"/>
    <w:rsid w:val="00CF065B"/>
    <w:rsid w:val="00CF08DE"/>
    <w:rsid w:val="00CF0E32"/>
    <w:rsid w:val="00CF0EF0"/>
    <w:rsid w:val="00CF1191"/>
    <w:rsid w:val="00CF16D3"/>
    <w:rsid w:val="00CF2334"/>
    <w:rsid w:val="00CF369B"/>
    <w:rsid w:val="00CF3779"/>
    <w:rsid w:val="00CF4339"/>
    <w:rsid w:val="00CF43F4"/>
    <w:rsid w:val="00CF4412"/>
    <w:rsid w:val="00CF5166"/>
    <w:rsid w:val="00CF54DC"/>
    <w:rsid w:val="00CF59CF"/>
    <w:rsid w:val="00CF5D1A"/>
    <w:rsid w:val="00CF5E56"/>
    <w:rsid w:val="00CF65EC"/>
    <w:rsid w:val="00CF66A6"/>
    <w:rsid w:val="00CF690C"/>
    <w:rsid w:val="00CF770E"/>
    <w:rsid w:val="00CF7F40"/>
    <w:rsid w:val="00D01029"/>
    <w:rsid w:val="00D025CC"/>
    <w:rsid w:val="00D02659"/>
    <w:rsid w:val="00D02C42"/>
    <w:rsid w:val="00D02FC8"/>
    <w:rsid w:val="00D03D6C"/>
    <w:rsid w:val="00D047FF"/>
    <w:rsid w:val="00D05257"/>
    <w:rsid w:val="00D05335"/>
    <w:rsid w:val="00D05AC6"/>
    <w:rsid w:val="00D06355"/>
    <w:rsid w:val="00D06653"/>
    <w:rsid w:val="00D067D5"/>
    <w:rsid w:val="00D06CBC"/>
    <w:rsid w:val="00D06F17"/>
    <w:rsid w:val="00D06FD7"/>
    <w:rsid w:val="00D071E2"/>
    <w:rsid w:val="00D073E6"/>
    <w:rsid w:val="00D1054C"/>
    <w:rsid w:val="00D1060D"/>
    <w:rsid w:val="00D1087A"/>
    <w:rsid w:val="00D1155C"/>
    <w:rsid w:val="00D11B6D"/>
    <w:rsid w:val="00D12A92"/>
    <w:rsid w:val="00D12AA5"/>
    <w:rsid w:val="00D12B56"/>
    <w:rsid w:val="00D12E84"/>
    <w:rsid w:val="00D132D2"/>
    <w:rsid w:val="00D1339B"/>
    <w:rsid w:val="00D1367C"/>
    <w:rsid w:val="00D146F3"/>
    <w:rsid w:val="00D14762"/>
    <w:rsid w:val="00D15A4E"/>
    <w:rsid w:val="00D15D57"/>
    <w:rsid w:val="00D15E74"/>
    <w:rsid w:val="00D177BB"/>
    <w:rsid w:val="00D21272"/>
    <w:rsid w:val="00D216DD"/>
    <w:rsid w:val="00D21DBE"/>
    <w:rsid w:val="00D2254D"/>
    <w:rsid w:val="00D244E6"/>
    <w:rsid w:val="00D24708"/>
    <w:rsid w:val="00D248E4"/>
    <w:rsid w:val="00D2497E"/>
    <w:rsid w:val="00D24C61"/>
    <w:rsid w:val="00D24D3F"/>
    <w:rsid w:val="00D2596A"/>
    <w:rsid w:val="00D26687"/>
    <w:rsid w:val="00D26897"/>
    <w:rsid w:val="00D26B77"/>
    <w:rsid w:val="00D27019"/>
    <w:rsid w:val="00D27F5B"/>
    <w:rsid w:val="00D30536"/>
    <w:rsid w:val="00D31FD4"/>
    <w:rsid w:val="00D330BC"/>
    <w:rsid w:val="00D33916"/>
    <w:rsid w:val="00D33A23"/>
    <w:rsid w:val="00D33A7B"/>
    <w:rsid w:val="00D34056"/>
    <w:rsid w:val="00D341E1"/>
    <w:rsid w:val="00D349C3"/>
    <w:rsid w:val="00D34BEA"/>
    <w:rsid w:val="00D35D02"/>
    <w:rsid w:val="00D35EE0"/>
    <w:rsid w:val="00D3603D"/>
    <w:rsid w:val="00D361D3"/>
    <w:rsid w:val="00D36873"/>
    <w:rsid w:val="00D368DD"/>
    <w:rsid w:val="00D36ADA"/>
    <w:rsid w:val="00D36E0F"/>
    <w:rsid w:val="00D374CA"/>
    <w:rsid w:val="00D37E58"/>
    <w:rsid w:val="00D4006C"/>
    <w:rsid w:val="00D402AD"/>
    <w:rsid w:val="00D40351"/>
    <w:rsid w:val="00D407F2"/>
    <w:rsid w:val="00D407F3"/>
    <w:rsid w:val="00D4093B"/>
    <w:rsid w:val="00D40EEA"/>
    <w:rsid w:val="00D4136D"/>
    <w:rsid w:val="00D41609"/>
    <w:rsid w:val="00D41781"/>
    <w:rsid w:val="00D417B4"/>
    <w:rsid w:val="00D4182F"/>
    <w:rsid w:val="00D43547"/>
    <w:rsid w:val="00D44054"/>
    <w:rsid w:val="00D440E7"/>
    <w:rsid w:val="00D44163"/>
    <w:rsid w:val="00D44661"/>
    <w:rsid w:val="00D4471F"/>
    <w:rsid w:val="00D457A7"/>
    <w:rsid w:val="00D458E5"/>
    <w:rsid w:val="00D4622E"/>
    <w:rsid w:val="00D46DB4"/>
    <w:rsid w:val="00D47DDC"/>
    <w:rsid w:val="00D504EE"/>
    <w:rsid w:val="00D508DB"/>
    <w:rsid w:val="00D50CD9"/>
    <w:rsid w:val="00D50DFA"/>
    <w:rsid w:val="00D51A2D"/>
    <w:rsid w:val="00D51E1B"/>
    <w:rsid w:val="00D51ED9"/>
    <w:rsid w:val="00D5224A"/>
    <w:rsid w:val="00D524E6"/>
    <w:rsid w:val="00D524ED"/>
    <w:rsid w:val="00D52CC7"/>
    <w:rsid w:val="00D52D40"/>
    <w:rsid w:val="00D53E43"/>
    <w:rsid w:val="00D54055"/>
    <w:rsid w:val="00D54179"/>
    <w:rsid w:val="00D54BDE"/>
    <w:rsid w:val="00D552CE"/>
    <w:rsid w:val="00D558C8"/>
    <w:rsid w:val="00D55FB0"/>
    <w:rsid w:val="00D5628E"/>
    <w:rsid w:val="00D566E5"/>
    <w:rsid w:val="00D569F5"/>
    <w:rsid w:val="00D571DB"/>
    <w:rsid w:val="00D57483"/>
    <w:rsid w:val="00D579B9"/>
    <w:rsid w:val="00D57B19"/>
    <w:rsid w:val="00D57CF5"/>
    <w:rsid w:val="00D57D47"/>
    <w:rsid w:val="00D60F64"/>
    <w:rsid w:val="00D6145F"/>
    <w:rsid w:val="00D6148F"/>
    <w:rsid w:val="00D61C53"/>
    <w:rsid w:val="00D6244F"/>
    <w:rsid w:val="00D62897"/>
    <w:rsid w:val="00D629CE"/>
    <w:rsid w:val="00D62B91"/>
    <w:rsid w:val="00D630CF"/>
    <w:rsid w:val="00D63642"/>
    <w:rsid w:val="00D63D52"/>
    <w:rsid w:val="00D63DFD"/>
    <w:rsid w:val="00D63F2A"/>
    <w:rsid w:val="00D63FF7"/>
    <w:rsid w:val="00D6436A"/>
    <w:rsid w:val="00D657CF"/>
    <w:rsid w:val="00D65B63"/>
    <w:rsid w:val="00D664A5"/>
    <w:rsid w:val="00D6694F"/>
    <w:rsid w:val="00D6720F"/>
    <w:rsid w:val="00D676F4"/>
    <w:rsid w:val="00D715BE"/>
    <w:rsid w:val="00D71CF1"/>
    <w:rsid w:val="00D7203C"/>
    <w:rsid w:val="00D72508"/>
    <w:rsid w:val="00D72AC4"/>
    <w:rsid w:val="00D73053"/>
    <w:rsid w:val="00D73749"/>
    <w:rsid w:val="00D737B0"/>
    <w:rsid w:val="00D737C3"/>
    <w:rsid w:val="00D73896"/>
    <w:rsid w:val="00D73E82"/>
    <w:rsid w:val="00D73EBB"/>
    <w:rsid w:val="00D74424"/>
    <w:rsid w:val="00D74E48"/>
    <w:rsid w:val="00D74F57"/>
    <w:rsid w:val="00D75440"/>
    <w:rsid w:val="00D75BA1"/>
    <w:rsid w:val="00D75F64"/>
    <w:rsid w:val="00D76821"/>
    <w:rsid w:val="00D76E97"/>
    <w:rsid w:val="00D77639"/>
    <w:rsid w:val="00D778FA"/>
    <w:rsid w:val="00D77D94"/>
    <w:rsid w:val="00D80075"/>
    <w:rsid w:val="00D80157"/>
    <w:rsid w:val="00D80596"/>
    <w:rsid w:val="00D81144"/>
    <w:rsid w:val="00D81461"/>
    <w:rsid w:val="00D8202A"/>
    <w:rsid w:val="00D821FD"/>
    <w:rsid w:val="00D825B4"/>
    <w:rsid w:val="00D8264D"/>
    <w:rsid w:val="00D82AF6"/>
    <w:rsid w:val="00D83260"/>
    <w:rsid w:val="00D834FC"/>
    <w:rsid w:val="00D83FB9"/>
    <w:rsid w:val="00D83FFC"/>
    <w:rsid w:val="00D84054"/>
    <w:rsid w:val="00D843A4"/>
    <w:rsid w:val="00D86A64"/>
    <w:rsid w:val="00D8716F"/>
    <w:rsid w:val="00D874D3"/>
    <w:rsid w:val="00D875B3"/>
    <w:rsid w:val="00D87E05"/>
    <w:rsid w:val="00D87F7C"/>
    <w:rsid w:val="00D9004C"/>
    <w:rsid w:val="00D9153A"/>
    <w:rsid w:val="00D916CE"/>
    <w:rsid w:val="00D92992"/>
    <w:rsid w:val="00D9300A"/>
    <w:rsid w:val="00D931F2"/>
    <w:rsid w:val="00D93641"/>
    <w:rsid w:val="00D939F5"/>
    <w:rsid w:val="00D93BF5"/>
    <w:rsid w:val="00D94434"/>
    <w:rsid w:val="00D94509"/>
    <w:rsid w:val="00D94C4E"/>
    <w:rsid w:val="00D94C7A"/>
    <w:rsid w:val="00D94E74"/>
    <w:rsid w:val="00D94FA1"/>
    <w:rsid w:val="00D95328"/>
    <w:rsid w:val="00D95E37"/>
    <w:rsid w:val="00D969C3"/>
    <w:rsid w:val="00D97083"/>
    <w:rsid w:val="00D97F77"/>
    <w:rsid w:val="00D97FC6"/>
    <w:rsid w:val="00DA0390"/>
    <w:rsid w:val="00DA0457"/>
    <w:rsid w:val="00DA0E89"/>
    <w:rsid w:val="00DA12BA"/>
    <w:rsid w:val="00DA1884"/>
    <w:rsid w:val="00DA2195"/>
    <w:rsid w:val="00DA2DF1"/>
    <w:rsid w:val="00DA448E"/>
    <w:rsid w:val="00DA4BA6"/>
    <w:rsid w:val="00DA52C8"/>
    <w:rsid w:val="00DA5C32"/>
    <w:rsid w:val="00DA78EC"/>
    <w:rsid w:val="00DA7A12"/>
    <w:rsid w:val="00DB084E"/>
    <w:rsid w:val="00DB1A1C"/>
    <w:rsid w:val="00DB22D0"/>
    <w:rsid w:val="00DB261E"/>
    <w:rsid w:val="00DB2954"/>
    <w:rsid w:val="00DB3302"/>
    <w:rsid w:val="00DB3B07"/>
    <w:rsid w:val="00DB480E"/>
    <w:rsid w:val="00DB6725"/>
    <w:rsid w:val="00DB6944"/>
    <w:rsid w:val="00DB6C8D"/>
    <w:rsid w:val="00DB7960"/>
    <w:rsid w:val="00DB7C3B"/>
    <w:rsid w:val="00DB7C4B"/>
    <w:rsid w:val="00DC0823"/>
    <w:rsid w:val="00DC0B79"/>
    <w:rsid w:val="00DC111B"/>
    <w:rsid w:val="00DC130C"/>
    <w:rsid w:val="00DC16F4"/>
    <w:rsid w:val="00DC2469"/>
    <w:rsid w:val="00DC305D"/>
    <w:rsid w:val="00DC3D0C"/>
    <w:rsid w:val="00DC3DA9"/>
    <w:rsid w:val="00DC41CE"/>
    <w:rsid w:val="00DC49F4"/>
    <w:rsid w:val="00DC4AC0"/>
    <w:rsid w:val="00DC4D5C"/>
    <w:rsid w:val="00DC759F"/>
    <w:rsid w:val="00DC7738"/>
    <w:rsid w:val="00DC7993"/>
    <w:rsid w:val="00DC7DCB"/>
    <w:rsid w:val="00DD0473"/>
    <w:rsid w:val="00DD0914"/>
    <w:rsid w:val="00DD152C"/>
    <w:rsid w:val="00DD1B46"/>
    <w:rsid w:val="00DD20EC"/>
    <w:rsid w:val="00DD2DEE"/>
    <w:rsid w:val="00DD32F3"/>
    <w:rsid w:val="00DD3666"/>
    <w:rsid w:val="00DD3961"/>
    <w:rsid w:val="00DD43DA"/>
    <w:rsid w:val="00DD60E4"/>
    <w:rsid w:val="00DD6129"/>
    <w:rsid w:val="00DD6247"/>
    <w:rsid w:val="00DD6383"/>
    <w:rsid w:val="00DD65FC"/>
    <w:rsid w:val="00DD6782"/>
    <w:rsid w:val="00DD6CE5"/>
    <w:rsid w:val="00DD6DC1"/>
    <w:rsid w:val="00DD73DB"/>
    <w:rsid w:val="00DD7597"/>
    <w:rsid w:val="00DD7FC7"/>
    <w:rsid w:val="00DE05AF"/>
    <w:rsid w:val="00DE0834"/>
    <w:rsid w:val="00DE0EC0"/>
    <w:rsid w:val="00DE0F5E"/>
    <w:rsid w:val="00DE2453"/>
    <w:rsid w:val="00DE288A"/>
    <w:rsid w:val="00DE2F71"/>
    <w:rsid w:val="00DE4FE7"/>
    <w:rsid w:val="00DE5262"/>
    <w:rsid w:val="00DE5721"/>
    <w:rsid w:val="00DE59FC"/>
    <w:rsid w:val="00DE6452"/>
    <w:rsid w:val="00DE66D1"/>
    <w:rsid w:val="00DE7607"/>
    <w:rsid w:val="00DF00FA"/>
    <w:rsid w:val="00DF0982"/>
    <w:rsid w:val="00DF0ED4"/>
    <w:rsid w:val="00DF1167"/>
    <w:rsid w:val="00DF1250"/>
    <w:rsid w:val="00DF1348"/>
    <w:rsid w:val="00DF13C7"/>
    <w:rsid w:val="00DF17AE"/>
    <w:rsid w:val="00DF1C82"/>
    <w:rsid w:val="00DF248A"/>
    <w:rsid w:val="00DF2F6E"/>
    <w:rsid w:val="00DF3438"/>
    <w:rsid w:val="00DF3D67"/>
    <w:rsid w:val="00DF3E04"/>
    <w:rsid w:val="00DF4094"/>
    <w:rsid w:val="00DF412D"/>
    <w:rsid w:val="00DF4B28"/>
    <w:rsid w:val="00DF4BDC"/>
    <w:rsid w:val="00DF4FA3"/>
    <w:rsid w:val="00DF5120"/>
    <w:rsid w:val="00DF515D"/>
    <w:rsid w:val="00DF57CA"/>
    <w:rsid w:val="00DF5A95"/>
    <w:rsid w:val="00DF6142"/>
    <w:rsid w:val="00DF62CE"/>
    <w:rsid w:val="00DF6BFD"/>
    <w:rsid w:val="00DF7185"/>
    <w:rsid w:val="00DF7A33"/>
    <w:rsid w:val="00E0005A"/>
    <w:rsid w:val="00E0048A"/>
    <w:rsid w:val="00E004A7"/>
    <w:rsid w:val="00E00EA8"/>
    <w:rsid w:val="00E01700"/>
    <w:rsid w:val="00E017E0"/>
    <w:rsid w:val="00E01C0F"/>
    <w:rsid w:val="00E01ED0"/>
    <w:rsid w:val="00E01F8F"/>
    <w:rsid w:val="00E02A28"/>
    <w:rsid w:val="00E02BC7"/>
    <w:rsid w:val="00E02D06"/>
    <w:rsid w:val="00E02E75"/>
    <w:rsid w:val="00E033B0"/>
    <w:rsid w:val="00E03B05"/>
    <w:rsid w:val="00E03B77"/>
    <w:rsid w:val="00E04155"/>
    <w:rsid w:val="00E04638"/>
    <w:rsid w:val="00E046E4"/>
    <w:rsid w:val="00E04A24"/>
    <w:rsid w:val="00E055CB"/>
    <w:rsid w:val="00E05CE9"/>
    <w:rsid w:val="00E06A1E"/>
    <w:rsid w:val="00E06C7D"/>
    <w:rsid w:val="00E0706C"/>
    <w:rsid w:val="00E07071"/>
    <w:rsid w:val="00E070E7"/>
    <w:rsid w:val="00E07224"/>
    <w:rsid w:val="00E0748D"/>
    <w:rsid w:val="00E07873"/>
    <w:rsid w:val="00E07C73"/>
    <w:rsid w:val="00E105C6"/>
    <w:rsid w:val="00E11EDB"/>
    <w:rsid w:val="00E11F44"/>
    <w:rsid w:val="00E11F95"/>
    <w:rsid w:val="00E12599"/>
    <w:rsid w:val="00E12F8D"/>
    <w:rsid w:val="00E13425"/>
    <w:rsid w:val="00E14339"/>
    <w:rsid w:val="00E146C6"/>
    <w:rsid w:val="00E1472B"/>
    <w:rsid w:val="00E148C1"/>
    <w:rsid w:val="00E14918"/>
    <w:rsid w:val="00E15A12"/>
    <w:rsid w:val="00E15BA8"/>
    <w:rsid w:val="00E15D40"/>
    <w:rsid w:val="00E16366"/>
    <w:rsid w:val="00E1640A"/>
    <w:rsid w:val="00E16660"/>
    <w:rsid w:val="00E16ABF"/>
    <w:rsid w:val="00E16B64"/>
    <w:rsid w:val="00E16C23"/>
    <w:rsid w:val="00E20A32"/>
    <w:rsid w:val="00E20C6A"/>
    <w:rsid w:val="00E20E74"/>
    <w:rsid w:val="00E214F0"/>
    <w:rsid w:val="00E22045"/>
    <w:rsid w:val="00E225C2"/>
    <w:rsid w:val="00E22EA7"/>
    <w:rsid w:val="00E23072"/>
    <w:rsid w:val="00E230DB"/>
    <w:rsid w:val="00E238E9"/>
    <w:rsid w:val="00E24425"/>
    <w:rsid w:val="00E24D40"/>
    <w:rsid w:val="00E25484"/>
    <w:rsid w:val="00E2549B"/>
    <w:rsid w:val="00E25C3C"/>
    <w:rsid w:val="00E25EFD"/>
    <w:rsid w:val="00E25FAE"/>
    <w:rsid w:val="00E26148"/>
    <w:rsid w:val="00E267A0"/>
    <w:rsid w:val="00E26973"/>
    <w:rsid w:val="00E26AE6"/>
    <w:rsid w:val="00E26EB8"/>
    <w:rsid w:val="00E27C5C"/>
    <w:rsid w:val="00E27CBB"/>
    <w:rsid w:val="00E27F5F"/>
    <w:rsid w:val="00E30267"/>
    <w:rsid w:val="00E304C8"/>
    <w:rsid w:val="00E30CA2"/>
    <w:rsid w:val="00E31193"/>
    <w:rsid w:val="00E31525"/>
    <w:rsid w:val="00E317FE"/>
    <w:rsid w:val="00E31956"/>
    <w:rsid w:val="00E3221E"/>
    <w:rsid w:val="00E32284"/>
    <w:rsid w:val="00E3296D"/>
    <w:rsid w:val="00E33435"/>
    <w:rsid w:val="00E33895"/>
    <w:rsid w:val="00E34613"/>
    <w:rsid w:val="00E3510B"/>
    <w:rsid w:val="00E356B0"/>
    <w:rsid w:val="00E35A3F"/>
    <w:rsid w:val="00E35ABC"/>
    <w:rsid w:val="00E35AC4"/>
    <w:rsid w:val="00E364EA"/>
    <w:rsid w:val="00E3657E"/>
    <w:rsid w:val="00E365D0"/>
    <w:rsid w:val="00E36E73"/>
    <w:rsid w:val="00E37632"/>
    <w:rsid w:val="00E4009D"/>
    <w:rsid w:val="00E42027"/>
    <w:rsid w:val="00E428A9"/>
    <w:rsid w:val="00E42AE0"/>
    <w:rsid w:val="00E42FEB"/>
    <w:rsid w:val="00E4316D"/>
    <w:rsid w:val="00E446E9"/>
    <w:rsid w:val="00E449B2"/>
    <w:rsid w:val="00E45DC1"/>
    <w:rsid w:val="00E4611A"/>
    <w:rsid w:val="00E47D0A"/>
    <w:rsid w:val="00E47DD2"/>
    <w:rsid w:val="00E50E6C"/>
    <w:rsid w:val="00E516E5"/>
    <w:rsid w:val="00E51F16"/>
    <w:rsid w:val="00E52860"/>
    <w:rsid w:val="00E52BEF"/>
    <w:rsid w:val="00E53386"/>
    <w:rsid w:val="00E5410E"/>
    <w:rsid w:val="00E54C0E"/>
    <w:rsid w:val="00E553E2"/>
    <w:rsid w:val="00E55EA9"/>
    <w:rsid w:val="00E562B6"/>
    <w:rsid w:val="00E5719F"/>
    <w:rsid w:val="00E57832"/>
    <w:rsid w:val="00E578DD"/>
    <w:rsid w:val="00E602D2"/>
    <w:rsid w:val="00E60ABF"/>
    <w:rsid w:val="00E610CE"/>
    <w:rsid w:val="00E611EF"/>
    <w:rsid w:val="00E61265"/>
    <w:rsid w:val="00E6186E"/>
    <w:rsid w:val="00E61B62"/>
    <w:rsid w:val="00E61D0D"/>
    <w:rsid w:val="00E62736"/>
    <w:rsid w:val="00E62EC8"/>
    <w:rsid w:val="00E63248"/>
    <w:rsid w:val="00E635C7"/>
    <w:rsid w:val="00E649AC"/>
    <w:rsid w:val="00E64A03"/>
    <w:rsid w:val="00E64A59"/>
    <w:rsid w:val="00E64CC5"/>
    <w:rsid w:val="00E6558F"/>
    <w:rsid w:val="00E65B53"/>
    <w:rsid w:val="00E662CA"/>
    <w:rsid w:val="00E667D6"/>
    <w:rsid w:val="00E672AC"/>
    <w:rsid w:val="00E6762B"/>
    <w:rsid w:val="00E678B6"/>
    <w:rsid w:val="00E6799E"/>
    <w:rsid w:val="00E67BA5"/>
    <w:rsid w:val="00E67DD6"/>
    <w:rsid w:val="00E70719"/>
    <w:rsid w:val="00E7171F"/>
    <w:rsid w:val="00E71A82"/>
    <w:rsid w:val="00E72FE8"/>
    <w:rsid w:val="00E74541"/>
    <w:rsid w:val="00E74D1C"/>
    <w:rsid w:val="00E74E45"/>
    <w:rsid w:val="00E753E2"/>
    <w:rsid w:val="00E75868"/>
    <w:rsid w:val="00E75952"/>
    <w:rsid w:val="00E75E4F"/>
    <w:rsid w:val="00E765B9"/>
    <w:rsid w:val="00E7675B"/>
    <w:rsid w:val="00E76F7C"/>
    <w:rsid w:val="00E77C64"/>
    <w:rsid w:val="00E77CB0"/>
    <w:rsid w:val="00E77DD7"/>
    <w:rsid w:val="00E815D8"/>
    <w:rsid w:val="00E81C55"/>
    <w:rsid w:val="00E81FC9"/>
    <w:rsid w:val="00E82F6A"/>
    <w:rsid w:val="00E8326B"/>
    <w:rsid w:val="00E8331D"/>
    <w:rsid w:val="00E836DD"/>
    <w:rsid w:val="00E839AF"/>
    <w:rsid w:val="00E8448C"/>
    <w:rsid w:val="00E8490E"/>
    <w:rsid w:val="00E84F90"/>
    <w:rsid w:val="00E853DE"/>
    <w:rsid w:val="00E855E1"/>
    <w:rsid w:val="00E862D3"/>
    <w:rsid w:val="00E875E0"/>
    <w:rsid w:val="00E90186"/>
    <w:rsid w:val="00E901AC"/>
    <w:rsid w:val="00E909F6"/>
    <w:rsid w:val="00E90C6E"/>
    <w:rsid w:val="00E90D73"/>
    <w:rsid w:val="00E91863"/>
    <w:rsid w:val="00E92004"/>
    <w:rsid w:val="00E92101"/>
    <w:rsid w:val="00E92296"/>
    <w:rsid w:val="00E928AC"/>
    <w:rsid w:val="00E93090"/>
    <w:rsid w:val="00E93B34"/>
    <w:rsid w:val="00E94030"/>
    <w:rsid w:val="00E94301"/>
    <w:rsid w:val="00E9461E"/>
    <w:rsid w:val="00E953D1"/>
    <w:rsid w:val="00E95A24"/>
    <w:rsid w:val="00E95B6A"/>
    <w:rsid w:val="00E95D81"/>
    <w:rsid w:val="00E960BC"/>
    <w:rsid w:val="00E96602"/>
    <w:rsid w:val="00E977BC"/>
    <w:rsid w:val="00E97A36"/>
    <w:rsid w:val="00EA01F5"/>
    <w:rsid w:val="00EA0E17"/>
    <w:rsid w:val="00EA1173"/>
    <w:rsid w:val="00EA130E"/>
    <w:rsid w:val="00EA1391"/>
    <w:rsid w:val="00EA2B9D"/>
    <w:rsid w:val="00EA2CFE"/>
    <w:rsid w:val="00EA2DD7"/>
    <w:rsid w:val="00EA2E61"/>
    <w:rsid w:val="00EA3359"/>
    <w:rsid w:val="00EA3360"/>
    <w:rsid w:val="00EA3916"/>
    <w:rsid w:val="00EA3966"/>
    <w:rsid w:val="00EA3AAD"/>
    <w:rsid w:val="00EA3C14"/>
    <w:rsid w:val="00EA3CB2"/>
    <w:rsid w:val="00EA3E31"/>
    <w:rsid w:val="00EA4041"/>
    <w:rsid w:val="00EA57CD"/>
    <w:rsid w:val="00EB00CA"/>
    <w:rsid w:val="00EB06D9"/>
    <w:rsid w:val="00EB0E4B"/>
    <w:rsid w:val="00EB19A5"/>
    <w:rsid w:val="00EB2053"/>
    <w:rsid w:val="00EB2661"/>
    <w:rsid w:val="00EB2BEF"/>
    <w:rsid w:val="00EB2C22"/>
    <w:rsid w:val="00EB319F"/>
    <w:rsid w:val="00EB32C1"/>
    <w:rsid w:val="00EB3A37"/>
    <w:rsid w:val="00EB3DBF"/>
    <w:rsid w:val="00EB4B12"/>
    <w:rsid w:val="00EB4D18"/>
    <w:rsid w:val="00EB4F2F"/>
    <w:rsid w:val="00EB5DF7"/>
    <w:rsid w:val="00EB60AB"/>
    <w:rsid w:val="00EB628E"/>
    <w:rsid w:val="00EB72B7"/>
    <w:rsid w:val="00EC0212"/>
    <w:rsid w:val="00EC03A8"/>
    <w:rsid w:val="00EC03BC"/>
    <w:rsid w:val="00EC04D2"/>
    <w:rsid w:val="00EC0921"/>
    <w:rsid w:val="00EC1089"/>
    <w:rsid w:val="00EC141A"/>
    <w:rsid w:val="00EC1F74"/>
    <w:rsid w:val="00EC2295"/>
    <w:rsid w:val="00EC270E"/>
    <w:rsid w:val="00EC29D6"/>
    <w:rsid w:val="00EC2FC0"/>
    <w:rsid w:val="00EC3023"/>
    <w:rsid w:val="00EC34A2"/>
    <w:rsid w:val="00EC3BF5"/>
    <w:rsid w:val="00EC3DD3"/>
    <w:rsid w:val="00EC516C"/>
    <w:rsid w:val="00EC51C6"/>
    <w:rsid w:val="00EC53C8"/>
    <w:rsid w:val="00EC5815"/>
    <w:rsid w:val="00EC58EF"/>
    <w:rsid w:val="00EC5EB9"/>
    <w:rsid w:val="00EC6529"/>
    <w:rsid w:val="00EC663D"/>
    <w:rsid w:val="00EC6BD0"/>
    <w:rsid w:val="00EC6BED"/>
    <w:rsid w:val="00EC6C9C"/>
    <w:rsid w:val="00EC6E71"/>
    <w:rsid w:val="00ED0625"/>
    <w:rsid w:val="00ED0D6D"/>
    <w:rsid w:val="00ED1019"/>
    <w:rsid w:val="00ED1761"/>
    <w:rsid w:val="00ED24BF"/>
    <w:rsid w:val="00ED2874"/>
    <w:rsid w:val="00ED2AC6"/>
    <w:rsid w:val="00ED2B4D"/>
    <w:rsid w:val="00ED2BF1"/>
    <w:rsid w:val="00ED2DF5"/>
    <w:rsid w:val="00ED33F4"/>
    <w:rsid w:val="00ED4546"/>
    <w:rsid w:val="00ED4782"/>
    <w:rsid w:val="00ED48DE"/>
    <w:rsid w:val="00ED503D"/>
    <w:rsid w:val="00ED5A0B"/>
    <w:rsid w:val="00ED5BAB"/>
    <w:rsid w:val="00ED631C"/>
    <w:rsid w:val="00ED6459"/>
    <w:rsid w:val="00ED6742"/>
    <w:rsid w:val="00ED73DE"/>
    <w:rsid w:val="00ED742E"/>
    <w:rsid w:val="00ED7C57"/>
    <w:rsid w:val="00EE0266"/>
    <w:rsid w:val="00EE0320"/>
    <w:rsid w:val="00EE0412"/>
    <w:rsid w:val="00EE1066"/>
    <w:rsid w:val="00EE1551"/>
    <w:rsid w:val="00EE20F2"/>
    <w:rsid w:val="00EE2296"/>
    <w:rsid w:val="00EE23CA"/>
    <w:rsid w:val="00EE2C89"/>
    <w:rsid w:val="00EE3560"/>
    <w:rsid w:val="00EE3726"/>
    <w:rsid w:val="00EE4D67"/>
    <w:rsid w:val="00EE5DD3"/>
    <w:rsid w:val="00EE6208"/>
    <w:rsid w:val="00EE6678"/>
    <w:rsid w:val="00EE6A80"/>
    <w:rsid w:val="00EE6E65"/>
    <w:rsid w:val="00EE6FCF"/>
    <w:rsid w:val="00EE7157"/>
    <w:rsid w:val="00EE743F"/>
    <w:rsid w:val="00EE7A2D"/>
    <w:rsid w:val="00EF099E"/>
    <w:rsid w:val="00EF0D91"/>
    <w:rsid w:val="00EF109C"/>
    <w:rsid w:val="00EF11F7"/>
    <w:rsid w:val="00EF1628"/>
    <w:rsid w:val="00EF21E9"/>
    <w:rsid w:val="00EF3375"/>
    <w:rsid w:val="00EF364A"/>
    <w:rsid w:val="00EF4018"/>
    <w:rsid w:val="00EF413E"/>
    <w:rsid w:val="00EF4A4B"/>
    <w:rsid w:val="00EF4C69"/>
    <w:rsid w:val="00EF4EFB"/>
    <w:rsid w:val="00EF54D7"/>
    <w:rsid w:val="00EF583B"/>
    <w:rsid w:val="00EF5B1C"/>
    <w:rsid w:val="00EF6480"/>
    <w:rsid w:val="00EF6919"/>
    <w:rsid w:val="00EF6E6E"/>
    <w:rsid w:val="00EF781E"/>
    <w:rsid w:val="00EF7ED6"/>
    <w:rsid w:val="00F00419"/>
    <w:rsid w:val="00F01522"/>
    <w:rsid w:val="00F01589"/>
    <w:rsid w:val="00F01D30"/>
    <w:rsid w:val="00F02653"/>
    <w:rsid w:val="00F03306"/>
    <w:rsid w:val="00F03368"/>
    <w:rsid w:val="00F03EB4"/>
    <w:rsid w:val="00F0441B"/>
    <w:rsid w:val="00F0463E"/>
    <w:rsid w:val="00F0494C"/>
    <w:rsid w:val="00F04AAA"/>
    <w:rsid w:val="00F04FA2"/>
    <w:rsid w:val="00F054C0"/>
    <w:rsid w:val="00F05513"/>
    <w:rsid w:val="00F06590"/>
    <w:rsid w:val="00F065BF"/>
    <w:rsid w:val="00F065D3"/>
    <w:rsid w:val="00F0678B"/>
    <w:rsid w:val="00F0681F"/>
    <w:rsid w:val="00F0714E"/>
    <w:rsid w:val="00F074B6"/>
    <w:rsid w:val="00F0753F"/>
    <w:rsid w:val="00F10941"/>
    <w:rsid w:val="00F10C14"/>
    <w:rsid w:val="00F10FCE"/>
    <w:rsid w:val="00F1199D"/>
    <w:rsid w:val="00F12435"/>
    <w:rsid w:val="00F12DF9"/>
    <w:rsid w:val="00F1313B"/>
    <w:rsid w:val="00F1361C"/>
    <w:rsid w:val="00F14284"/>
    <w:rsid w:val="00F144B8"/>
    <w:rsid w:val="00F14EA4"/>
    <w:rsid w:val="00F153B2"/>
    <w:rsid w:val="00F15970"/>
    <w:rsid w:val="00F16141"/>
    <w:rsid w:val="00F16A38"/>
    <w:rsid w:val="00F16D3F"/>
    <w:rsid w:val="00F16E1C"/>
    <w:rsid w:val="00F170E3"/>
    <w:rsid w:val="00F1741E"/>
    <w:rsid w:val="00F17C5A"/>
    <w:rsid w:val="00F20170"/>
    <w:rsid w:val="00F20293"/>
    <w:rsid w:val="00F20323"/>
    <w:rsid w:val="00F203E2"/>
    <w:rsid w:val="00F206E1"/>
    <w:rsid w:val="00F2080B"/>
    <w:rsid w:val="00F2147C"/>
    <w:rsid w:val="00F21956"/>
    <w:rsid w:val="00F21FD9"/>
    <w:rsid w:val="00F2234C"/>
    <w:rsid w:val="00F223C3"/>
    <w:rsid w:val="00F22669"/>
    <w:rsid w:val="00F23316"/>
    <w:rsid w:val="00F23350"/>
    <w:rsid w:val="00F23763"/>
    <w:rsid w:val="00F240A1"/>
    <w:rsid w:val="00F246C4"/>
    <w:rsid w:val="00F24B3D"/>
    <w:rsid w:val="00F24C76"/>
    <w:rsid w:val="00F24E7F"/>
    <w:rsid w:val="00F24F41"/>
    <w:rsid w:val="00F24FBA"/>
    <w:rsid w:val="00F251CB"/>
    <w:rsid w:val="00F257C0"/>
    <w:rsid w:val="00F25AE4"/>
    <w:rsid w:val="00F25B61"/>
    <w:rsid w:val="00F25FC6"/>
    <w:rsid w:val="00F2641D"/>
    <w:rsid w:val="00F26915"/>
    <w:rsid w:val="00F26DD7"/>
    <w:rsid w:val="00F274FA"/>
    <w:rsid w:val="00F2776B"/>
    <w:rsid w:val="00F27C1E"/>
    <w:rsid w:val="00F300A5"/>
    <w:rsid w:val="00F30464"/>
    <w:rsid w:val="00F308E6"/>
    <w:rsid w:val="00F30CBF"/>
    <w:rsid w:val="00F30FF0"/>
    <w:rsid w:val="00F312CC"/>
    <w:rsid w:val="00F31E15"/>
    <w:rsid w:val="00F32C52"/>
    <w:rsid w:val="00F3304D"/>
    <w:rsid w:val="00F333A5"/>
    <w:rsid w:val="00F33BC6"/>
    <w:rsid w:val="00F34028"/>
    <w:rsid w:val="00F3405F"/>
    <w:rsid w:val="00F3410F"/>
    <w:rsid w:val="00F3457B"/>
    <w:rsid w:val="00F3463D"/>
    <w:rsid w:val="00F34709"/>
    <w:rsid w:val="00F350A9"/>
    <w:rsid w:val="00F36531"/>
    <w:rsid w:val="00F372C9"/>
    <w:rsid w:val="00F4005E"/>
    <w:rsid w:val="00F403F4"/>
    <w:rsid w:val="00F4042F"/>
    <w:rsid w:val="00F40D47"/>
    <w:rsid w:val="00F410E5"/>
    <w:rsid w:val="00F410FB"/>
    <w:rsid w:val="00F41621"/>
    <w:rsid w:val="00F4187B"/>
    <w:rsid w:val="00F42447"/>
    <w:rsid w:val="00F427E8"/>
    <w:rsid w:val="00F428F2"/>
    <w:rsid w:val="00F42DFA"/>
    <w:rsid w:val="00F431D1"/>
    <w:rsid w:val="00F43AD0"/>
    <w:rsid w:val="00F43ADF"/>
    <w:rsid w:val="00F44C6C"/>
    <w:rsid w:val="00F44CB8"/>
    <w:rsid w:val="00F44EE9"/>
    <w:rsid w:val="00F44FE7"/>
    <w:rsid w:val="00F45025"/>
    <w:rsid w:val="00F4531A"/>
    <w:rsid w:val="00F45B3F"/>
    <w:rsid w:val="00F45CE7"/>
    <w:rsid w:val="00F45D1A"/>
    <w:rsid w:val="00F467B1"/>
    <w:rsid w:val="00F46F35"/>
    <w:rsid w:val="00F46FDB"/>
    <w:rsid w:val="00F47195"/>
    <w:rsid w:val="00F471AB"/>
    <w:rsid w:val="00F5008F"/>
    <w:rsid w:val="00F5025C"/>
    <w:rsid w:val="00F50784"/>
    <w:rsid w:val="00F5146F"/>
    <w:rsid w:val="00F51BB8"/>
    <w:rsid w:val="00F523DA"/>
    <w:rsid w:val="00F525B3"/>
    <w:rsid w:val="00F52CDF"/>
    <w:rsid w:val="00F52DA7"/>
    <w:rsid w:val="00F531CC"/>
    <w:rsid w:val="00F53E1A"/>
    <w:rsid w:val="00F554B3"/>
    <w:rsid w:val="00F56387"/>
    <w:rsid w:val="00F5642E"/>
    <w:rsid w:val="00F56D15"/>
    <w:rsid w:val="00F572B6"/>
    <w:rsid w:val="00F57A16"/>
    <w:rsid w:val="00F600F3"/>
    <w:rsid w:val="00F6022E"/>
    <w:rsid w:val="00F60E80"/>
    <w:rsid w:val="00F610D7"/>
    <w:rsid w:val="00F6124A"/>
    <w:rsid w:val="00F6126D"/>
    <w:rsid w:val="00F61272"/>
    <w:rsid w:val="00F61ACD"/>
    <w:rsid w:val="00F61B48"/>
    <w:rsid w:val="00F627FF"/>
    <w:rsid w:val="00F62C75"/>
    <w:rsid w:val="00F62CEE"/>
    <w:rsid w:val="00F62F0B"/>
    <w:rsid w:val="00F6417D"/>
    <w:rsid w:val="00F643F0"/>
    <w:rsid w:val="00F645BB"/>
    <w:rsid w:val="00F6464B"/>
    <w:rsid w:val="00F64E62"/>
    <w:rsid w:val="00F65C45"/>
    <w:rsid w:val="00F664D6"/>
    <w:rsid w:val="00F671F5"/>
    <w:rsid w:val="00F67797"/>
    <w:rsid w:val="00F67B05"/>
    <w:rsid w:val="00F67C0C"/>
    <w:rsid w:val="00F703A1"/>
    <w:rsid w:val="00F7064C"/>
    <w:rsid w:val="00F7161D"/>
    <w:rsid w:val="00F717BD"/>
    <w:rsid w:val="00F71D8B"/>
    <w:rsid w:val="00F724E6"/>
    <w:rsid w:val="00F73979"/>
    <w:rsid w:val="00F73D17"/>
    <w:rsid w:val="00F74CFA"/>
    <w:rsid w:val="00F75055"/>
    <w:rsid w:val="00F75405"/>
    <w:rsid w:val="00F7548A"/>
    <w:rsid w:val="00F75594"/>
    <w:rsid w:val="00F76339"/>
    <w:rsid w:val="00F76B79"/>
    <w:rsid w:val="00F7730F"/>
    <w:rsid w:val="00F776A4"/>
    <w:rsid w:val="00F77F38"/>
    <w:rsid w:val="00F8080C"/>
    <w:rsid w:val="00F80868"/>
    <w:rsid w:val="00F80FAD"/>
    <w:rsid w:val="00F8130A"/>
    <w:rsid w:val="00F8138E"/>
    <w:rsid w:val="00F81DAF"/>
    <w:rsid w:val="00F820BF"/>
    <w:rsid w:val="00F824FF"/>
    <w:rsid w:val="00F8273B"/>
    <w:rsid w:val="00F82BF9"/>
    <w:rsid w:val="00F82CBE"/>
    <w:rsid w:val="00F83FCA"/>
    <w:rsid w:val="00F8419D"/>
    <w:rsid w:val="00F844F8"/>
    <w:rsid w:val="00F84753"/>
    <w:rsid w:val="00F84B93"/>
    <w:rsid w:val="00F855B3"/>
    <w:rsid w:val="00F85662"/>
    <w:rsid w:val="00F85BB6"/>
    <w:rsid w:val="00F85C20"/>
    <w:rsid w:val="00F85C73"/>
    <w:rsid w:val="00F86245"/>
    <w:rsid w:val="00F86686"/>
    <w:rsid w:val="00F86F4F"/>
    <w:rsid w:val="00F8775F"/>
    <w:rsid w:val="00F877D0"/>
    <w:rsid w:val="00F87BBF"/>
    <w:rsid w:val="00F905CB"/>
    <w:rsid w:val="00F908BC"/>
    <w:rsid w:val="00F90CC4"/>
    <w:rsid w:val="00F90E31"/>
    <w:rsid w:val="00F90F4E"/>
    <w:rsid w:val="00F91B02"/>
    <w:rsid w:val="00F91BA5"/>
    <w:rsid w:val="00F91BDC"/>
    <w:rsid w:val="00F91D25"/>
    <w:rsid w:val="00F92138"/>
    <w:rsid w:val="00F9227B"/>
    <w:rsid w:val="00F923BE"/>
    <w:rsid w:val="00F92E19"/>
    <w:rsid w:val="00F93227"/>
    <w:rsid w:val="00F93566"/>
    <w:rsid w:val="00F935DA"/>
    <w:rsid w:val="00F93D7A"/>
    <w:rsid w:val="00F94CBA"/>
    <w:rsid w:val="00F954A0"/>
    <w:rsid w:val="00F95686"/>
    <w:rsid w:val="00F95DA8"/>
    <w:rsid w:val="00F96268"/>
    <w:rsid w:val="00F96994"/>
    <w:rsid w:val="00F972EC"/>
    <w:rsid w:val="00F9734C"/>
    <w:rsid w:val="00F97CC0"/>
    <w:rsid w:val="00FA13C9"/>
    <w:rsid w:val="00FA1466"/>
    <w:rsid w:val="00FA1BBC"/>
    <w:rsid w:val="00FA20D0"/>
    <w:rsid w:val="00FA21D2"/>
    <w:rsid w:val="00FA22CE"/>
    <w:rsid w:val="00FA23DC"/>
    <w:rsid w:val="00FA2ADD"/>
    <w:rsid w:val="00FA2BFB"/>
    <w:rsid w:val="00FA3669"/>
    <w:rsid w:val="00FA3746"/>
    <w:rsid w:val="00FA3A79"/>
    <w:rsid w:val="00FA3C6C"/>
    <w:rsid w:val="00FA3FBC"/>
    <w:rsid w:val="00FA48BF"/>
    <w:rsid w:val="00FA4DB3"/>
    <w:rsid w:val="00FA4E14"/>
    <w:rsid w:val="00FA5518"/>
    <w:rsid w:val="00FA5BFB"/>
    <w:rsid w:val="00FA5DDC"/>
    <w:rsid w:val="00FA600C"/>
    <w:rsid w:val="00FA613E"/>
    <w:rsid w:val="00FA616E"/>
    <w:rsid w:val="00FA66D2"/>
    <w:rsid w:val="00FA6E44"/>
    <w:rsid w:val="00FA6F56"/>
    <w:rsid w:val="00FA719B"/>
    <w:rsid w:val="00FA7547"/>
    <w:rsid w:val="00FA7D12"/>
    <w:rsid w:val="00FA7DA2"/>
    <w:rsid w:val="00FB0424"/>
    <w:rsid w:val="00FB094C"/>
    <w:rsid w:val="00FB12B9"/>
    <w:rsid w:val="00FB2A69"/>
    <w:rsid w:val="00FB3B24"/>
    <w:rsid w:val="00FB41DF"/>
    <w:rsid w:val="00FB45A7"/>
    <w:rsid w:val="00FB46AB"/>
    <w:rsid w:val="00FB4906"/>
    <w:rsid w:val="00FB4A0C"/>
    <w:rsid w:val="00FB5C66"/>
    <w:rsid w:val="00FB60A7"/>
    <w:rsid w:val="00FB668A"/>
    <w:rsid w:val="00FB75AB"/>
    <w:rsid w:val="00FB7674"/>
    <w:rsid w:val="00FC0E03"/>
    <w:rsid w:val="00FC10E5"/>
    <w:rsid w:val="00FC118E"/>
    <w:rsid w:val="00FC17B1"/>
    <w:rsid w:val="00FC1F26"/>
    <w:rsid w:val="00FC2140"/>
    <w:rsid w:val="00FC21BC"/>
    <w:rsid w:val="00FC2469"/>
    <w:rsid w:val="00FC2F12"/>
    <w:rsid w:val="00FC343C"/>
    <w:rsid w:val="00FC3942"/>
    <w:rsid w:val="00FC3A6F"/>
    <w:rsid w:val="00FC3ADE"/>
    <w:rsid w:val="00FC426A"/>
    <w:rsid w:val="00FC4950"/>
    <w:rsid w:val="00FC4B3D"/>
    <w:rsid w:val="00FC4E5D"/>
    <w:rsid w:val="00FC5507"/>
    <w:rsid w:val="00FC60A7"/>
    <w:rsid w:val="00FC622A"/>
    <w:rsid w:val="00FC6F49"/>
    <w:rsid w:val="00FC6FD8"/>
    <w:rsid w:val="00FC7727"/>
    <w:rsid w:val="00FD0546"/>
    <w:rsid w:val="00FD0628"/>
    <w:rsid w:val="00FD0926"/>
    <w:rsid w:val="00FD1554"/>
    <w:rsid w:val="00FD19CE"/>
    <w:rsid w:val="00FD1FDF"/>
    <w:rsid w:val="00FD2ABB"/>
    <w:rsid w:val="00FD2D65"/>
    <w:rsid w:val="00FD2EC7"/>
    <w:rsid w:val="00FD35AB"/>
    <w:rsid w:val="00FD3657"/>
    <w:rsid w:val="00FD49C1"/>
    <w:rsid w:val="00FD63F3"/>
    <w:rsid w:val="00FD66CD"/>
    <w:rsid w:val="00FD6752"/>
    <w:rsid w:val="00FD684D"/>
    <w:rsid w:val="00FD732C"/>
    <w:rsid w:val="00FD79D9"/>
    <w:rsid w:val="00FD7BE8"/>
    <w:rsid w:val="00FE0E43"/>
    <w:rsid w:val="00FE1073"/>
    <w:rsid w:val="00FE1475"/>
    <w:rsid w:val="00FE1FD5"/>
    <w:rsid w:val="00FE211B"/>
    <w:rsid w:val="00FE2A06"/>
    <w:rsid w:val="00FE32D6"/>
    <w:rsid w:val="00FE4695"/>
    <w:rsid w:val="00FE4B23"/>
    <w:rsid w:val="00FE4CDC"/>
    <w:rsid w:val="00FE524C"/>
    <w:rsid w:val="00FE5578"/>
    <w:rsid w:val="00FE56AC"/>
    <w:rsid w:val="00FE625F"/>
    <w:rsid w:val="00FE64B4"/>
    <w:rsid w:val="00FE7FE8"/>
    <w:rsid w:val="00FF0104"/>
    <w:rsid w:val="00FF1006"/>
    <w:rsid w:val="00FF1193"/>
    <w:rsid w:val="00FF1B34"/>
    <w:rsid w:val="00FF2039"/>
    <w:rsid w:val="00FF2133"/>
    <w:rsid w:val="00FF234E"/>
    <w:rsid w:val="00FF2B1C"/>
    <w:rsid w:val="00FF30C2"/>
    <w:rsid w:val="00FF31BB"/>
    <w:rsid w:val="00FF367E"/>
    <w:rsid w:val="00FF3999"/>
    <w:rsid w:val="00FF3D00"/>
    <w:rsid w:val="00FF3F0A"/>
    <w:rsid w:val="00FF4945"/>
    <w:rsid w:val="00FF590A"/>
    <w:rsid w:val="00FF621B"/>
    <w:rsid w:val="00FF6452"/>
    <w:rsid w:val="00FF6AE1"/>
    <w:rsid w:val="00FF6B0A"/>
    <w:rsid w:val="00FF7159"/>
    <w:rsid w:val="00FF7232"/>
    <w:rsid w:val="00FF7888"/>
    <w:rsid w:val="00FF7ADF"/>
    <w:rsid w:val="01010408"/>
    <w:rsid w:val="010D1B04"/>
    <w:rsid w:val="01182E5E"/>
    <w:rsid w:val="014E1D9C"/>
    <w:rsid w:val="014E74CE"/>
    <w:rsid w:val="01A44E05"/>
    <w:rsid w:val="01C950CF"/>
    <w:rsid w:val="01D0713D"/>
    <w:rsid w:val="01E2096B"/>
    <w:rsid w:val="020948F0"/>
    <w:rsid w:val="022A41BD"/>
    <w:rsid w:val="022A726D"/>
    <w:rsid w:val="02400466"/>
    <w:rsid w:val="0240076B"/>
    <w:rsid w:val="02592ED3"/>
    <w:rsid w:val="027235C6"/>
    <w:rsid w:val="02734792"/>
    <w:rsid w:val="028A6A7F"/>
    <w:rsid w:val="028F4A0E"/>
    <w:rsid w:val="02BD5424"/>
    <w:rsid w:val="02C372DA"/>
    <w:rsid w:val="02D2752A"/>
    <w:rsid w:val="02E306BB"/>
    <w:rsid w:val="031F7BD4"/>
    <w:rsid w:val="033E3951"/>
    <w:rsid w:val="0376146E"/>
    <w:rsid w:val="03A24B3D"/>
    <w:rsid w:val="03BF4015"/>
    <w:rsid w:val="03CB4DA1"/>
    <w:rsid w:val="03CC5E9B"/>
    <w:rsid w:val="03F60609"/>
    <w:rsid w:val="0406315B"/>
    <w:rsid w:val="04152C7F"/>
    <w:rsid w:val="04157D27"/>
    <w:rsid w:val="042428BE"/>
    <w:rsid w:val="0457632B"/>
    <w:rsid w:val="047B5B78"/>
    <w:rsid w:val="048E2D7E"/>
    <w:rsid w:val="04961737"/>
    <w:rsid w:val="04A266D7"/>
    <w:rsid w:val="04A94609"/>
    <w:rsid w:val="04AB79F6"/>
    <w:rsid w:val="04AC3195"/>
    <w:rsid w:val="04F72AA5"/>
    <w:rsid w:val="04FA2030"/>
    <w:rsid w:val="05005AEC"/>
    <w:rsid w:val="053B19B8"/>
    <w:rsid w:val="056C0F61"/>
    <w:rsid w:val="056F2664"/>
    <w:rsid w:val="058E5378"/>
    <w:rsid w:val="05B51880"/>
    <w:rsid w:val="05BE746C"/>
    <w:rsid w:val="05EB2576"/>
    <w:rsid w:val="05ED4C45"/>
    <w:rsid w:val="0602632F"/>
    <w:rsid w:val="06090B04"/>
    <w:rsid w:val="06177710"/>
    <w:rsid w:val="062D7A9E"/>
    <w:rsid w:val="06645407"/>
    <w:rsid w:val="06982D53"/>
    <w:rsid w:val="06A7361C"/>
    <w:rsid w:val="06B111DE"/>
    <w:rsid w:val="06C13682"/>
    <w:rsid w:val="07106873"/>
    <w:rsid w:val="07190AB8"/>
    <w:rsid w:val="07547E58"/>
    <w:rsid w:val="07683F41"/>
    <w:rsid w:val="07796893"/>
    <w:rsid w:val="07A85DEA"/>
    <w:rsid w:val="07AC1341"/>
    <w:rsid w:val="07AE2415"/>
    <w:rsid w:val="07CB2743"/>
    <w:rsid w:val="08313CE6"/>
    <w:rsid w:val="08345A39"/>
    <w:rsid w:val="08C72DD2"/>
    <w:rsid w:val="094952B9"/>
    <w:rsid w:val="0985356F"/>
    <w:rsid w:val="09CB3C76"/>
    <w:rsid w:val="09D22855"/>
    <w:rsid w:val="0A0645AE"/>
    <w:rsid w:val="0A07110A"/>
    <w:rsid w:val="0A181BE2"/>
    <w:rsid w:val="0A1C72DC"/>
    <w:rsid w:val="0A2D04B6"/>
    <w:rsid w:val="0A380E25"/>
    <w:rsid w:val="0A3A5298"/>
    <w:rsid w:val="0A715EB2"/>
    <w:rsid w:val="0A871636"/>
    <w:rsid w:val="0A9457B6"/>
    <w:rsid w:val="0ABB6AD4"/>
    <w:rsid w:val="0AC83B84"/>
    <w:rsid w:val="0AD72BEA"/>
    <w:rsid w:val="0ADE34B6"/>
    <w:rsid w:val="0B1227DE"/>
    <w:rsid w:val="0B223116"/>
    <w:rsid w:val="0B302FFB"/>
    <w:rsid w:val="0B5D3A8D"/>
    <w:rsid w:val="0B6939EF"/>
    <w:rsid w:val="0B705727"/>
    <w:rsid w:val="0B7802A7"/>
    <w:rsid w:val="0B7D412A"/>
    <w:rsid w:val="0B990439"/>
    <w:rsid w:val="0BDA132E"/>
    <w:rsid w:val="0BDB0AD3"/>
    <w:rsid w:val="0BE02F1D"/>
    <w:rsid w:val="0BE74AA2"/>
    <w:rsid w:val="0C0235CF"/>
    <w:rsid w:val="0C421E32"/>
    <w:rsid w:val="0C6D2E47"/>
    <w:rsid w:val="0C70680B"/>
    <w:rsid w:val="0C774C5E"/>
    <w:rsid w:val="0CAA3477"/>
    <w:rsid w:val="0CB40335"/>
    <w:rsid w:val="0CB645CC"/>
    <w:rsid w:val="0CBF0AF4"/>
    <w:rsid w:val="0CD13630"/>
    <w:rsid w:val="0CE93CA7"/>
    <w:rsid w:val="0D1651BC"/>
    <w:rsid w:val="0D391E83"/>
    <w:rsid w:val="0D5B5533"/>
    <w:rsid w:val="0D630173"/>
    <w:rsid w:val="0D735E74"/>
    <w:rsid w:val="0DD73809"/>
    <w:rsid w:val="0DDD2C05"/>
    <w:rsid w:val="0E012A71"/>
    <w:rsid w:val="0E7406FE"/>
    <w:rsid w:val="0E93368C"/>
    <w:rsid w:val="0EC73979"/>
    <w:rsid w:val="0ECA47C9"/>
    <w:rsid w:val="0EFC06C6"/>
    <w:rsid w:val="0F362943"/>
    <w:rsid w:val="0F3763E8"/>
    <w:rsid w:val="0F3966E9"/>
    <w:rsid w:val="0F3B1476"/>
    <w:rsid w:val="0F465E8A"/>
    <w:rsid w:val="0F46796D"/>
    <w:rsid w:val="0F8B3FA3"/>
    <w:rsid w:val="0F952A90"/>
    <w:rsid w:val="0FAA0772"/>
    <w:rsid w:val="0FDE7567"/>
    <w:rsid w:val="0FE00754"/>
    <w:rsid w:val="0FEC65BB"/>
    <w:rsid w:val="10375562"/>
    <w:rsid w:val="1066352A"/>
    <w:rsid w:val="1093704A"/>
    <w:rsid w:val="109D405D"/>
    <w:rsid w:val="10CE5DDE"/>
    <w:rsid w:val="10DF60E9"/>
    <w:rsid w:val="10E41F09"/>
    <w:rsid w:val="112A0357"/>
    <w:rsid w:val="112F5B47"/>
    <w:rsid w:val="114A4AB8"/>
    <w:rsid w:val="11640B4C"/>
    <w:rsid w:val="11797D1A"/>
    <w:rsid w:val="119E2BBE"/>
    <w:rsid w:val="11B562C6"/>
    <w:rsid w:val="11BC0106"/>
    <w:rsid w:val="1201596E"/>
    <w:rsid w:val="120C60CF"/>
    <w:rsid w:val="12141777"/>
    <w:rsid w:val="121A2F40"/>
    <w:rsid w:val="122F6075"/>
    <w:rsid w:val="126A11B6"/>
    <w:rsid w:val="12A550B6"/>
    <w:rsid w:val="12A829B4"/>
    <w:rsid w:val="12EE5E3F"/>
    <w:rsid w:val="131D6AF2"/>
    <w:rsid w:val="131E47E0"/>
    <w:rsid w:val="13320E81"/>
    <w:rsid w:val="134D3BF6"/>
    <w:rsid w:val="134D624E"/>
    <w:rsid w:val="13795169"/>
    <w:rsid w:val="14005B15"/>
    <w:rsid w:val="14817DCC"/>
    <w:rsid w:val="148717FE"/>
    <w:rsid w:val="149258DF"/>
    <w:rsid w:val="14DE001E"/>
    <w:rsid w:val="14FA5A20"/>
    <w:rsid w:val="151928A2"/>
    <w:rsid w:val="15216FEE"/>
    <w:rsid w:val="15690351"/>
    <w:rsid w:val="156A01E2"/>
    <w:rsid w:val="15B73A91"/>
    <w:rsid w:val="15CE592F"/>
    <w:rsid w:val="15E20CFD"/>
    <w:rsid w:val="15E253FC"/>
    <w:rsid w:val="15F76DBE"/>
    <w:rsid w:val="164527A7"/>
    <w:rsid w:val="165A138C"/>
    <w:rsid w:val="16B27F7B"/>
    <w:rsid w:val="16BC52A1"/>
    <w:rsid w:val="16D1706B"/>
    <w:rsid w:val="16DC1804"/>
    <w:rsid w:val="16DE3C9C"/>
    <w:rsid w:val="16F009B2"/>
    <w:rsid w:val="16F55DB6"/>
    <w:rsid w:val="17156550"/>
    <w:rsid w:val="175D708B"/>
    <w:rsid w:val="176D7BB6"/>
    <w:rsid w:val="178337F7"/>
    <w:rsid w:val="17A24B8B"/>
    <w:rsid w:val="17A92BDF"/>
    <w:rsid w:val="17AE5749"/>
    <w:rsid w:val="17B80C3F"/>
    <w:rsid w:val="17C0020D"/>
    <w:rsid w:val="17D02297"/>
    <w:rsid w:val="17DE319F"/>
    <w:rsid w:val="187E1E39"/>
    <w:rsid w:val="18EC3736"/>
    <w:rsid w:val="18F94ABF"/>
    <w:rsid w:val="19726D47"/>
    <w:rsid w:val="19853E9B"/>
    <w:rsid w:val="19E058D5"/>
    <w:rsid w:val="19EA7EC8"/>
    <w:rsid w:val="1A20037A"/>
    <w:rsid w:val="1A6D6D72"/>
    <w:rsid w:val="1AA555D7"/>
    <w:rsid w:val="1AAC2C9F"/>
    <w:rsid w:val="1AC75043"/>
    <w:rsid w:val="1AD8421D"/>
    <w:rsid w:val="1AF95B35"/>
    <w:rsid w:val="1B3028B8"/>
    <w:rsid w:val="1B442715"/>
    <w:rsid w:val="1BB6118D"/>
    <w:rsid w:val="1BEF07D4"/>
    <w:rsid w:val="1C352D96"/>
    <w:rsid w:val="1C501327"/>
    <w:rsid w:val="1C6D1A0A"/>
    <w:rsid w:val="1C816553"/>
    <w:rsid w:val="1C9020B1"/>
    <w:rsid w:val="1CA532F6"/>
    <w:rsid w:val="1CBD6724"/>
    <w:rsid w:val="1D212D98"/>
    <w:rsid w:val="1D304E6F"/>
    <w:rsid w:val="1D7465DE"/>
    <w:rsid w:val="1D8C48D4"/>
    <w:rsid w:val="1DA10BCC"/>
    <w:rsid w:val="1DA33013"/>
    <w:rsid w:val="1DB4658B"/>
    <w:rsid w:val="1DD16229"/>
    <w:rsid w:val="1DDF0627"/>
    <w:rsid w:val="1E041AD4"/>
    <w:rsid w:val="1E0D490E"/>
    <w:rsid w:val="1E135A4A"/>
    <w:rsid w:val="1E4E28C9"/>
    <w:rsid w:val="1E644840"/>
    <w:rsid w:val="1E6C4797"/>
    <w:rsid w:val="1EA13D71"/>
    <w:rsid w:val="1ED20010"/>
    <w:rsid w:val="1EE81746"/>
    <w:rsid w:val="1F57716E"/>
    <w:rsid w:val="1F912F6A"/>
    <w:rsid w:val="1FE34919"/>
    <w:rsid w:val="1FE66299"/>
    <w:rsid w:val="1FFA06EC"/>
    <w:rsid w:val="20073814"/>
    <w:rsid w:val="200F3E0F"/>
    <w:rsid w:val="20487AD4"/>
    <w:rsid w:val="20550841"/>
    <w:rsid w:val="20D23F3B"/>
    <w:rsid w:val="20E60788"/>
    <w:rsid w:val="20E97A70"/>
    <w:rsid w:val="20FB14A6"/>
    <w:rsid w:val="21212036"/>
    <w:rsid w:val="219E6732"/>
    <w:rsid w:val="21C96383"/>
    <w:rsid w:val="21F17C91"/>
    <w:rsid w:val="21F55AFB"/>
    <w:rsid w:val="21FB6D72"/>
    <w:rsid w:val="22223255"/>
    <w:rsid w:val="222255EE"/>
    <w:rsid w:val="22254252"/>
    <w:rsid w:val="223C0506"/>
    <w:rsid w:val="22A11139"/>
    <w:rsid w:val="22EF0077"/>
    <w:rsid w:val="22FA455C"/>
    <w:rsid w:val="22FA5EFB"/>
    <w:rsid w:val="23400AFA"/>
    <w:rsid w:val="23474117"/>
    <w:rsid w:val="237B40C5"/>
    <w:rsid w:val="238E2EA5"/>
    <w:rsid w:val="23EC2539"/>
    <w:rsid w:val="23FB0D65"/>
    <w:rsid w:val="241039AF"/>
    <w:rsid w:val="24270FD7"/>
    <w:rsid w:val="24471719"/>
    <w:rsid w:val="245B0DC7"/>
    <w:rsid w:val="24762EA3"/>
    <w:rsid w:val="24794225"/>
    <w:rsid w:val="248A1438"/>
    <w:rsid w:val="24952EE9"/>
    <w:rsid w:val="24C65EFF"/>
    <w:rsid w:val="24D3509F"/>
    <w:rsid w:val="24FE575D"/>
    <w:rsid w:val="255D4793"/>
    <w:rsid w:val="2561060F"/>
    <w:rsid w:val="25BC7A80"/>
    <w:rsid w:val="25EB4426"/>
    <w:rsid w:val="25F75A5E"/>
    <w:rsid w:val="26144CAD"/>
    <w:rsid w:val="26292826"/>
    <w:rsid w:val="26531647"/>
    <w:rsid w:val="26B8122D"/>
    <w:rsid w:val="26D37290"/>
    <w:rsid w:val="273E7AAD"/>
    <w:rsid w:val="275814D8"/>
    <w:rsid w:val="276A6DDC"/>
    <w:rsid w:val="276E36CF"/>
    <w:rsid w:val="27715902"/>
    <w:rsid w:val="2773605A"/>
    <w:rsid w:val="27885F04"/>
    <w:rsid w:val="27AF41C0"/>
    <w:rsid w:val="27B96E8B"/>
    <w:rsid w:val="27F82CDF"/>
    <w:rsid w:val="2851008E"/>
    <w:rsid w:val="28BC09DF"/>
    <w:rsid w:val="290121F2"/>
    <w:rsid w:val="291F6159"/>
    <w:rsid w:val="29221527"/>
    <w:rsid w:val="29715599"/>
    <w:rsid w:val="298E5547"/>
    <w:rsid w:val="299A6E75"/>
    <w:rsid w:val="2A14061E"/>
    <w:rsid w:val="2A140BC1"/>
    <w:rsid w:val="2A1700E0"/>
    <w:rsid w:val="2A183790"/>
    <w:rsid w:val="2A9E76C3"/>
    <w:rsid w:val="2AB117A9"/>
    <w:rsid w:val="2AB92320"/>
    <w:rsid w:val="2AE11A00"/>
    <w:rsid w:val="2B3C1862"/>
    <w:rsid w:val="2B4265B2"/>
    <w:rsid w:val="2B4C7E26"/>
    <w:rsid w:val="2B7832F0"/>
    <w:rsid w:val="2BA87956"/>
    <w:rsid w:val="2BAA76C7"/>
    <w:rsid w:val="2BD501A2"/>
    <w:rsid w:val="2C1B330C"/>
    <w:rsid w:val="2C376E65"/>
    <w:rsid w:val="2C597DA9"/>
    <w:rsid w:val="2C5F0588"/>
    <w:rsid w:val="2C69054A"/>
    <w:rsid w:val="2C6C2C3F"/>
    <w:rsid w:val="2C92742C"/>
    <w:rsid w:val="2CD52510"/>
    <w:rsid w:val="2CDB5960"/>
    <w:rsid w:val="2CFC5935"/>
    <w:rsid w:val="2D220523"/>
    <w:rsid w:val="2D2D37E5"/>
    <w:rsid w:val="2D335410"/>
    <w:rsid w:val="2D4841F5"/>
    <w:rsid w:val="2DB9376D"/>
    <w:rsid w:val="2DC55609"/>
    <w:rsid w:val="2DF75DC8"/>
    <w:rsid w:val="2E100B4B"/>
    <w:rsid w:val="2E6D014D"/>
    <w:rsid w:val="2E73512F"/>
    <w:rsid w:val="2E970111"/>
    <w:rsid w:val="2E991530"/>
    <w:rsid w:val="2E9E4BC5"/>
    <w:rsid w:val="2EEE7E52"/>
    <w:rsid w:val="2F2F0026"/>
    <w:rsid w:val="2F3A04E6"/>
    <w:rsid w:val="2F447738"/>
    <w:rsid w:val="2F5C659D"/>
    <w:rsid w:val="2F7776AF"/>
    <w:rsid w:val="2FE80D3A"/>
    <w:rsid w:val="2FEA3A3B"/>
    <w:rsid w:val="300E2888"/>
    <w:rsid w:val="301866A3"/>
    <w:rsid w:val="306B0E0D"/>
    <w:rsid w:val="306B6480"/>
    <w:rsid w:val="30AC0D57"/>
    <w:rsid w:val="30E30461"/>
    <w:rsid w:val="30E768B4"/>
    <w:rsid w:val="31045EFC"/>
    <w:rsid w:val="311F70CC"/>
    <w:rsid w:val="31BD54CB"/>
    <w:rsid w:val="31C34C37"/>
    <w:rsid w:val="31E81126"/>
    <w:rsid w:val="31EE459A"/>
    <w:rsid w:val="320614BC"/>
    <w:rsid w:val="32BD7998"/>
    <w:rsid w:val="32FE451E"/>
    <w:rsid w:val="330357FB"/>
    <w:rsid w:val="33097459"/>
    <w:rsid w:val="332C15EA"/>
    <w:rsid w:val="332D5A6D"/>
    <w:rsid w:val="33A801A0"/>
    <w:rsid w:val="33B907A4"/>
    <w:rsid w:val="33CE1896"/>
    <w:rsid w:val="340034B9"/>
    <w:rsid w:val="3417149F"/>
    <w:rsid w:val="34450838"/>
    <w:rsid w:val="34646C1D"/>
    <w:rsid w:val="346717AC"/>
    <w:rsid w:val="3484598E"/>
    <w:rsid w:val="34AA14EA"/>
    <w:rsid w:val="34F54209"/>
    <w:rsid w:val="350D5FDF"/>
    <w:rsid w:val="353C7B57"/>
    <w:rsid w:val="35773495"/>
    <w:rsid w:val="357B256B"/>
    <w:rsid w:val="35B52124"/>
    <w:rsid w:val="35B853A4"/>
    <w:rsid w:val="35CC2E86"/>
    <w:rsid w:val="35EB5C2E"/>
    <w:rsid w:val="35FE393A"/>
    <w:rsid w:val="3622085A"/>
    <w:rsid w:val="36776E8E"/>
    <w:rsid w:val="367B1666"/>
    <w:rsid w:val="36802507"/>
    <w:rsid w:val="368C0E49"/>
    <w:rsid w:val="36E62CF6"/>
    <w:rsid w:val="36FF5FD0"/>
    <w:rsid w:val="37021A10"/>
    <w:rsid w:val="372D1B10"/>
    <w:rsid w:val="376110AC"/>
    <w:rsid w:val="378A674E"/>
    <w:rsid w:val="37C151AF"/>
    <w:rsid w:val="37D95811"/>
    <w:rsid w:val="37E10504"/>
    <w:rsid w:val="380648BE"/>
    <w:rsid w:val="38622589"/>
    <w:rsid w:val="38631B69"/>
    <w:rsid w:val="38C05D05"/>
    <w:rsid w:val="38E450B7"/>
    <w:rsid w:val="39046F02"/>
    <w:rsid w:val="396633A6"/>
    <w:rsid w:val="39BA679D"/>
    <w:rsid w:val="39C83AA7"/>
    <w:rsid w:val="39F60BE3"/>
    <w:rsid w:val="3A212AF0"/>
    <w:rsid w:val="3A4D7445"/>
    <w:rsid w:val="3A561869"/>
    <w:rsid w:val="3A5B1D66"/>
    <w:rsid w:val="3A7D2FD1"/>
    <w:rsid w:val="3AAB7A6C"/>
    <w:rsid w:val="3AAD1165"/>
    <w:rsid w:val="3AAE63F8"/>
    <w:rsid w:val="3AC40926"/>
    <w:rsid w:val="3B5D177B"/>
    <w:rsid w:val="3B801765"/>
    <w:rsid w:val="3BAE1E3E"/>
    <w:rsid w:val="3BE7043B"/>
    <w:rsid w:val="3C0F2261"/>
    <w:rsid w:val="3C1122D3"/>
    <w:rsid w:val="3C1D0ED3"/>
    <w:rsid w:val="3C2238EA"/>
    <w:rsid w:val="3C5255AE"/>
    <w:rsid w:val="3C552759"/>
    <w:rsid w:val="3C8B3CCA"/>
    <w:rsid w:val="3CB81FDC"/>
    <w:rsid w:val="3CBB7432"/>
    <w:rsid w:val="3D9D5126"/>
    <w:rsid w:val="3DA829B8"/>
    <w:rsid w:val="3DE95BB2"/>
    <w:rsid w:val="3E05537C"/>
    <w:rsid w:val="3E065B07"/>
    <w:rsid w:val="3E483E0D"/>
    <w:rsid w:val="3E6A7128"/>
    <w:rsid w:val="3E702AE1"/>
    <w:rsid w:val="3E897D02"/>
    <w:rsid w:val="3EDD4B9B"/>
    <w:rsid w:val="3EF86C35"/>
    <w:rsid w:val="3EFA165E"/>
    <w:rsid w:val="3F107813"/>
    <w:rsid w:val="3F7F3C24"/>
    <w:rsid w:val="3FBD23C4"/>
    <w:rsid w:val="3FC01028"/>
    <w:rsid w:val="3FD24D96"/>
    <w:rsid w:val="400566FC"/>
    <w:rsid w:val="402D3A71"/>
    <w:rsid w:val="405A2D7A"/>
    <w:rsid w:val="4094568C"/>
    <w:rsid w:val="40A0193A"/>
    <w:rsid w:val="40BE1C67"/>
    <w:rsid w:val="41073DB4"/>
    <w:rsid w:val="413D5105"/>
    <w:rsid w:val="415C494F"/>
    <w:rsid w:val="415C62C2"/>
    <w:rsid w:val="41840D6B"/>
    <w:rsid w:val="41865404"/>
    <w:rsid w:val="419F3310"/>
    <w:rsid w:val="41F801F1"/>
    <w:rsid w:val="420C1254"/>
    <w:rsid w:val="420E4AFC"/>
    <w:rsid w:val="42676199"/>
    <w:rsid w:val="429C1214"/>
    <w:rsid w:val="429E5B86"/>
    <w:rsid w:val="42C425AF"/>
    <w:rsid w:val="42C574B9"/>
    <w:rsid w:val="42D41217"/>
    <w:rsid w:val="42F02111"/>
    <w:rsid w:val="43031CC9"/>
    <w:rsid w:val="43323CDF"/>
    <w:rsid w:val="43510168"/>
    <w:rsid w:val="43555EFA"/>
    <w:rsid w:val="43575CFF"/>
    <w:rsid w:val="435B075F"/>
    <w:rsid w:val="437B74A7"/>
    <w:rsid w:val="43BF14BB"/>
    <w:rsid w:val="43E225F0"/>
    <w:rsid w:val="43FA1B29"/>
    <w:rsid w:val="44156C3B"/>
    <w:rsid w:val="44624AA1"/>
    <w:rsid w:val="44C00711"/>
    <w:rsid w:val="44D76F56"/>
    <w:rsid w:val="44E440AB"/>
    <w:rsid w:val="44EB1C9C"/>
    <w:rsid w:val="45276294"/>
    <w:rsid w:val="452B6A14"/>
    <w:rsid w:val="455C0FBA"/>
    <w:rsid w:val="457C66D7"/>
    <w:rsid w:val="45875DC3"/>
    <w:rsid w:val="45AF0EAA"/>
    <w:rsid w:val="45BF119E"/>
    <w:rsid w:val="45C142B9"/>
    <w:rsid w:val="45C33064"/>
    <w:rsid w:val="45FE74CC"/>
    <w:rsid w:val="46042D87"/>
    <w:rsid w:val="46253BFF"/>
    <w:rsid w:val="46394548"/>
    <w:rsid w:val="466971E8"/>
    <w:rsid w:val="46B15DD6"/>
    <w:rsid w:val="46D52CEC"/>
    <w:rsid w:val="46D5581E"/>
    <w:rsid w:val="47105E2E"/>
    <w:rsid w:val="471C4450"/>
    <w:rsid w:val="4733065F"/>
    <w:rsid w:val="473A4323"/>
    <w:rsid w:val="479F20DF"/>
    <w:rsid w:val="47A2223C"/>
    <w:rsid w:val="47C842D9"/>
    <w:rsid w:val="47CA7BE2"/>
    <w:rsid w:val="47D64298"/>
    <w:rsid w:val="480D5F98"/>
    <w:rsid w:val="488C6465"/>
    <w:rsid w:val="48A76EC3"/>
    <w:rsid w:val="48E24A2D"/>
    <w:rsid w:val="49050671"/>
    <w:rsid w:val="49303ABF"/>
    <w:rsid w:val="495E2713"/>
    <w:rsid w:val="495F4CF7"/>
    <w:rsid w:val="4961179E"/>
    <w:rsid w:val="49627253"/>
    <w:rsid w:val="496D27B9"/>
    <w:rsid w:val="49A3023C"/>
    <w:rsid w:val="49AA4ED1"/>
    <w:rsid w:val="49B403C9"/>
    <w:rsid w:val="49D3294D"/>
    <w:rsid w:val="49D539BF"/>
    <w:rsid w:val="4A7E0248"/>
    <w:rsid w:val="4A897CBA"/>
    <w:rsid w:val="4AB96246"/>
    <w:rsid w:val="4AE40761"/>
    <w:rsid w:val="4B1C3B3E"/>
    <w:rsid w:val="4B2041FF"/>
    <w:rsid w:val="4B4D0D17"/>
    <w:rsid w:val="4B5D0F92"/>
    <w:rsid w:val="4B665795"/>
    <w:rsid w:val="4BA61FD0"/>
    <w:rsid w:val="4BB83589"/>
    <w:rsid w:val="4C011DC3"/>
    <w:rsid w:val="4C820041"/>
    <w:rsid w:val="4C8A3F5F"/>
    <w:rsid w:val="4CC6078A"/>
    <w:rsid w:val="4CCC6ED9"/>
    <w:rsid w:val="4CF42446"/>
    <w:rsid w:val="4D441E7A"/>
    <w:rsid w:val="4D4F4C0B"/>
    <w:rsid w:val="4DC4703C"/>
    <w:rsid w:val="4E122F4D"/>
    <w:rsid w:val="4E142D8E"/>
    <w:rsid w:val="4E495A30"/>
    <w:rsid w:val="4E7C2C94"/>
    <w:rsid w:val="4E90653B"/>
    <w:rsid w:val="4E9C0379"/>
    <w:rsid w:val="4EF47AB5"/>
    <w:rsid w:val="4F71175C"/>
    <w:rsid w:val="4F770BFB"/>
    <w:rsid w:val="4F7F03FE"/>
    <w:rsid w:val="4F807D78"/>
    <w:rsid w:val="4F9428EE"/>
    <w:rsid w:val="4FA631E9"/>
    <w:rsid w:val="5016761C"/>
    <w:rsid w:val="50232B63"/>
    <w:rsid w:val="50240C16"/>
    <w:rsid w:val="503F4DC3"/>
    <w:rsid w:val="509B2C09"/>
    <w:rsid w:val="50A55B0B"/>
    <w:rsid w:val="50A744DD"/>
    <w:rsid w:val="50E420FC"/>
    <w:rsid w:val="50E97F21"/>
    <w:rsid w:val="51322CE6"/>
    <w:rsid w:val="52054E78"/>
    <w:rsid w:val="520E2C38"/>
    <w:rsid w:val="521124B9"/>
    <w:rsid w:val="5224116C"/>
    <w:rsid w:val="522559E0"/>
    <w:rsid w:val="523670E9"/>
    <w:rsid w:val="5241641A"/>
    <w:rsid w:val="525E1BD5"/>
    <w:rsid w:val="52A772D3"/>
    <w:rsid w:val="52BB49E4"/>
    <w:rsid w:val="52C81848"/>
    <w:rsid w:val="52E034C9"/>
    <w:rsid w:val="533E0993"/>
    <w:rsid w:val="535575A3"/>
    <w:rsid w:val="536B2EAE"/>
    <w:rsid w:val="536E1662"/>
    <w:rsid w:val="53DF5BDE"/>
    <w:rsid w:val="54024997"/>
    <w:rsid w:val="54186F2E"/>
    <w:rsid w:val="54B40BFC"/>
    <w:rsid w:val="54BD480F"/>
    <w:rsid w:val="54C324AA"/>
    <w:rsid w:val="55015561"/>
    <w:rsid w:val="550E5443"/>
    <w:rsid w:val="5518034C"/>
    <w:rsid w:val="55647361"/>
    <w:rsid w:val="55721EB7"/>
    <w:rsid w:val="558233A3"/>
    <w:rsid w:val="559D209C"/>
    <w:rsid w:val="55C33EE3"/>
    <w:rsid w:val="55D34926"/>
    <w:rsid w:val="55F062E2"/>
    <w:rsid w:val="55F66530"/>
    <w:rsid w:val="562447C1"/>
    <w:rsid w:val="56262467"/>
    <w:rsid w:val="568C0A9C"/>
    <w:rsid w:val="56A47E66"/>
    <w:rsid w:val="56CC2716"/>
    <w:rsid w:val="56EF77B0"/>
    <w:rsid w:val="57374C02"/>
    <w:rsid w:val="574F3070"/>
    <w:rsid w:val="57AA18CB"/>
    <w:rsid w:val="580207BF"/>
    <w:rsid w:val="58847305"/>
    <w:rsid w:val="588C69A8"/>
    <w:rsid w:val="58B87AAF"/>
    <w:rsid w:val="58BF260F"/>
    <w:rsid w:val="58BF2F0F"/>
    <w:rsid w:val="58C22A31"/>
    <w:rsid w:val="58D63E2A"/>
    <w:rsid w:val="58DB21D7"/>
    <w:rsid w:val="58F2040A"/>
    <w:rsid w:val="58F60867"/>
    <w:rsid w:val="58FC3680"/>
    <w:rsid w:val="59103953"/>
    <w:rsid w:val="592D3E5F"/>
    <w:rsid w:val="594D1D71"/>
    <w:rsid w:val="596826C0"/>
    <w:rsid w:val="5976519C"/>
    <w:rsid w:val="59A55F1D"/>
    <w:rsid w:val="59B80FE9"/>
    <w:rsid w:val="59D071CA"/>
    <w:rsid w:val="5A056863"/>
    <w:rsid w:val="5A434513"/>
    <w:rsid w:val="5A740FFE"/>
    <w:rsid w:val="5A9B6844"/>
    <w:rsid w:val="5AB47149"/>
    <w:rsid w:val="5AC1789F"/>
    <w:rsid w:val="5ADB55DF"/>
    <w:rsid w:val="5AF515D2"/>
    <w:rsid w:val="5B2818C3"/>
    <w:rsid w:val="5B585235"/>
    <w:rsid w:val="5B612BEC"/>
    <w:rsid w:val="5BBE3DA0"/>
    <w:rsid w:val="5BC47FED"/>
    <w:rsid w:val="5BD65D9F"/>
    <w:rsid w:val="5C0133FF"/>
    <w:rsid w:val="5C127EED"/>
    <w:rsid w:val="5C201049"/>
    <w:rsid w:val="5C2124F6"/>
    <w:rsid w:val="5C431149"/>
    <w:rsid w:val="5C796FAE"/>
    <w:rsid w:val="5C870BF8"/>
    <w:rsid w:val="5C873C0F"/>
    <w:rsid w:val="5CA21011"/>
    <w:rsid w:val="5CAA48C8"/>
    <w:rsid w:val="5CB47B23"/>
    <w:rsid w:val="5CFA027E"/>
    <w:rsid w:val="5D8A1162"/>
    <w:rsid w:val="5D9668F4"/>
    <w:rsid w:val="5DA80048"/>
    <w:rsid w:val="5DD922ED"/>
    <w:rsid w:val="5DF32C77"/>
    <w:rsid w:val="5E143A01"/>
    <w:rsid w:val="5E291811"/>
    <w:rsid w:val="5E4E2CBB"/>
    <w:rsid w:val="5E6F6CBD"/>
    <w:rsid w:val="5F4277AE"/>
    <w:rsid w:val="5F5C3CE8"/>
    <w:rsid w:val="5F765701"/>
    <w:rsid w:val="5FA16E94"/>
    <w:rsid w:val="5FC27382"/>
    <w:rsid w:val="5FE02363"/>
    <w:rsid w:val="5FF6746B"/>
    <w:rsid w:val="605D1C94"/>
    <w:rsid w:val="60EC7F79"/>
    <w:rsid w:val="611A2DA3"/>
    <w:rsid w:val="61364320"/>
    <w:rsid w:val="616F7D4D"/>
    <w:rsid w:val="61835216"/>
    <w:rsid w:val="61921296"/>
    <w:rsid w:val="61F05C05"/>
    <w:rsid w:val="62191EEF"/>
    <w:rsid w:val="621D402A"/>
    <w:rsid w:val="62346DBA"/>
    <w:rsid w:val="624A06B2"/>
    <w:rsid w:val="624C13C6"/>
    <w:rsid w:val="62545E86"/>
    <w:rsid w:val="626968A7"/>
    <w:rsid w:val="626C14C9"/>
    <w:rsid w:val="62AC796E"/>
    <w:rsid w:val="62CA3FF8"/>
    <w:rsid w:val="62F52A87"/>
    <w:rsid w:val="63045904"/>
    <w:rsid w:val="63326EB6"/>
    <w:rsid w:val="634537AD"/>
    <w:rsid w:val="634B7515"/>
    <w:rsid w:val="6364343A"/>
    <w:rsid w:val="636649C5"/>
    <w:rsid w:val="637165B6"/>
    <w:rsid w:val="63860667"/>
    <w:rsid w:val="63AE1E4F"/>
    <w:rsid w:val="63B05CF6"/>
    <w:rsid w:val="63E844B2"/>
    <w:rsid w:val="641B72EC"/>
    <w:rsid w:val="641E5201"/>
    <w:rsid w:val="646209B0"/>
    <w:rsid w:val="64661DD2"/>
    <w:rsid w:val="64A30443"/>
    <w:rsid w:val="64BB0AC7"/>
    <w:rsid w:val="653933D8"/>
    <w:rsid w:val="653C1ED6"/>
    <w:rsid w:val="6544413E"/>
    <w:rsid w:val="65AC1A9A"/>
    <w:rsid w:val="65D3415A"/>
    <w:rsid w:val="65E34551"/>
    <w:rsid w:val="65F657B4"/>
    <w:rsid w:val="660A7058"/>
    <w:rsid w:val="6639727E"/>
    <w:rsid w:val="665015E4"/>
    <w:rsid w:val="66BB3E53"/>
    <w:rsid w:val="66D80EDB"/>
    <w:rsid w:val="66ED3F8F"/>
    <w:rsid w:val="67011F59"/>
    <w:rsid w:val="67080B5E"/>
    <w:rsid w:val="6718700D"/>
    <w:rsid w:val="671D09A5"/>
    <w:rsid w:val="672C7E9E"/>
    <w:rsid w:val="672D1B90"/>
    <w:rsid w:val="67410943"/>
    <w:rsid w:val="67B35343"/>
    <w:rsid w:val="67C27F06"/>
    <w:rsid w:val="67F37BEE"/>
    <w:rsid w:val="682A7E04"/>
    <w:rsid w:val="68880792"/>
    <w:rsid w:val="68AB160D"/>
    <w:rsid w:val="68AB4314"/>
    <w:rsid w:val="68D1334C"/>
    <w:rsid w:val="68DD7BF4"/>
    <w:rsid w:val="691C1FBE"/>
    <w:rsid w:val="691E0FE5"/>
    <w:rsid w:val="69564F6A"/>
    <w:rsid w:val="69AF0FA0"/>
    <w:rsid w:val="6A01600D"/>
    <w:rsid w:val="6A120B5C"/>
    <w:rsid w:val="6A4F788C"/>
    <w:rsid w:val="6A635C78"/>
    <w:rsid w:val="6A6A7EA5"/>
    <w:rsid w:val="6A700689"/>
    <w:rsid w:val="6ACE7CE9"/>
    <w:rsid w:val="6AD5577C"/>
    <w:rsid w:val="6B0D1DFF"/>
    <w:rsid w:val="6B510CC5"/>
    <w:rsid w:val="6B771716"/>
    <w:rsid w:val="6BC87A3F"/>
    <w:rsid w:val="6BDD76A5"/>
    <w:rsid w:val="6BDE4237"/>
    <w:rsid w:val="6C197560"/>
    <w:rsid w:val="6C2853AF"/>
    <w:rsid w:val="6C3421D3"/>
    <w:rsid w:val="6C4F320C"/>
    <w:rsid w:val="6C686922"/>
    <w:rsid w:val="6C851A48"/>
    <w:rsid w:val="6C933772"/>
    <w:rsid w:val="6C9D70FF"/>
    <w:rsid w:val="6CAA73A6"/>
    <w:rsid w:val="6CDD6BD9"/>
    <w:rsid w:val="6CFB2741"/>
    <w:rsid w:val="6D092BEF"/>
    <w:rsid w:val="6D325318"/>
    <w:rsid w:val="6D4712AC"/>
    <w:rsid w:val="6DBE40E9"/>
    <w:rsid w:val="6DEC2B56"/>
    <w:rsid w:val="6E070A16"/>
    <w:rsid w:val="6E1B5E16"/>
    <w:rsid w:val="6E326AE1"/>
    <w:rsid w:val="6E514474"/>
    <w:rsid w:val="6E8D711F"/>
    <w:rsid w:val="6EAF6913"/>
    <w:rsid w:val="6EB625E4"/>
    <w:rsid w:val="6EB87630"/>
    <w:rsid w:val="6EC945FB"/>
    <w:rsid w:val="6EDA199C"/>
    <w:rsid w:val="6F1134FE"/>
    <w:rsid w:val="6F20771D"/>
    <w:rsid w:val="6F56219C"/>
    <w:rsid w:val="6F6D3B6C"/>
    <w:rsid w:val="6FA570EE"/>
    <w:rsid w:val="6FC66BEC"/>
    <w:rsid w:val="700662E5"/>
    <w:rsid w:val="701E55BC"/>
    <w:rsid w:val="705C1F30"/>
    <w:rsid w:val="70636AC0"/>
    <w:rsid w:val="7066078F"/>
    <w:rsid w:val="706E4EB9"/>
    <w:rsid w:val="70764A38"/>
    <w:rsid w:val="70B87648"/>
    <w:rsid w:val="70D8516F"/>
    <w:rsid w:val="70D9305F"/>
    <w:rsid w:val="70DB6982"/>
    <w:rsid w:val="70DD2A82"/>
    <w:rsid w:val="70FA15FC"/>
    <w:rsid w:val="711B2BC5"/>
    <w:rsid w:val="712453E4"/>
    <w:rsid w:val="713A6116"/>
    <w:rsid w:val="71463AE6"/>
    <w:rsid w:val="71566BB9"/>
    <w:rsid w:val="71570BE5"/>
    <w:rsid w:val="71BF4BE8"/>
    <w:rsid w:val="71D931CA"/>
    <w:rsid w:val="720A378F"/>
    <w:rsid w:val="720E3209"/>
    <w:rsid w:val="72421880"/>
    <w:rsid w:val="72761793"/>
    <w:rsid w:val="729C0FCF"/>
    <w:rsid w:val="72D169E6"/>
    <w:rsid w:val="73133C40"/>
    <w:rsid w:val="736159BC"/>
    <w:rsid w:val="73A6715E"/>
    <w:rsid w:val="73B11477"/>
    <w:rsid w:val="73B57968"/>
    <w:rsid w:val="73D27FDB"/>
    <w:rsid w:val="73D72D76"/>
    <w:rsid w:val="73E20A67"/>
    <w:rsid w:val="74063F04"/>
    <w:rsid w:val="74074804"/>
    <w:rsid w:val="744905CA"/>
    <w:rsid w:val="745A7948"/>
    <w:rsid w:val="74A12B60"/>
    <w:rsid w:val="74A82E3E"/>
    <w:rsid w:val="74AE7FB7"/>
    <w:rsid w:val="74BB5E85"/>
    <w:rsid w:val="74D130D1"/>
    <w:rsid w:val="753F7B6E"/>
    <w:rsid w:val="75595DB8"/>
    <w:rsid w:val="756F55F3"/>
    <w:rsid w:val="757778D4"/>
    <w:rsid w:val="758844E9"/>
    <w:rsid w:val="75890E2F"/>
    <w:rsid w:val="759B0822"/>
    <w:rsid w:val="75A22A9C"/>
    <w:rsid w:val="75AF5EBB"/>
    <w:rsid w:val="75C16065"/>
    <w:rsid w:val="75D72B39"/>
    <w:rsid w:val="75F21592"/>
    <w:rsid w:val="75FA674F"/>
    <w:rsid w:val="76143215"/>
    <w:rsid w:val="76147BAB"/>
    <w:rsid w:val="762444B5"/>
    <w:rsid w:val="764C2EF1"/>
    <w:rsid w:val="76513981"/>
    <w:rsid w:val="767427E4"/>
    <w:rsid w:val="76820D98"/>
    <w:rsid w:val="77000D92"/>
    <w:rsid w:val="77124F24"/>
    <w:rsid w:val="77331CC2"/>
    <w:rsid w:val="773768E2"/>
    <w:rsid w:val="773F5501"/>
    <w:rsid w:val="77720090"/>
    <w:rsid w:val="77BB45DB"/>
    <w:rsid w:val="7825156C"/>
    <w:rsid w:val="785A6A80"/>
    <w:rsid w:val="786E3D73"/>
    <w:rsid w:val="78AF0A78"/>
    <w:rsid w:val="78CB247D"/>
    <w:rsid w:val="78EB44F7"/>
    <w:rsid w:val="78ED74E7"/>
    <w:rsid w:val="79090FEB"/>
    <w:rsid w:val="79201B4B"/>
    <w:rsid w:val="797816EF"/>
    <w:rsid w:val="797E4B8A"/>
    <w:rsid w:val="79AE26A0"/>
    <w:rsid w:val="79B858F5"/>
    <w:rsid w:val="79C612FE"/>
    <w:rsid w:val="79CF1358"/>
    <w:rsid w:val="7A182BE0"/>
    <w:rsid w:val="7A584CD9"/>
    <w:rsid w:val="7A7A5F58"/>
    <w:rsid w:val="7A917AC0"/>
    <w:rsid w:val="7AAD4FBF"/>
    <w:rsid w:val="7AC40EC9"/>
    <w:rsid w:val="7AD42C5B"/>
    <w:rsid w:val="7AF366E7"/>
    <w:rsid w:val="7AF95C16"/>
    <w:rsid w:val="7B055324"/>
    <w:rsid w:val="7B0B5639"/>
    <w:rsid w:val="7B186ABA"/>
    <w:rsid w:val="7B2E272E"/>
    <w:rsid w:val="7C4D7318"/>
    <w:rsid w:val="7C5E79FB"/>
    <w:rsid w:val="7C772FEC"/>
    <w:rsid w:val="7CAA0A7F"/>
    <w:rsid w:val="7CB62E7D"/>
    <w:rsid w:val="7CD5720F"/>
    <w:rsid w:val="7D272847"/>
    <w:rsid w:val="7D8A6B73"/>
    <w:rsid w:val="7D92372B"/>
    <w:rsid w:val="7D970A1E"/>
    <w:rsid w:val="7DC46EB6"/>
    <w:rsid w:val="7DDD402F"/>
    <w:rsid w:val="7E0D7765"/>
    <w:rsid w:val="7E226F48"/>
    <w:rsid w:val="7E2D145A"/>
    <w:rsid w:val="7E3E199B"/>
    <w:rsid w:val="7E576152"/>
    <w:rsid w:val="7EB01594"/>
    <w:rsid w:val="7EC7719E"/>
    <w:rsid w:val="7EE0668C"/>
    <w:rsid w:val="7EEA5F09"/>
    <w:rsid w:val="7EF14824"/>
    <w:rsid w:val="7F0650D6"/>
    <w:rsid w:val="7F9B7434"/>
    <w:rsid w:val="7FD10654"/>
    <w:rsid w:val="7FEE45D0"/>
    <w:rsid w:val="7FF60B29"/>
    <w:rsid w:val="9FFE502E"/>
    <w:rsid w:val="FBDFA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qFormat="1" w:uiPriority="99" w:semiHidden="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99" w:semiHidden="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uiPriority="0"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qFormat="1"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等线" w:hAnsi="等线" w:eastAsia="等线" w:cs="Times New Roman"/>
      <w:kern w:val="2"/>
      <w:sz w:val="21"/>
      <w:szCs w:val="24"/>
      <w:lang w:val="en-US" w:eastAsia="zh-CN" w:bidi="ar-SA"/>
    </w:rPr>
  </w:style>
  <w:style w:type="paragraph" w:styleId="2">
    <w:name w:val="heading 1"/>
    <w:basedOn w:val="1"/>
    <w:next w:val="1"/>
    <w:link w:val="34"/>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ind w:left="864" w:hanging="864"/>
      <w:outlineLvl w:val="3"/>
    </w:pPr>
    <w:rPr>
      <w:rFonts w:ascii="Cambria" w:hAnsi="Cambria"/>
      <w:b/>
      <w:bCs/>
      <w:kern w:val="0"/>
      <w:sz w:val="28"/>
      <w:szCs w:val="28"/>
    </w:rPr>
  </w:style>
  <w:style w:type="paragraph" w:styleId="6">
    <w:name w:val="heading 6"/>
    <w:basedOn w:val="1"/>
    <w:next w:val="1"/>
    <w:link w:val="37"/>
    <w:qFormat/>
    <w:uiPriority w:val="0"/>
    <w:pPr>
      <w:keepNext/>
      <w:keepLines/>
      <w:spacing w:before="240" w:after="64" w:line="319" w:lineRule="auto"/>
      <w:outlineLvl w:val="5"/>
    </w:pPr>
    <w:rPr>
      <w:rFonts w:ascii="Arial" w:hAnsi="Arial" w:eastAsia="黑体"/>
      <w:b/>
      <w:bCs/>
      <w:sz w:val="24"/>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index 8"/>
    <w:basedOn w:val="1"/>
    <w:next w:val="1"/>
    <w:unhideWhenUsed/>
    <w:qFormat/>
    <w:uiPriority w:val="99"/>
    <w:pPr>
      <w:ind w:left="1400" w:leftChars="1400"/>
    </w:pPr>
  </w:style>
  <w:style w:type="paragraph" w:styleId="8">
    <w:name w:val="Normal Indent"/>
    <w:basedOn w:val="1"/>
    <w:link w:val="38"/>
    <w:qFormat/>
    <w:uiPriority w:val="0"/>
    <w:pPr>
      <w:ind w:firstLine="420"/>
    </w:pPr>
    <w:rPr>
      <w:szCs w:val="20"/>
    </w:rPr>
  </w:style>
  <w:style w:type="paragraph" w:styleId="9">
    <w:name w:val="toa heading"/>
    <w:basedOn w:val="1"/>
    <w:next w:val="1"/>
    <w:qFormat/>
    <w:uiPriority w:val="99"/>
    <w:pPr>
      <w:spacing w:before="120"/>
    </w:pPr>
    <w:rPr>
      <w:rFonts w:ascii="Cambria" w:hAnsi="Cambria" w:cs="宋体"/>
      <w:sz w:val="24"/>
    </w:rPr>
  </w:style>
  <w:style w:type="paragraph" w:styleId="10">
    <w:name w:val="annotation text"/>
    <w:basedOn w:val="1"/>
    <w:link w:val="39"/>
    <w:qFormat/>
    <w:uiPriority w:val="0"/>
    <w:pPr>
      <w:jc w:val="left"/>
    </w:pPr>
  </w:style>
  <w:style w:type="paragraph" w:styleId="11">
    <w:name w:val="Body Text 3"/>
    <w:basedOn w:val="1"/>
    <w:link w:val="40"/>
    <w:qFormat/>
    <w:uiPriority w:val="0"/>
    <w:pPr>
      <w:spacing w:line="240" w:lineRule="exact"/>
    </w:pPr>
    <w:rPr>
      <w:rFonts w:ascii="宋体" w:hAnsi="宋体"/>
      <w:color w:val="000000"/>
      <w:szCs w:val="21"/>
    </w:rPr>
  </w:style>
  <w:style w:type="paragraph" w:styleId="12">
    <w:name w:val="Body Text"/>
    <w:basedOn w:val="1"/>
    <w:link w:val="41"/>
    <w:unhideWhenUsed/>
    <w:qFormat/>
    <w:uiPriority w:val="0"/>
    <w:pPr>
      <w:spacing w:after="120"/>
    </w:pPr>
  </w:style>
  <w:style w:type="paragraph" w:styleId="13">
    <w:name w:val="Body Text Indent"/>
    <w:basedOn w:val="1"/>
    <w:qFormat/>
    <w:uiPriority w:val="0"/>
    <w:pPr>
      <w:ind w:firstLine="830" w:firstLineChars="352"/>
    </w:pPr>
    <w:rPr>
      <w:rFonts w:ascii="仿宋_GB2312" w:eastAsia="仿宋_GB2312"/>
      <w:sz w:val="32"/>
      <w:szCs w:val="20"/>
    </w:rPr>
  </w:style>
  <w:style w:type="paragraph" w:styleId="14">
    <w:name w:val="Plain Text"/>
    <w:basedOn w:val="1"/>
    <w:next w:val="7"/>
    <w:link w:val="42"/>
    <w:qFormat/>
    <w:uiPriority w:val="0"/>
    <w:rPr>
      <w:rFonts w:ascii="宋体" w:hAnsi="Courier New"/>
      <w:szCs w:val="20"/>
    </w:rPr>
  </w:style>
  <w:style w:type="paragraph" w:styleId="15">
    <w:name w:val="Date"/>
    <w:basedOn w:val="1"/>
    <w:next w:val="1"/>
    <w:link w:val="43"/>
    <w:qFormat/>
    <w:uiPriority w:val="0"/>
    <w:pPr>
      <w:ind w:left="100" w:leftChars="2500"/>
    </w:pPr>
  </w:style>
  <w:style w:type="paragraph" w:styleId="16">
    <w:name w:val="Balloon Text"/>
    <w:basedOn w:val="1"/>
    <w:link w:val="44"/>
    <w:semiHidden/>
    <w:qFormat/>
    <w:uiPriority w:val="0"/>
    <w:rPr>
      <w:sz w:val="18"/>
      <w:szCs w:val="18"/>
    </w:rPr>
  </w:style>
  <w:style w:type="paragraph" w:styleId="17">
    <w:name w:val="footer"/>
    <w:basedOn w:val="1"/>
    <w:link w:val="45"/>
    <w:qFormat/>
    <w:uiPriority w:val="0"/>
    <w:pPr>
      <w:tabs>
        <w:tab w:val="center" w:pos="4153"/>
        <w:tab w:val="right" w:pos="8306"/>
      </w:tabs>
      <w:snapToGrid w:val="0"/>
      <w:jc w:val="left"/>
    </w:pPr>
    <w:rPr>
      <w:sz w:val="18"/>
      <w:szCs w:val="18"/>
    </w:rPr>
  </w:style>
  <w:style w:type="paragraph" w:styleId="18">
    <w:name w:val="header"/>
    <w:basedOn w:val="1"/>
    <w:link w:val="46"/>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semiHidden/>
    <w:unhideWhenUsed/>
    <w:qFormat/>
    <w:uiPriority w:val="0"/>
  </w:style>
  <w:style w:type="paragraph" w:styleId="2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1">
    <w:name w:val="annotation subject"/>
    <w:basedOn w:val="10"/>
    <w:next w:val="10"/>
    <w:link w:val="47"/>
    <w:semiHidden/>
    <w:qFormat/>
    <w:uiPriority w:val="0"/>
    <w:rPr>
      <w:b/>
      <w:bCs/>
    </w:rPr>
  </w:style>
  <w:style w:type="paragraph" w:styleId="22">
    <w:name w:val="Body Text First Indent"/>
    <w:basedOn w:val="12"/>
    <w:link w:val="48"/>
    <w:unhideWhenUsed/>
    <w:qFormat/>
    <w:uiPriority w:val="99"/>
    <w:pPr>
      <w:ind w:firstLine="420" w:firstLineChars="100"/>
    </w:pPr>
  </w:style>
  <w:style w:type="paragraph" w:styleId="23">
    <w:name w:val="Body Text First Indent 2"/>
    <w:basedOn w:val="13"/>
    <w:qFormat/>
    <w:uiPriority w:val="0"/>
    <w:pPr>
      <w:ind w:left="420" w:leftChars="200" w:firstLine="420" w:firstLineChars="200"/>
    </w:pPr>
    <w:rPr>
      <w:rFonts w:ascii="Times New Roman" w:hAnsi="Times New Roman" w:eastAsia="宋体"/>
      <w:sz w:val="21"/>
      <w:szCs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unhideWhenUsed/>
    <w:qFormat/>
    <w:uiPriority w:val="99"/>
    <w:rPr>
      <w:color w:val="800080"/>
      <w:u w:val="single"/>
    </w:rPr>
  </w:style>
  <w:style w:type="character" w:styleId="29">
    <w:name w:val="Hyperlink"/>
    <w:qFormat/>
    <w:uiPriority w:val="0"/>
    <w:rPr>
      <w:color w:val="0000FF"/>
      <w:u w:val="single"/>
    </w:rPr>
  </w:style>
  <w:style w:type="character" w:styleId="30">
    <w:name w:val="annotation reference"/>
    <w:qFormat/>
    <w:uiPriority w:val="0"/>
    <w:rPr>
      <w:sz w:val="21"/>
      <w:szCs w:val="21"/>
    </w:rPr>
  </w:style>
  <w:style w:type="character" w:styleId="31">
    <w:name w:val="HTML Sample"/>
    <w:basedOn w:val="26"/>
    <w:semiHidden/>
    <w:unhideWhenUsed/>
    <w:qFormat/>
    <w:uiPriority w:val="0"/>
    <w:rPr>
      <w:rFonts w:ascii="Courier New" w:hAnsi="Courier New"/>
    </w:rPr>
  </w:style>
  <w:style w:type="paragraph" w:customStyle="1" w:styleId="32">
    <w:name w:val="Fließtext"/>
    <w:basedOn w:val="1"/>
    <w:qFormat/>
    <w:uiPriority w:val="0"/>
    <w:pPr>
      <w:overflowPunct w:val="0"/>
      <w:autoSpaceDE w:val="0"/>
      <w:autoSpaceDN w:val="0"/>
      <w:adjustRightInd w:val="0"/>
      <w:textAlignment w:val="baseline"/>
    </w:pPr>
    <w:rPr>
      <w:rFonts w:ascii="Calibri" w:hAnsi="Calibri" w:eastAsia="宋体"/>
      <w:kern w:val="28"/>
    </w:rPr>
  </w:style>
  <w:style w:type="paragraph" w:customStyle="1" w:styleId="33">
    <w:name w:val="表格文字"/>
    <w:basedOn w:val="1"/>
    <w:qFormat/>
    <w:uiPriority w:val="0"/>
    <w:pPr>
      <w:spacing w:before="25" w:after="25"/>
      <w:jc w:val="left"/>
    </w:pPr>
    <w:rPr>
      <w:rFonts w:ascii="Times New Roman" w:hAnsi="Times New Roman" w:eastAsia="宋体"/>
      <w:bCs/>
      <w:spacing w:val="10"/>
      <w:kern w:val="0"/>
      <w:sz w:val="24"/>
    </w:rPr>
  </w:style>
  <w:style w:type="character" w:customStyle="1" w:styleId="34">
    <w:name w:val="标题 1 字符"/>
    <w:link w:val="2"/>
    <w:qFormat/>
    <w:uiPriority w:val="0"/>
    <w:rPr>
      <w:b/>
      <w:bCs/>
      <w:kern w:val="44"/>
      <w:sz w:val="44"/>
      <w:szCs w:val="44"/>
    </w:rPr>
  </w:style>
  <w:style w:type="character" w:customStyle="1" w:styleId="35">
    <w:name w:val="标题 2 字符"/>
    <w:link w:val="3"/>
    <w:semiHidden/>
    <w:qFormat/>
    <w:uiPriority w:val="0"/>
    <w:rPr>
      <w:rFonts w:ascii="Arial" w:hAnsi="Arial" w:eastAsia="黑体"/>
      <w:b/>
      <w:bCs/>
      <w:kern w:val="2"/>
      <w:sz w:val="32"/>
      <w:szCs w:val="32"/>
    </w:rPr>
  </w:style>
  <w:style w:type="character" w:customStyle="1" w:styleId="36">
    <w:name w:val="标题 3 字符"/>
    <w:link w:val="4"/>
    <w:qFormat/>
    <w:uiPriority w:val="0"/>
    <w:rPr>
      <w:b/>
      <w:bCs/>
      <w:kern w:val="2"/>
      <w:sz w:val="32"/>
      <w:szCs w:val="32"/>
    </w:rPr>
  </w:style>
  <w:style w:type="character" w:customStyle="1" w:styleId="37">
    <w:name w:val="标题 6 字符"/>
    <w:link w:val="6"/>
    <w:semiHidden/>
    <w:qFormat/>
    <w:uiPriority w:val="0"/>
    <w:rPr>
      <w:rFonts w:ascii="Arial" w:hAnsi="Arial" w:eastAsia="黑体"/>
      <w:b/>
      <w:bCs/>
      <w:kern w:val="2"/>
      <w:sz w:val="24"/>
      <w:szCs w:val="24"/>
    </w:rPr>
  </w:style>
  <w:style w:type="character" w:customStyle="1" w:styleId="38">
    <w:name w:val="正文缩进 字符"/>
    <w:link w:val="8"/>
    <w:qFormat/>
    <w:locked/>
    <w:uiPriority w:val="0"/>
    <w:rPr>
      <w:rFonts w:eastAsia="宋体"/>
      <w:kern w:val="2"/>
      <w:sz w:val="21"/>
      <w:lang w:val="en-US" w:eastAsia="zh-CN" w:bidi="ar-SA"/>
    </w:rPr>
  </w:style>
  <w:style w:type="character" w:customStyle="1" w:styleId="39">
    <w:name w:val="批注文字 字符"/>
    <w:link w:val="10"/>
    <w:qFormat/>
    <w:uiPriority w:val="0"/>
    <w:rPr>
      <w:rFonts w:eastAsia="宋体"/>
      <w:kern w:val="2"/>
      <w:sz w:val="21"/>
      <w:szCs w:val="24"/>
      <w:lang w:val="en-US" w:eastAsia="zh-CN" w:bidi="ar-SA"/>
    </w:rPr>
  </w:style>
  <w:style w:type="character" w:customStyle="1" w:styleId="40">
    <w:name w:val="正文文本 3 字符"/>
    <w:link w:val="11"/>
    <w:qFormat/>
    <w:uiPriority w:val="0"/>
    <w:rPr>
      <w:rFonts w:ascii="宋体" w:hAnsi="宋体"/>
      <w:color w:val="000000"/>
      <w:kern w:val="2"/>
      <w:sz w:val="21"/>
      <w:szCs w:val="21"/>
    </w:rPr>
  </w:style>
  <w:style w:type="character" w:customStyle="1" w:styleId="41">
    <w:name w:val="正文文本 字符"/>
    <w:link w:val="12"/>
    <w:qFormat/>
    <w:locked/>
    <w:uiPriority w:val="0"/>
    <w:rPr>
      <w:kern w:val="2"/>
      <w:sz w:val="21"/>
      <w:szCs w:val="24"/>
    </w:rPr>
  </w:style>
  <w:style w:type="character" w:customStyle="1" w:styleId="42">
    <w:name w:val="纯文本 字符"/>
    <w:link w:val="14"/>
    <w:qFormat/>
    <w:uiPriority w:val="0"/>
    <w:rPr>
      <w:rFonts w:ascii="宋体" w:hAnsi="Courier New" w:eastAsia="宋体"/>
      <w:kern w:val="2"/>
      <w:sz w:val="21"/>
      <w:lang w:val="en-US" w:eastAsia="zh-CN" w:bidi="ar-SA"/>
    </w:rPr>
  </w:style>
  <w:style w:type="character" w:customStyle="1" w:styleId="43">
    <w:name w:val="日期 字符"/>
    <w:link w:val="15"/>
    <w:qFormat/>
    <w:uiPriority w:val="0"/>
    <w:rPr>
      <w:kern w:val="2"/>
      <w:sz w:val="21"/>
      <w:szCs w:val="24"/>
    </w:rPr>
  </w:style>
  <w:style w:type="character" w:customStyle="1" w:styleId="44">
    <w:name w:val="批注框文本 字符"/>
    <w:link w:val="16"/>
    <w:semiHidden/>
    <w:qFormat/>
    <w:uiPriority w:val="0"/>
    <w:rPr>
      <w:kern w:val="2"/>
      <w:sz w:val="18"/>
      <w:szCs w:val="18"/>
    </w:rPr>
  </w:style>
  <w:style w:type="character" w:customStyle="1" w:styleId="45">
    <w:name w:val="页脚 字符"/>
    <w:link w:val="17"/>
    <w:qFormat/>
    <w:uiPriority w:val="0"/>
    <w:rPr>
      <w:kern w:val="2"/>
      <w:sz w:val="18"/>
      <w:szCs w:val="18"/>
    </w:rPr>
  </w:style>
  <w:style w:type="character" w:customStyle="1" w:styleId="46">
    <w:name w:val="页眉 字符"/>
    <w:link w:val="18"/>
    <w:qFormat/>
    <w:uiPriority w:val="0"/>
    <w:rPr>
      <w:kern w:val="2"/>
      <w:sz w:val="18"/>
      <w:szCs w:val="18"/>
    </w:rPr>
  </w:style>
  <w:style w:type="character" w:customStyle="1" w:styleId="47">
    <w:name w:val="批注主题 字符"/>
    <w:link w:val="21"/>
    <w:semiHidden/>
    <w:qFormat/>
    <w:uiPriority w:val="0"/>
    <w:rPr>
      <w:rFonts w:eastAsia="宋体"/>
      <w:b/>
      <w:bCs/>
      <w:kern w:val="2"/>
      <w:sz w:val="21"/>
      <w:szCs w:val="24"/>
      <w:lang w:val="en-US" w:eastAsia="zh-CN" w:bidi="ar-SA"/>
    </w:rPr>
  </w:style>
  <w:style w:type="character" w:customStyle="1" w:styleId="48">
    <w:name w:val="正文文本首行缩进 字符"/>
    <w:basedOn w:val="49"/>
    <w:link w:val="22"/>
    <w:qFormat/>
    <w:locked/>
    <w:uiPriority w:val="99"/>
    <w:rPr>
      <w:kern w:val="2"/>
      <w:sz w:val="21"/>
      <w:szCs w:val="24"/>
    </w:rPr>
  </w:style>
  <w:style w:type="character" w:customStyle="1" w:styleId="49">
    <w:name w:val="正文文本 Char1"/>
    <w:qFormat/>
    <w:locked/>
    <w:uiPriority w:val="0"/>
    <w:rPr>
      <w:kern w:val="2"/>
      <w:sz w:val="21"/>
      <w:szCs w:val="24"/>
    </w:rPr>
  </w:style>
  <w:style w:type="character" w:customStyle="1" w:styleId="50">
    <w:name w:val="Char Char10"/>
    <w:qFormat/>
    <w:locked/>
    <w:uiPriority w:val="0"/>
    <w:rPr>
      <w:rFonts w:ascii="宋体" w:hAnsi="宋体" w:eastAsia="宋体"/>
      <w:kern w:val="2"/>
      <w:sz w:val="21"/>
      <w:szCs w:val="24"/>
      <w:lang w:val="en-US" w:eastAsia="zh-CN" w:bidi="ar-SA"/>
    </w:rPr>
  </w:style>
  <w:style w:type="character" w:customStyle="1" w:styleId="51">
    <w:name w:val="font11"/>
    <w:basedOn w:val="26"/>
    <w:qFormat/>
    <w:uiPriority w:val="0"/>
    <w:rPr>
      <w:rFonts w:hint="eastAsia" w:ascii="宋体" w:hAnsi="宋体" w:eastAsia="宋体" w:cs="宋体"/>
      <w:color w:val="000000"/>
      <w:sz w:val="22"/>
      <w:szCs w:val="22"/>
      <w:u w:val="none"/>
    </w:rPr>
  </w:style>
  <w:style w:type="character" w:customStyle="1" w:styleId="52">
    <w:name w:val="正文首行缩进 Char"/>
    <w:basedOn w:val="53"/>
    <w:qFormat/>
    <w:uiPriority w:val="99"/>
    <w:rPr>
      <w:kern w:val="2"/>
      <w:sz w:val="21"/>
      <w:szCs w:val="24"/>
    </w:rPr>
  </w:style>
  <w:style w:type="character" w:customStyle="1" w:styleId="53">
    <w:name w:val="正文文本 Char"/>
    <w:qFormat/>
    <w:uiPriority w:val="99"/>
    <w:rPr>
      <w:kern w:val="2"/>
      <w:sz w:val="21"/>
      <w:szCs w:val="24"/>
    </w:rPr>
  </w:style>
  <w:style w:type="character" w:customStyle="1" w:styleId="54">
    <w:name w:val="NormalCharacter"/>
    <w:semiHidden/>
    <w:qFormat/>
    <w:uiPriority w:val="99"/>
  </w:style>
  <w:style w:type="character" w:customStyle="1" w:styleId="55">
    <w:name w:val="Char Char3"/>
    <w:qFormat/>
    <w:uiPriority w:val="0"/>
    <w:rPr>
      <w:rFonts w:hint="eastAsia" w:ascii="宋体" w:hAnsi="Courier New" w:eastAsia="宋体"/>
      <w:kern w:val="2"/>
      <w:sz w:val="21"/>
      <w:lang w:val="en-US" w:eastAsia="zh-CN" w:bidi="ar-SA"/>
    </w:rPr>
  </w:style>
  <w:style w:type="character" w:customStyle="1" w:styleId="56">
    <w:name w:val="纯文本 Char2"/>
    <w:semiHidden/>
    <w:qFormat/>
    <w:locked/>
    <w:uiPriority w:val="0"/>
    <w:rPr>
      <w:rFonts w:ascii="宋体" w:hAnsi="Courier New"/>
      <w:kern w:val="2"/>
      <w:sz w:val="21"/>
    </w:rPr>
  </w:style>
  <w:style w:type="character" w:customStyle="1" w:styleId="57">
    <w:name w:val="Char Char101"/>
    <w:qFormat/>
    <w:uiPriority w:val="0"/>
    <w:rPr>
      <w:rFonts w:eastAsia="宋体"/>
      <w:kern w:val="2"/>
      <w:sz w:val="21"/>
      <w:szCs w:val="24"/>
      <w:lang w:val="en-US" w:eastAsia="zh-CN" w:bidi="ar-SA"/>
    </w:rPr>
  </w:style>
  <w:style w:type="character" w:customStyle="1" w:styleId="58">
    <w:name w:val="批注文字 Char1"/>
    <w:semiHidden/>
    <w:qFormat/>
    <w:locked/>
    <w:uiPriority w:val="0"/>
    <w:rPr>
      <w:kern w:val="2"/>
      <w:sz w:val="21"/>
      <w:szCs w:val="24"/>
    </w:rPr>
  </w:style>
  <w:style w:type="character" w:customStyle="1" w:styleId="59">
    <w:name w:val="font31"/>
    <w:basedOn w:val="26"/>
    <w:qFormat/>
    <w:uiPriority w:val="0"/>
    <w:rPr>
      <w:rFonts w:hint="eastAsia" w:ascii="宋体" w:hAnsi="宋体" w:eastAsia="宋体" w:cs="宋体"/>
      <w:color w:val="000000"/>
      <w:sz w:val="22"/>
      <w:szCs w:val="22"/>
      <w:u w:val="none"/>
    </w:rPr>
  </w:style>
  <w:style w:type="character" w:customStyle="1" w:styleId="60">
    <w:name w:val="Char Char31"/>
    <w:qFormat/>
    <w:uiPriority w:val="0"/>
    <w:rPr>
      <w:rFonts w:ascii="宋体" w:hAnsi="Courier New" w:eastAsia="宋体"/>
      <w:kern w:val="2"/>
      <w:sz w:val="21"/>
      <w:lang w:val="en-US" w:eastAsia="zh-CN" w:bidi="ar-SA"/>
    </w:rPr>
  </w:style>
  <w:style w:type="character" w:customStyle="1" w:styleId="61">
    <w:name w:val="Char Char"/>
    <w:qFormat/>
    <w:locked/>
    <w:uiPriority w:val="0"/>
    <w:rPr>
      <w:rFonts w:ascii="宋体" w:hAnsi="宋体" w:eastAsia="宋体"/>
      <w:kern w:val="2"/>
      <w:sz w:val="21"/>
      <w:szCs w:val="24"/>
      <w:lang w:val="en-US" w:eastAsia="zh-CN" w:bidi="ar-SA"/>
    </w:rPr>
  </w:style>
  <w:style w:type="character" w:customStyle="1" w:styleId="62">
    <w:name w:val="批注文字 Char2"/>
    <w:semiHidden/>
    <w:qFormat/>
    <w:locked/>
    <w:uiPriority w:val="0"/>
    <w:rPr>
      <w:kern w:val="2"/>
      <w:sz w:val="21"/>
      <w:szCs w:val="24"/>
    </w:rPr>
  </w:style>
  <w:style w:type="character" w:customStyle="1" w:styleId="63">
    <w:name w:val="纯文本 Char1"/>
    <w:qFormat/>
    <w:locked/>
    <w:uiPriority w:val="0"/>
    <w:rPr>
      <w:rFonts w:ascii="宋体" w:hAnsi="Calibri"/>
    </w:rPr>
  </w:style>
  <w:style w:type="character" w:customStyle="1" w:styleId="64">
    <w:name w:val="列表段落 字符"/>
    <w:link w:val="65"/>
    <w:qFormat/>
    <w:locked/>
    <w:uiPriority w:val="34"/>
    <w:rPr>
      <w:kern w:val="2"/>
      <w:sz w:val="21"/>
    </w:rPr>
  </w:style>
  <w:style w:type="paragraph" w:styleId="65">
    <w:name w:val="List Paragraph"/>
    <w:basedOn w:val="1"/>
    <w:link w:val="64"/>
    <w:qFormat/>
    <w:uiPriority w:val="34"/>
    <w:pPr>
      <w:ind w:firstLine="420" w:firstLineChars="200"/>
    </w:pPr>
    <w:rPr>
      <w:szCs w:val="20"/>
    </w:rPr>
  </w:style>
  <w:style w:type="character" w:customStyle="1" w:styleId="66">
    <w:name w:val="font21"/>
    <w:basedOn w:val="26"/>
    <w:qFormat/>
    <w:uiPriority w:val="0"/>
    <w:rPr>
      <w:rFonts w:hint="default" w:ascii="Times New Roman" w:hAnsi="Times New Roman" w:cs="Times New Roman"/>
      <w:color w:val="000000"/>
      <w:sz w:val="22"/>
      <w:szCs w:val="22"/>
      <w:u w:val="none"/>
    </w:rPr>
  </w:style>
  <w:style w:type="character" w:customStyle="1" w:styleId="67">
    <w:name w:val="font51"/>
    <w:basedOn w:val="26"/>
    <w:qFormat/>
    <w:uiPriority w:val="0"/>
    <w:rPr>
      <w:rFonts w:hint="eastAsia" w:ascii="宋体" w:hAnsi="宋体" w:eastAsia="宋体" w:cs="宋体"/>
      <w:color w:val="000000"/>
      <w:sz w:val="22"/>
      <w:szCs w:val="22"/>
      <w:u w:val="none"/>
    </w:rPr>
  </w:style>
  <w:style w:type="character" w:customStyle="1" w:styleId="68">
    <w:name w:val="font01"/>
    <w:basedOn w:val="26"/>
    <w:qFormat/>
    <w:uiPriority w:val="0"/>
    <w:rPr>
      <w:rFonts w:hint="eastAsia" w:ascii="宋体" w:hAnsi="宋体" w:eastAsia="宋体" w:cs="宋体"/>
      <w:color w:val="000000"/>
      <w:sz w:val="22"/>
      <w:szCs w:val="22"/>
      <w:u w:val="none"/>
    </w:rPr>
  </w:style>
  <w:style w:type="paragraph" w:customStyle="1" w:styleId="69">
    <w:name w:val="1"/>
    <w:basedOn w:val="1"/>
    <w:next w:val="14"/>
    <w:qFormat/>
    <w:uiPriority w:val="0"/>
    <w:rPr>
      <w:rFonts w:ascii="宋体" w:hAnsi="Courier New"/>
      <w:szCs w:val="20"/>
    </w:rPr>
  </w:style>
  <w:style w:type="paragraph" w:customStyle="1" w:styleId="70">
    <w:name w:val="p0"/>
    <w:basedOn w:val="1"/>
    <w:qFormat/>
    <w:uiPriority w:val="0"/>
    <w:pPr>
      <w:widowControl/>
    </w:pPr>
    <w:rPr>
      <w:rFonts w:ascii="Calibri" w:hAnsi="Calibri" w:eastAsia="宋体"/>
      <w:kern w:val="0"/>
      <w:szCs w:val="21"/>
    </w:rPr>
  </w:style>
  <w:style w:type="paragraph" w:customStyle="1" w:styleId="71">
    <w:name w:val="列出段落1"/>
    <w:basedOn w:val="1"/>
    <w:qFormat/>
    <w:uiPriority w:val="34"/>
    <w:pPr>
      <w:ind w:firstLine="420" w:firstLineChars="200"/>
    </w:pPr>
  </w:style>
  <w:style w:type="paragraph" w:customStyle="1" w:styleId="72">
    <w:name w:val="列出段落2"/>
    <w:basedOn w:val="1"/>
    <w:qFormat/>
    <w:uiPriority w:val="34"/>
    <w:pPr>
      <w:ind w:firstLine="420" w:firstLineChars="200"/>
    </w:pPr>
    <w:rPr>
      <w:rFonts w:ascii="Calibri" w:hAnsi="Calibri"/>
      <w:szCs w:val="22"/>
    </w:rPr>
  </w:style>
  <w:style w:type="paragraph" w:customStyle="1" w:styleId="73">
    <w:name w:val="Char"/>
    <w:basedOn w:val="1"/>
    <w:qFormat/>
    <w:uiPriority w:val="0"/>
  </w:style>
  <w:style w:type="paragraph" w:customStyle="1" w:styleId="74">
    <w:name w:val="_Style 4"/>
    <w:basedOn w:val="1"/>
    <w:qFormat/>
    <w:uiPriority w:val="34"/>
    <w:pPr>
      <w:ind w:firstLine="420" w:firstLineChars="200"/>
    </w:pPr>
    <w:rPr>
      <w:rFonts w:ascii="Calibri" w:hAnsi="Calibri"/>
      <w:szCs w:val="22"/>
    </w:rPr>
  </w:style>
  <w:style w:type="paragraph" w:customStyle="1" w:styleId="75">
    <w:name w:val="WPSOffice手动目录 1"/>
    <w:qFormat/>
    <w:uiPriority w:val="0"/>
    <w:pPr>
      <w:spacing w:after="160" w:line="278" w:lineRule="auto"/>
    </w:pPr>
    <w:rPr>
      <w:rFonts w:ascii="等线" w:hAnsi="等线" w:eastAsia="等线" w:cs="Times New Roman"/>
      <w:lang w:val="en-US" w:eastAsia="zh-CN" w:bidi="ar-SA"/>
    </w:rPr>
  </w:style>
  <w:style w:type="paragraph" w:customStyle="1" w:styleId="76">
    <w:name w:val="段"/>
    <w:next w:val="1"/>
    <w:qFormat/>
    <w:uiPriority w:val="0"/>
    <w:pPr>
      <w:autoSpaceDE w:val="0"/>
      <w:autoSpaceDN w:val="0"/>
      <w:adjustRightInd w:val="0"/>
      <w:snapToGrid w:val="0"/>
      <w:spacing w:after="160" w:line="360" w:lineRule="auto"/>
      <w:ind w:firstLine="200" w:firstLineChars="200"/>
      <w:jc w:val="both"/>
    </w:pPr>
    <w:rPr>
      <w:rFonts w:ascii="宋体" w:hAnsi="Calibri" w:eastAsia="宋体" w:cs="Times New Roman"/>
      <w:sz w:val="24"/>
      <w:szCs w:val="22"/>
      <w:lang w:val="en-US" w:eastAsia="zh-CN" w:bidi="ar-SA"/>
    </w:rPr>
  </w:style>
  <w:style w:type="character" w:customStyle="1" w:styleId="77">
    <w:name w:val="font41"/>
    <w:basedOn w:val="26"/>
    <w:qFormat/>
    <w:uiPriority w:val="0"/>
    <w:rPr>
      <w:rFonts w:hint="eastAsia" w:ascii="宋体" w:hAnsi="宋体" w:eastAsia="宋体" w:cs="宋体"/>
      <w:color w:val="000000"/>
      <w:sz w:val="24"/>
      <w:szCs w:val="24"/>
      <w:u w:val="none"/>
    </w:rPr>
  </w:style>
  <w:style w:type="paragraph" w:customStyle="1" w:styleId="78">
    <w:name w:val="修订1"/>
    <w:hidden/>
    <w:unhideWhenUsed/>
    <w:qFormat/>
    <w:uiPriority w:val="99"/>
    <w:pPr>
      <w:spacing w:after="160" w:line="278" w:lineRule="auto"/>
    </w:pPr>
    <w:rPr>
      <w:rFonts w:ascii="等线" w:hAnsi="等线" w:eastAsia="等线" w:cs="Times New Roman"/>
      <w:kern w:val="2"/>
      <w:sz w:val="21"/>
      <w:szCs w:val="24"/>
      <w:lang w:val="en-US" w:eastAsia="zh-CN" w:bidi="ar-SA"/>
    </w:rPr>
  </w:style>
  <w:style w:type="paragraph" w:customStyle="1" w:styleId="79">
    <w:name w:val="Table Paragraph"/>
    <w:basedOn w:val="1"/>
    <w:qFormat/>
    <w:uiPriority w:val="1"/>
    <w:rPr>
      <w:rFonts w:ascii="宋体" w:hAnsi="宋体" w:eastAsia="宋体" w:cs="宋体"/>
    </w:rPr>
  </w:style>
  <w:style w:type="character" w:customStyle="1" w:styleId="80">
    <w:name w:val="font112"/>
    <w:qFormat/>
    <w:uiPriority w:val="0"/>
    <w:rPr>
      <w:rFonts w:hint="eastAsia" w:ascii="宋体" w:hAnsi="宋体" w:eastAsia="宋体" w:cs="宋体"/>
      <w:color w:val="000000"/>
      <w:sz w:val="21"/>
      <w:szCs w:val="21"/>
      <w:u w:val="none"/>
    </w:rPr>
  </w:style>
  <w:style w:type="paragraph" w:customStyle="1" w:styleId="81">
    <w:name w:val="修订2"/>
    <w:hidden/>
    <w:unhideWhenUsed/>
    <w:qFormat/>
    <w:uiPriority w:val="99"/>
    <w:pPr>
      <w:spacing w:after="160" w:line="278" w:lineRule="auto"/>
    </w:pPr>
    <w:rPr>
      <w:rFonts w:ascii="等线" w:hAnsi="等线" w:eastAsia="等线" w:cs="Times New Roman"/>
      <w:kern w:val="2"/>
      <w:sz w:val="21"/>
      <w:szCs w:val="24"/>
      <w:lang w:val="en-US" w:eastAsia="zh-CN" w:bidi="ar-SA"/>
    </w:rPr>
  </w:style>
  <w:style w:type="character" w:customStyle="1" w:styleId="82">
    <w:name w:val="font12"/>
    <w:qFormat/>
    <w:uiPriority w:val="0"/>
    <w:rPr>
      <w:rFonts w:hint="eastAsia" w:ascii="宋体" w:hAnsi="宋体" w:eastAsia="宋体" w:cs="宋体"/>
      <w:color w:val="000000"/>
      <w:sz w:val="20"/>
      <w:szCs w:val="20"/>
      <w:u w:val="none"/>
    </w:rPr>
  </w:style>
  <w:style w:type="paragraph" w:customStyle="1" w:styleId="83">
    <w:name w:val="Revision"/>
    <w:hidden/>
    <w:semiHidden/>
    <w:qFormat/>
    <w:uiPriority w:val="99"/>
    <w:rPr>
      <w:rFonts w:ascii="等线" w:hAnsi="等线" w:eastAsia="等线"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AFDCB9-1CD2-43BA-9FAD-CCEB57B1DBB2}">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54</Pages>
  <Words>17326</Words>
  <Characters>18846</Characters>
  <Lines>271</Lines>
  <Paragraphs>76</Paragraphs>
  <TotalTime>1</TotalTime>
  <ScaleCrop>false</ScaleCrop>
  <LinksUpToDate>false</LinksUpToDate>
  <CharactersWithSpaces>19036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2025-06-27T05:00:00Z</dcterms:created>
  <dc:creator>未定义</dc:creator>
  <cp:lastModifiedBy>NTKO</cp:lastModifiedBy>
  <cp:lastPrinted>2020-08-26T13:41:00Z</cp:lastPrinted>
  <dcterms:modified xsi:type="dcterms:W3CDTF">2025-07-02T09:26:45Z</dcterms:modified>
  <dc:title>医疗设备采购</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6AE14C809AE14B7186341CE6938C976B_13</vt:lpwstr>
  </property>
  <property fmtid="{D5CDD505-2E9C-101B-9397-08002B2CF9AE}" pid="4" name="KSOTemplateDocerSaveRecord">
    <vt:lpwstr>eyJoZGlkIjoiZDE5ZTM0MDYxYzNhZTBmMmQ3ODcyYTgxMzFhNWNiMjMiLCJ1c2VySWQiOiIxNjUxNjQ0NjMyIn0=</vt:lpwstr>
  </property>
</Properties>
</file>